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A154B" w:rsidR="005A154B" w:rsidP="005A154B" w:rsidRDefault="005A154B">
      <w:pPr>
        <w:rPr>
          <w:rFonts w:ascii="Tahoma" w:hAnsi="Tahoma" w:eastAsia="Times New Roman" w:cs="Tahoma"/>
          <w:b/>
          <w:bCs/>
          <w:sz w:val="24"/>
          <w:szCs w:val="24"/>
          <w:lang w:eastAsia="nl-NL"/>
        </w:rPr>
      </w:pPr>
      <w:bookmarkStart w:name="_GoBack" w:id="0"/>
      <w:r w:rsidRPr="005A154B">
        <w:rPr>
          <w:rFonts w:ascii="Segoe UI" w:hAnsi="Segoe UI" w:cs="Segoe UI"/>
          <w:b/>
          <w:sz w:val="24"/>
          <w:szCs w:val="24"/>
        </w:rPr>
        <w:t>2018Z21049</w:t>
      </w:r>
    </w:p>
    <w:bookmarkEnd w:id="0"/>
    <w:p w:rsidR="005A154B" w:rsidP="005A154B" w:rsidRDefault="005A154B">
      <w:pPr>
        <w:rPr>
          <w:rFonts w:ascii="Tahoma" w:hAnsi="Tahoma" w:eastAsia="Times New Roman" w:cs="Tahoma"/>
          <w:b/>
          <w:bCs/>
          <w:sz w:val="20"/>
          <w:szCs w:val="20"/>
          <w:lang w:eastAsia="nl-NL"/>
        </w:rPr>
      </w:pPr>
    </w:p>
    <w:p w:rsidR="005A154B" w:rsidP="005A154B" w:rsidRDefault="005A154B">
      <w:pPr>
        <w:rPr>
          <w:rFonts w:ascii="Tahoma" w:hAnsi="Tahoma" w:eastAsia="Times New Roman" w:cs="Tahoma"/>
          <w:b/>
          <w:bCs/>
          <w:sz w:val="20"/>
          <w:szCs w:val="20"/>
          <w:lang w:eastAsia="nl-NL"/>
        </w:rPr>
      </w:pPr>
    </w:p>
    <w:p w:rsidR="005A154B" w:rsidP="005A154B" w:rsidRDefault="005A154B">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EZK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14 november 2018 12:23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GC-Commissie-EZK</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E-MAILPROCEDURE: EU-prioriteiten op basis van het Werkprogramma 2019 van de Europese Commissie</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5A154B" w:rsidP="005A154B" w:rsidRDefault="005A154B"/>
    <w:p w:rsidR="005A154B" w:rsidP="005A154B" w:rsidRDefault="005A154B">
      <w:r>
        <w:t>Geachte (</w:t>
      </w:r>
      <w:proofErr w:type="spellStart"/>
      <w:r>
        <w:t>plv</w:t>
      </w:r>
      <w:proofErr w:type="spellEnd"/>
      <w:r>
        <w:t xml:space="preserve">.) leden van de vaste commissie voor Economische Zaken en Klimaat, </w:t>
      </w:r>
    </w:p>
    <w:p w:rsidR="005A154B" w:rsidP="005A154B" w:rsidRDefault="005A154B"/>
    <w:p w:rsidR="005A154B" w:rsidP="005A154B" w:rsidRDefault="005A154B">
      <w:r>
        <w:t xml:space="preserve">Tijdens de procedurevergadering van uw commissie op 13 november jl. is besloten via een e-mailprocedure de prioriteiten van de fracties te inventariseren met betrekking tot het werkprogramma van de Europese Commissie voor 2019 (zie de </w:t>
      </w:r>
      <w:hyperlink w:history="1" r:id="rId6">
        <w:r>
          <w:rPr>
            <w:rStyle w:val="Hyperlink"/>
          </w:rPr>
          <w:t>stafnotitie</w:t>
        </w:r>
      </w:hyperlink>
      <w:r>
        <w:t xml:space="preserve"> voor een toelichting). </w:t>
      </w:r>
    </w:p>
    <w:p w:rsidR="005A154B" w:rsidP="005A154B" w:rsidRDefault="005A154B"/>
    <w:p w:rsidR="005A154B" w:rsidP="005A154B" w:rsidRDefault="005A154B">
      <w:r>
        <w:t xml:space="preserve">U kunt voor de aangekondigde voorstellen in onderstaande tabellen met een kruisje aangeven of het voorstel als </w:t>
      </w:r>
      <w:proofErr w:type="gramStart"/>
      <w:r>
        <w:t>prioritair</w:t>
      </w:r>
      <w:proofErr w:type="gramEnd"/>
      <w:r>
        <w:t xml:space="preserve"> dossier zou moeten worden aangemerkt, en zo ja, of er een subsidiariteitstoets en/of behandelvoorbehoud op geplaatst zou moeten worden op het moment dat de voorstellen daadwerkelijk verschijnen.</w:t>
      </w:r>
    </w:p>
    <w:p w:rsidR="005A154B" w:rsidP="005A154B" w:rsidRDefault="005A154B"/>
    <w:p w:rsidR="005A154B" w:rsidP="005A154B" w:rsidRDefault="005A154B">
      <w:pPr>
        <w:rPr>
          <w:lang w:eastAsia="nl-NL"/>
        </w:rPr>
      </w:pPr>
      <w:r>
        <w:rPr>
          <w:lang w:eastAsia="nl-NL"/>
        </w:rPr>
        <w:t>Tijdens de eerstvolgende procedurevergadering van uw commissie op dinsdag 27 november zal de uiteindelijke prioriteitenlijst voor uw commissie worden vastgesteld. Deze lijst wordt gebaseerd op basis van de voorstellen die door een Kamermeerderheid zijn aangekruist.</w:t>
      </w:r>
    </w:p>
    <w:p w:rsidR="005A154B" w:rsidP="005A154B" w:rsidRDefault="005A154B"/>
    <w:p w:rsidR="005A154B" w:rsidP="005A154B" w:rsidRDefault="005A154B">
      <w:pPr>
        <w:rPr>
          <w:u w:val="single"/>
        </w:rPr>
      </w:pPr>
      <w:r>
        <w:rPr>
          <w:u w:val="single"/>
        </w:rPr>
        <w:t xml:space="preserve">U kunt tot uiterlijk </w:t>
      </w:r>
      <w:r>
        <w:rPr>
          <w:b/>
          <w:bCs/>
          <w:u w:val="single"/>
        </w:rPr>
        <w:t xml:space="preserve">dinsdag 20 november 16.00 uur </w:t>
      </w:r>
      <w:r>
        <w:rPr>
          <w:u w:val="single"/>
        </w:rPr>
        <w:t>door middel van reactie (</w:t>
      </w:r>
      <w:r>
        <w:rPr>
          <w:i/>
          <w:iCs/>
          <w:u w:val="single"/>
        </w:rPr>
        <w:t>beantwoorden</w:t>
      </w:r>
      <w:r>
        <w:rPr>
          <w:u w:val="single"/>
        </w:rPr>
        <w:t>) op dit bericht de keuze van uw fractie kenbaar maken, waarbij u wordt verzocht de selectie van prioriteiten van uw fractie in onderstaande tabel aan te geven.</w:t>
      </w:r>
    </w:p>
    <w:p w:rsidR="005A154B" w:rsidP="005A154B" w:rsidRDefault="005A154B"/>
    <w:p w:rsidR="005A154B" w:rsidP="005A154B" w:rsidRDefault="005A154B">
      <w:pPr>
        <w:rPr>
          <w:b/>
          <w:bCs/>
        </w:rPr>
      </w:pPr>
      <w:r>
        <w:rPr>
          <w:b/>
          <w:bCs/>
        </w:rPr>
        <w:t>Nieuwe voorstellen die betrekking hebben op de commissie Economische Zaken en Klimaat</w:t>
      </w:r>
    </w:p>
    <w:p w:rsidR="005A154B" w:rsidP="005A154B" w:rsidRDefault="005A154B">
      <w:pPr>
        <w:rPr>
          <w:b/>
          <w:bCs/>
        </w:rPr>
      </w:pPr>
    </w:p>
    <w:tbl>
      <w:tblPr>
        <w:tblW w:w="14595" w:type="dxa"/>
        <w:tblCellMar>
          <w:left w:w="0" w:type="dxa"/>
          <w:right w:w="0" w:type="dxa"/>
        </w:tblCellMar>
        <w:tblLook w:val="04A0" w:firstRow="1" w:lastRow="0" w:firstColumn="1" w:lastColumn="0" w:noHBand="0" w:noVBand="1"/>
      </w:tblPr>
      <w:tblGrid>
        <w:gridCol w:w="3607"/>
        <w:gridCol w:w="6206"/>
        <w:gridCol w:w="1161"/>
        <w:gridCol w:w="1980"/>
        <w:gridCol w:w="1641"/>
      </w:tblGrid>
      <w:tr w:rsidR="005A154B" w:rsidTr="005A154B">
        <w:trPr>
          <w:trHeight w:val="165"/>
        </w:trPr>
        <w:tc>
          <w:tcPr>
            <w:tcW w:w="36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5A154B" w:rsidRDefault="005A154B">
            <w:pPr>
              <w:rPr>
                <w:b/>
                <w:bCs/>
              </w:rPr>
            </w:pPr>
            <w:r>
              <w:rPr>
                <w:b/>
                <w:bCs/>
              </w:rPr>
              <w:t>Voorstel</w:t>
            </w:r>
          </w:p>
        </w:tc>
        <w:tc>
          <w:tcPr>
            <w:tcW w:w="620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5A154B" w:rsidRDefault="005A154B">
            <w:pPr>
              <w:rPr>
                <w:b/>
                <w:bCs/>
              </w:rPr>
            </w:pPr>
            <w:r>
              <w:rPr>
                <w:b/>
                <w:bCs/>
              </w:rPr>
              <w:t>Omschrijving</w:t>
            </w:r>
          </w:p>
        </w:tc>
        <w:tc>
          <w:tcPr>
            <w:tcW w:w="116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b/>
                <w:bCs/>
              </w:rPr>
            </w:pPr>
            <w:proofErr w:type="gramStart"/>
            <w:r>
              <w:rPr>
                <w:b/>
                <w:bCs/>
              </w:rPr>
              <w:t>Prioritair</w:t>
            </w:r>
            <w:proofErr w:type="gramEnd"/>
          </w:p>
        </w:tc>
        <w:tc>
          <w:tcPr>
            <w:tcW w:w="19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b/>
                <w:bCs/>
              </w:rPr>
            </w:pPr>
            <w:r>
              <w:rPr>
                <w:b/>
                <w:bCs/>
              </w:rPr>
              <w:t>Subsidiariteits-toets</w:t>
            </w:r>
          </w:p>
        </w:tc>
        <w:tc>
          <w:tcPr>
            <w:tcW w:w="164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b/>
                <w:bCs/>
              </w:rPr>
            </w:pPr>
            <w:r>
              <w:rPr>
                <w:b/>
                <w:bCs/>
              </w:rPr>
              <w:t>Behandel-voorbehoud</w:t>
            </w:r>
          </w:p>
        </w:tc>
      </w:tr>
      <w:tr w:rsidR="005A154B" w:rsidTr="005A154B">
        <w:trPr>
          <w:trHeight w:val="165"/>
        </w:trPr>
        <w:tc>
          <w:tcPr>
            <w:tcW w:w="3606" w:type="dxa"/>
            <w:tcBorders>
              <w:top w:val="nil"/>
              <w:left w:val="single" w:color="auto" w:sz="8" w:space="0"/>
              <w:bottom w:val="single" w:color="auto" w:sz="8" w:space="0"/>
              <w:right w:val="nil"/>
            </w:tcBorders>
            <w:tcMar>
              <w:top w:w="0" w:type="dxa"/>
              <w:left w:w="108" w:type="dxa"/>
              <w:bottom w:w="0" w:type="dxa"/>
              <w:right w:w="108" w:type="dxa"/>
            </w:tcMar>
          </w:tcPr>
          <w:p w:rsidR="005A154B" w:rsidRDefault="005A154B">
            <w:pPr>
              <w:rPr>
                <w:b/>
                <w:bCs/>
              </w:rPr>
            </w:pPr>
          </w:p>
        </w:tc>
        <w:tc>
          <w:tcPr>
            <w:tcW w:w="6206" w:type="dxa"/>
            <w:tcBorders>
              <w:top w:val="nil"/>
              <w:left w:val="nil"/>
              <w:bottom w:val="single" w:color="auto" w:sz="8" w:space="0"/>
              <w:right w:val="nil"/>
            </w:tcBorders>
            <w:tcMar>
              <w:top w:w="0" w:type="dxa"/>
              <w:left w:w="108" w:type="dxa"/>
              <w:bottom w:w="0" w:type="dxa"/>
              <w:right w:w="108" w:type="dxa"/>
            </w:tcMar>
            <w:hideMark/>
          </w:tcPr>
          <w:p w:rsidR="005A154B" w:rsidRDefault="005A154B">
            <w:pPr>
              <w:rPr>
                <w:b/>
                <w:bCs/>
              </w:rPr>
            </w:pPr>
            <w:r>
              <w:rPr>
                <w:b/>
                <w:bCs/>
              </w:rPr>
              <w:t>Een nieuwe impuls voor banen, groei en investeringen</w:t>
            </w:r>
          </w:p>
        </w:tc>
        <w:tc>
          <w:tcPr>
            <w:tcW w:w="1161" w:type="dxa"/>
            <w:tcBorders>
              <w:top w:val="nil"/>
              <w:left w:val="nil"/>
              <w:bottom w:val="single" w:color="auto" w:sz="8" w:space="0"/>
              <w:right w:val="nil"/>
            </w:tcBorders>
            <w:tcMar>
              <w:top w:w="0" w:type="dxa"/>
              <w:left w:w="108" w:type="dxa"/>
              <w:bottom w:w="0" w:type="dxa"/>
              <w:right w:w="108" w:type="dxa"/>
            </w:tcMar>
          </w:tcPr>
          <w:p w:rsidR="005A154B" w:rsidRDefault="005A154B">
            <w:pPr>
              <w:autoSpaceDE w:val="0"/>
              <w:autoSpaceDN w:val="0"/>
              <w:rPr>
                <w:b/>
                <w:bCs/>
              </w:rPr>
            </w:pPr>
          </w:p>
        </w:tc>
        <w:tc>
          <w:tcPr>
            <w:tcW w:w="1980" w:type="dxa"/>
            <w:tcBorders>
              <w:top w:val="nil"/>
              <w:left w:val="nil"/>
              <w:bottom w:val="single" w:color="auto" w:sz="8" w:space="0"/>
              <w:right w:val="nil"/>
            </w:tcBorders>
            <w:tcMar>
              <w:top w:w="0" w:type="dxa"/>
              <w:left w:w="108" w:type="dxa"/>
              <w:bottom w:w="0" w:type="dxa"/>
              <w:right w:w="108" w:type="dxa"/>
            </w:tcMar>
          </w:tcPr>
          <w:p w:rsidR="005A154B" w:rsidRDefault="005A154B">
            <w:pPr>
              <w:autoSpaceDE w:val="0"/>
              <w:autoSpaceDN w:val="0"/>
              <w:rPr>
                <w:b/>
                <w:bCs/>
              </w:rPr>
            </w:pPr>
          </w:p>
        </w:tc>
        <w:tc>
          <w:tcPr>
            <w:tcW w:w="1641" w:type="dxa"/>
            <w:tcBorders>
              <w:top w:val="nil"/>
              <w:left w:val="nil"/>
              <w:bottom w:val="single" w:color="auto" w:sz="8" w:space="0"/>
              <w:right w:val="single" w:color="auto" w:sz="8" w:space="0"/>
            </w:tcBorders>
            <w:tcMar>
              <w:top w:w="0" w:type="dxa"/>
              <w:left w:w="108" w:type="dxa"/>
              <w:bottom w:w="0" w:type="dxa"/>
              <w:right w:w="108" w:type="dxa"/>
            </w:tcMar>
          </w:tcPr>
          <w:p w:rsidR="005A154B" w:rsidRDefault="005A154B">
            <w:pPr>
              <w:autoSpaceDE w:val="0"/>
              <w:autoSpaceDN w:val="0"/>
              <w:rPr>
                <w:b/>
                <w:bCs/>
              </w:rPr>
            </w:pPr>
          </w:p>
        </w:tc>
      </w:tr>
      <w:tr w:rsidR="005A154B" w:rsidTr="005A154B">
        <w:trPr>
          <w:trHeight w:val="165"/>
        </w:trPr>
        <w:tc>
          <w:tcPr>
            <w:tcW w:w="360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5A154B" w:rsidRDefault="005A154B">
            <w:pPr>
              <w:pStyle w:val="Lijstalinea"/>
              <w:ind w:left="360"/>
              <w:rPr>
                <w:lang w:val="en-GB"/>
              </w:rPr>
            </w:pPr>
          </w:p>
          <w:p w:rsidR="005A154B" w:rsidP="00C25CEC" w:rsidRDefault="005A154B">
            <w:pPr>
              <w:pStyle w:val="Lijstalinea"/>
              <w:numPr>
                <w:ilvl w:val="0"/>
                <w:numId w:val="1"/>
              </w:numPr>
              <w:rPr>
                <w:lang w:val="en-GB"/>
              </w:rPr>
            </w:pPr>
            <w:proofErr w:type="spellStart"/>
            <w:r>
              <w:rPr>
                <w:lang w:val="en-GB"/>
              </w:rPr>
              <w:t>Een</w:t>
            </w:r>
            <w:proofErr w:type="spellEnd"/>
            <w:r>
              <w:rPr>
                <w:lang w:val="en-GB"/>
              </w:rPr>
              <w:t xml:space="preserve"> </w:t>
            </w:r>
            <w:proofErr w:type="spellStart"/>
            <w:r>
              <w:rPr>
                <w:lang w:val="en-GB"/>
              </w:rPr>
              <w:t>duurzame</w:t>
            </w:r>
            <w:proofErr w:type="spellEnd"/>
            <w:r>
              <w:rPr>
                <w:lang w:val="en-GB"/>
              </w:rPr>
              <w:t xml:space="preserve"> </w:t>
            </w:r>
            <w:proofErr w:type="spellStart"/>
            <w:r>
              <w:rPr>
                <w:lang w:val="en-GB"/>
              </w:rPr>
              <w:t>Europese</w:t>
            </w:r>
            <w:proofErr w:type="spellEnd"/>
            <w:r>
              <w:rPr>
                <w:lang w:val="en-GB"/>
              </w:rPr>
              <w:t xml:space="preserve"> </w:t>
            </w:r>
            <w:proofErr w:type="spellStart"/>
            <w:r>
              <w:rPr>
                <w:lang w:val="en-GB"/>
              </w:rPr>
              <w:t>toekomst</w:t>
            </w:r>
            <w:proofErr w:type="spellEnd"/>
          </w:p>
        </w:tc>
        <w:tc>
          <w:tcPr>
            <w:tcW w:w="6206" w:type="dxa"/>
            <w:tcBorders>
              <w:top w:val="nil"/>
              <w:left w:val="nil"/>
              <w:bottom w:val="single" w:color="auto" w:sz="8" w:space="0"/>
              <w:right w:val="single" w:color="auto" w:sz="8" w:space="0"/>
            </w:tcBorders>
            <w:tcMar>
              <w:top w:w="0" w:type="dxa"/>
              <w:left w:w="108" w:type="dxa"/>
              <w:bottom w:w="0" w:type="dxa"/>
              <w:right w:w="108" w:type="dxa"/>
            </w:tcMar>
          </w:tcPr>
          <w:p w:rsidR="005A154B" w:rsidRDefault="005A154B">
            <w:pPr>
              <w:pStyle w:val="Default"/>
              <w:rPr>
                <w:rFonts w:ascii="Calibri" w:hAnsi="Calibri"/>
                <w:color w:val="auto"/>
                <w:sz w:val="22"/>
                <w:szCs w:val="22"/>
              </w:rPr>
            </w:pPr>
            <w:r>
              <w:rPr>
                <w:rFonts w:ascii="Calibri" w:hAnsi="Calibri"/>
                <w:color w:val="auto"/>
                <w:sz w:val="22"/>
                <w:szCs w:val="22"/>
              </w:rPr>
              <w:t xml:space="preserve">Discussienota "Naar een duurzaam Europa in 2030, over de follow-up van de VN-doelstellingen </w:t>
            </w:r>
            <w:proofErr w:type="gramStart"/>
            <w:r>
              <w:rPr>
                <w:rFonts w:ascii="Calibri" w:hAnsi="Calibri"/>
                <w:color w:val="auto"/>
                <w:sz w:val="22"/>
                <w:szCs w:val="22"/>
              </w:rPr>
              <w:t>inzake</w:t>
            </w:r>
            <w:proofErr w:type="gramEnd"/>
            <w:r>
              <w:rPr>
                <w:rFonts w:ascii="Calibri" w:hAnsi="Calibri"/>
                <w:color w:val="auto"/>
                <w:sz w:val="22"/>
                <w:szCs w:val="22"/>
              </w:rPr>
              <w:t xml:space="preserve"> duurzame ontwikkeling en de overeenkomst van Parijs inzake klimaatverandering" (niet-wetgevend, 4e kwartaal 2018)</w:t>
            </w:r>
          </w:p>
          <w:p w:rsidR="005A154B" w:rsidRDefault="005A154B">
            <w:pPr>
              <w:pStyle w:val="Default"/>
              <w:rPr>
                <w:rFonts w:ascii="Calibri" w:hAnsi="Calibri"/>
                <w:color w:val="auto"/>
                <w:sz w:val="22"/>
                <w:szCs w:val="22"/>
              </w:rPr>
            </w:pPr>
          </w:p>
        </w:tc>
        <w:tc>
          <w:tcPr>
            <w:tcW w:w="1161" w:type="dxa"/>
            <w:tcBorders>
              <w:top w:val="nil"/>
              <w:left w:val="nil"/>
              <w:bottom w:val="single" w:color="auto" w:sz="8" w:space="0"/>
              <w:right w:val="single" w:color="auto" w:sz="8" w:space="0"/>
            </w:tcBorders>
            <w:tcMar>
              <w:top w:w="0" w:type="dxa"/>
              <w:left w:w="108" w:type="dxa"/>
              <w:bottom w:w="0" w:type="dxa"/>
              <w:right w:w="108" w:type="dxa"/>
            </w:tcMar>
          </w:tcPr>
          <w:p w:rsidR="005A154B" w:rsidRDefault="005A154B">
            <w:pPr>
              <w:autoSpaceDE w:val="0"/>
              <w:autoSpaceDN w:val="0"/>
              <w:rPr>
                <w:b/>
                <w:bCs/>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lang w:val="en-GB"/>
              </w:rPr>
            </w:pPr>
            <w:r>
              <w:rPr>
                <w:lang w:val="en-GB"/>
              </w:rPr>
              <w:t>N.v.t</w:t>
            </w:r>
          </w:p>
        </w:tc>
        <w:tc>
          <w:tcPr>
            <w:tcW w:w="1641"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lang w:val="en-GB"/>
              </w:rPr>
            </w:pPr>
            <w:r>
              <w:rPr>
                <w:lang w:val="en-GB"/>
              </w:rPr>
              <w:t>N.v.t.</w:t>
            </w:r>
          </w:p>
        </w:tc>
      </w:tr>
      <w:tr w:rsidR="005A154B" w:rsidTr="005A154B">
        <w:trPr>
          <w:trHeight w:val="165"/>
        </w:trPr>
        <w:tc>
          <w:tcPr>
            <w:tcW w:w="3606" w:type="dxa"/>
            <w:tcBorders>
              <w:top w:val="nil"/>
              <w:left w:val="single" w:color="auto" w:sz="8" w:space="0"/>
              <w:bottom w:val="single" w:color="auto" w:sz="8" w:space="0"/>
              <w:right w:val="nil"/>
            </w:tcBorders>
            <w:tcMar>
              <w:top w:w="0" w:type="dxa"/>
              <w:left w:w="108" w:type="dxa"/>
              <w:bottom w:w="0" w:type="dxa"/>
              <w:right w:w="108" w:type="dxa"/>
            </w:tcMar>
          </w:tcPr>
          <w:p w:rsidR="005A154B" w:rsidRDefault="005A154B">
            <w:pPr>
              <w:rPr>
                <w:lang w:val="en-GB"/>
              </w:rPr>
            </w:pPr>
          </w:p>
        </w:tc>
        <w:tc>
          <w:tcPr>
            <w:tcW w:w="6206" w:type="dxa"/>
            <w:tcBorders>
              <w:top w:val="nil"/>
              <w:left w:val="nil"/>
              <w:bottom w:val="single" w:color="auto" w:sz="8" w:space="0"/>
              <w:right w:val="nil"/>
            </w:tcBorders>
            <w:tcMar>
              <w:top w:w="0" w:type="dxa"/>
              <w:left w:w="108" w:type="dxa"/>
              <w:bottom w:w="0" w:type="dxa"/>
              <w:right w:w="108" w:type="dxa"/>
            </w:tcMar>
            <w:hideMark/>
          </w:tcPr>
          <w:p w:rsidR="005A154B" w:rsidRDefault="005A154B">
            <w:pPr>
              <w:pStyle w:val="Default"/>
              <w:rPr>
                <w:rFonts w:ascii="Calibri" w:hAnsi="Calibri"/>
                <w:b/>
                <w:bCs/>
                <w:color w:val="auto"/>
                <w:sz w:val="22"/>
                <w:szCs w:val="22"/>
              </w:rPr>
            </w:pPr>
            <w:r>
              <w:rPr>
                <w:rFonts w:ascii="Calibri" w:hAnsi="Calibri"/>
                <w:b/>
                <w:bCs/>
                <w:color w:val="auto"/>
                <w:sz w:val="22"/>
                <w:szCs w:val="22"/>
              </w:rPr>
              <w:t xml:space="preserve">Een connectieve digitale eengemaakte markt </w:t>
            </w:r>
          </w:p>
        </w:tc>
        <w:tc>
          <w:tcPr>
            <w:tcW w:w="1161" w:type="dxa"/>
            <w:tcBorders>
              <w:top w:val="nil"/>
              <w:left w:val="nil"/>
              <w:bottom w:val="single" w:color="auto" w:sz="8" w:space="0"/>
              <w:right w:val="nil"/>
            </w:tcBorders>
            <w:tcMar>
              <w:top w:w="0" w:type="dxa"/>
              <w:left w:w="108" w:type="dxa"/>
              <w:bottom w:w="0" w:type="dxa"/>
              <w:right w:w="108" w:type="dxa"/>
            </w:tcMar>
          </w:tcPr>
          <w:p w:rsidR="005A154B" w:rsidRDefault="005A154B">
            <w:pPr>
              <w:autoSpaceDE w:val="0"/>
              <w:autoSpaceDN w:val="0"/>
              <w:rPr>
                <w:b/>
                <w:bCs/>
              </w:rPr>
            </w:pPr>
          </w:p>
        </w:tc>
        <w:tc>
          <w:tcPr>
            <w:tcW w:w="1980" w:type="dxa"/>
            <w:tcBorders>
              <w:top w:val="nil"/>
              <w:left w:val="nil"/>
              <w:bottom w:val="single" w:color="auto" w:sz="8" w:space="0"/>
              <w:right w:val="nil"/>
            </w:tcBorders>
            <w:tcMar>
              <w:top w:w="0" w:type="dxa"/>
              <w:left w:w="108" w:type="dxa"/>
              <w:bottom w:w="0" w:type="dxa"/>
              <w:right w:w="108" w:type="dxa"/>
            </w:tcMar>
          </w:tcPr>
          <w:p w:rsidR="005A154B" w:rsidRDefault="005A154B">
            <w:pPr>
              <w:autoSpaceDE w:val="0"/>
              <w:autoSpaceDN w:val="0"/>
            </w:pPr>
          </w:p>
        </w:tc>
        <w:tc>
          <w:tcPr>
            <w:tcW w:w="1641" w:type="dxa"/>
            <w:tcBorders>
              <w:top w:val="nil"/>
              <w:left w:val="nil"/>
              <w:bottom w:val="single" w:color="auto" w:sz="8" w:space="0"/>
              <w:right w:val="single" w:color="auto" w:sz="8" w:space="0"/>
            </w:tcBorders>
            <w:tcMar>
              <w:top w:w="0" w:type="dxa"/>
              <w:left w:w="108" w:type="dxa"/>
              <w:bottom w:w="0" w:type="dxa"/>
              <w:right w:w="108" w:type="dxa"/>
            </w:tcMar>
          </w:tcPr>
          <w:p w:rsidR="005A154B" w:rsidRDefault="005A154B">
            <w:pPr>
              <w:autoSpaceDE w:val="0"/>
              <w:autoSpaceDN w:val="0"/>
            </w:pPr>
          </w:p>
        </w:tc>
      </w:tr>
      <w:tr w:rsidR="005A154B" w:rsidTr="005A154B">
        <w:trPr>
          <w:trHeight w:val="165"/>
        </w:trPr>
        <w:tc>
          <w:tcPr>
            <w:tcW w:w="360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5A154B" w:rsidRDefault="005A154B">
            <w:pPr>
              <w:pStyle w:val="Lijstalinea"/>
              <w:ind w:left="360"/>
              <w:rPr>
                <w:lang w:eastAsia="en-US"/>
              </w:rPr>
            </w:pPr>
          </w:p>
          <w:p w:rsidR="005A154B" w:rsidP="00C25CEC" w:rsidRDefault="005A154B">
            <w:pPr>
              <w:pStyle w:val="Lijstalinea"/>
              <w:numPr>
                <w:ilvl w:val="0"/>
                <w:numId w:val="1"/>
              </w:numPr>
              <w:rPr>
                <w:lang w:eastAsia="en-US"/>
              </w:rPr>
            </w:pPr>
            <w:r>
              <w:t>Voltooiing van de digitale eengemaakte markt</w:t>
            </w:r>
          </w:p>
        </w:tc>
        <w:tc>
          <w:tcPr>
            <w:tcW w:w="6206"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r>
              <w:t>a. Gecoördineerd plan voor de ontwikkeling van kunstmatige intelligentie in Europa (niet-wetgevend, 4e kwartaal 2018)</w:t>
            </w:r>
          </w:p>
        </w:tc>
        <w:tc>
          <w:tcPr>
            <w:tcW w:w="1161" w:type="dxa"/>
            <w:tcBorders>
              <w:top w:val="nil"/>
              <w:left w:val="nil"/>
              <w:bottom w:val="single" w:color="auto" w:sz="8" w:space="0"/>
              <w:right w:val="single" w:color="auto" w:sz="8" w:space="0"/>
            </w:tcBorders>
            <w:tcMar>
              <w:top w:w="0" w:type="dxa"/>
              <w:left w:w="108" w:type="dxa"/>
              <w:bottom w:w="0" w:type="dxa"/>
              <w:right w:w="108" w:type="dxa"/>
            </w:tcMar>
          </w:tcPr>
          <w:p w:rsidR="005A154B" w:rsidRDefault="005A154B">
            <w:pPr>
              <w:autoSpaceDE w:val="0"/>
              <w:autoSpaceDN w:val="0"/>
              <w:rPr>
                <w:b/>
                <w:bCs/>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lang w:val="en-GB"/>
              </w:rPr>
            </w:pPr>
            <w:r>
              <w:rPr>
                <w:lang w:val="en-GB"/>
              </w:rPr>
              <w:t xml:space="preserve">N.v.t. </w:t>
            </w:r>
          </w:p>
        </w:tc>
        <w:tc>
          <w:tcPr>
            <w:tcW w:w="1641"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lang w:val="en-GB"/>
              </w:rPr>
            </w:pPr>
            <w:r>
              <w:rPr>
                <w:lang w:val="en-GB"/>
              </w:rPr>
              <w:t xml:space="preserve">N.v.t. </w:t>
            </w:r>
          </w:p>
        </w:tc>
      </w:tr>
      <w:tr w:rsidR="005A154B" w:rsidTr="005A154B">
        <w:trPr>
          <w:trHeight w:val="165"/>
        </w:trPr>
        <w:tc>
          <w:tcPr>
            <w:tcW w:w="3606" w:type="dxa"/>
            <w:tcBorders>
              <w:top w:val="nil"/>
              <w:left w:val="single" w:color="auto" w:sz="8" w:space="0"/>
              <w:bottom w:val="single" w:color="auto" w:sz="8" w:space="0"/>
              <w:right w:val="nil"/>
            </w:tcBorders>
            <w:tcMar>
              <w:top w:w="0" w:type="dxa"/>
              <w:left w:w="108" w:type="dxa"/>
              <w:bottom w:w="0" w:type="dxa"/>
              <w:right w:w="108" w:type="dxa"/>
            </w:tcMar>
          </w:tcPr>
          <w:p w:rsidR="005A154B" w:rsidRDefault="005A154B">
            <w:pPr>
              <w:rPr>
                <w:lang w:val="en-GB"/>
              </w:rPr>
            </w:pPr>
          </w:p>
          <w:p w:rsidR="005A154B" w:rsidRDefault="005A154B">
            <w:pPr>
              <w:rPr>
                <w:lang w:val="en-GB"/>
              </w:rPr>
            </w:pPr>
          </w:p>
        </w:tc>
        <w:tc>
          <w:tcPr>
            <w:tcW w:w="6206" w:type="dxa"/>
            <w:tcBorders>
              <w:top w:val="nil"/>
              <w:left w:val="nil"/>
              <w:bottom w:val="single" w:color="auto" w:sz="8" w:space="0"/>
              <w:right w:val="nil"/>
            </w:tcBorders>
            <w:tcMar>
              <w:top w:w="0" w:type="dxa"/>
              <w:left w:w="108" w:type="dxa"/>
              <w:bottom w:w="0" w:type="dxa"/>
              <w:right w:w="108" w:type="dxa"/>
            </w:tcMar>
            <w:hideMark/>
          </w:tcPr>
          <w:p w:rsidR="005A154B" w:rsidRDefault="005A154B">
            <w:r>
              <w:rPr>
                <w:b/>
                <w:bCs/>
              </w:rPr>
              <w:t xml:space="preserve">Een schokbestendige energie-unie met een toekomstgericht beleid </w:t>
            </w:r>
            <w:proofErr w:type="gramStart"/>
            <w:r>
              <w:rPr>
                <w:b/>
                <w:bCs/>
              </w:rPr>
              <w:t>inzake</w:t>
            </w:r>
            <w:proofErr w:type="gramEnd"/>
            <w:r>
              <w:rPr>
                <w:b/>
                <w:bCs/>
              </w:rPr>
              <w:t xml:space="preserve"> klimaatverandering</w:t>
            </w:r>
          </w:p>
        </w:tc>
        <w:tc>
          <w:tcPr>
            <w:tcW w:w="1161" w:type="dxa"/>
            <w:tcBorders>
              <w:top w:val="nil"/>
              <w:left w:val="nil"/>
              <w:bottom w:val="single" w:color="auto" w:sz="8" w:space="0"/>
              <w:right w:val="nil"/>
            </w:tcBorders>
            <w:tcMar>
              <w:top w:w="0" w:type="dxa"/>
              <w:left w:w="108" w:type="dxa"/>
              <w:bottom w:w="0" w:type="dxa"/>
              <w:right w:w="108" w:type="dxa"/>
            </w:tcMar>
          </w:tcPr>
          <w:p w:rsidR="005A154B" w:rsidRDefault="005A154B">
            <w:pPr>
              <w:autoSpaceDE w:val="0"/>
              <w:autoSpaceDN w:val="0"/>
              <w:rPr>
                <w:b/>
                <w:bCs/>
              </w:rPr>
            </w:pPr>
          </w:p>
        </w:tc>
        <w:tc>
          <w:tcPr>
            <w:tcW w:w="1980" w:type="dxa"/>
            <w:tcBorders>
              <w:top w:val="nil"/>
              <w:left w:val="nil"/>
              <w:bottom w:val="single" w:color="auto" w:sz="8" w:space="0"/>
              <w:right w:val="nil"/>
            </w:tcBorders>
            <w:tcMar>
              <w:top w:w="0" w:type="dxa"/>
              <w:left w:w="108" w:type="dxa"/>
              <w:bottom w:w="0" w:type="dxa"/>
              <w:right w:w="108" w:type="dxa"/>
            </w:tcMar>
          </w:tcPr>
          <w:p w:rsidR="005A154B" w:rsidRDefault="005A154B">
            <w:pPr>
              <w:autoSpaceDE w:val="0"/>
              <w:autoSpaceDN w:val="0"/>
            </w:pPr>
          </w:p>
        </w:tc>
        <w:tc>
          <w:tcPr>
            <w:tcW w:w="1641" w:type="dxa"/>
            <w:tcBorders>
              <w:top w:val="nil"/>
              <w:left w:val="nil"/>
              <w:bottom w:val="single" w:color="auto" w:sz="8" w:space="0"/>
              <w:right w:val="single" w:color="auto" w:sz="8" w:space="0"/>
            </w:tcBorders>
            <w:tcMar>
              <w:top w:w="0" w:type="dxa"/>
              <w:left w:w="108" w:type="dxa"/>
              <w:bottom w:w="0" w:type="dxa"/>
              <w:right w:w="108" w:type="dxa"/>
            </w:tcMar>
          </w:tcPr>
          <w:p w:rsidR="005A154B" w:rsidRDefault="005A154B">
            <w:pPr>
              <w:autoSpaceDE w:val="0"/>
              <w:autoSpaceDN w:val="0"/>
            </w:pPr>
          </w:p>
        </w:tc>
      </w:tr>
      <w:tr w:rsidR="005A154B" w:rsidTr="005A154B">
        <w:trPr>
          <w:trHeight w:val="165"/>
        </w:trPr>
        <w:tc>
          <w:tcPr>
            <w:tcW w:w="360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5A154B" w:rsidRDefault="005A154B">
            <w:pPr>
              <w:pStyle w:val="Lijstalinea"/>
              <w:ind w:left="360"/>
              <w:rPr>
                <w:lang w:eastAsia="en-US"/>
              </w:rPr>
            </w:pPr>
          </w:p>
          <w:p w:rsidR="005A154B" w:rsidP="00C25CEC" w:rsidRDefault="005A154B">
            <w:pPr>
              <w:pStyle w:val="Lijstalinea"/>
              <w:numPr>
                <w:ilvl w:val="0"/>
                <w:numId w:val="1"/>
              </w:numPr>
              <w:rPr>
                <w:lang w:eastAsia="en-US"/>
              </w:rPr>
            </w:pPr>
            <w:r>
              <w:t>Tenuitvoerlegging van de overeenkomst van Parijs</w:t>
            </w:r>
          </w:p>
        </w:tc>
        <w:tc>
          <w:tcPr>
            <w:tcW w:w="6206"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pStyle w:val="Default"/>
              <w:rPr>
                <w:rFonts w:ascii="Calibri" w:hAnsi="Calibri"/>
                <w:color w:val="auto"/>
                <w:sz w:val="22"/>
                <w:szCs w:val="22"/>
              </w:rPr>
            </w:pPr>
            <w:r>
              <w:rPr>
                <w:rFonts w:ascii="Calibri" w:hAnsi="Calibri"/>
                <w:color w:val="auto"/>
                <w:sz w:val="22"/>
                <w:szCs w:val="22"/>
              </w:rPr>
              <w:t xml:space="preserve">Strategie voor </w:t>
            </w:r>
            <w:proofErr w:type="gramStart"/>
            <w:r>
              <w:rPr>
                <w:rFonts w:ascii="Calibri" w:hAnsi="Calibri"/>
                <w:color w:val="auto"/>
                <w:sz w:val="22"/>
                <w:szCs w:val="22"/>
              </w:rPr>
              <w:t>reductie</w:t>
            </w:r>
            <w:proofErr w:type="gramEnd"/>
            <w:r>
              <w:rPr>
                <w:rFonts w:ascii="Calibri" w:hAnsi="Calibri"/>
                <w:color w:val="auto"/>
                <w:sz w:val="22"/>
                <w:szCs w:val="22"/>
              </w:rPr>
              <w:t xml:space="preserve"> van EU-broeikasgasemissies op lange termijn in overeenstemming met de overeenkomst van Parijs (in de aanloop naar de klimaatveranderingsconferentie van Katowice van 3-14 december) (niet-wetgevend, 4e kwartaal 2018) </w:t>
            </w:r>
          </w:p>
        </w:tc>
        <w:tc>
          <w:tcPr>
            <w:tcW w:w="1161" w:type="dxa"/>
            <w:tcBorders>
              <w:top w:val="nil"/>
              <w:left w:val="nil"/>
              <w:bottom w:val="single" w:color="auto" w:sz="8" w:space="0"/>
              <w:right w:val="single" w:color="auto" w:sz="8" w:space="0"/>
            </w:tcBorders>
            <w:tcMar>
              <w:top w:w="0" w:type="dxa"/>
              <w:left w:w="108" w:type="dxa"/>
              <w:bottom w:w="0" w:type="dxa"/>
              <w:right w:w="108" w:type="dxa"/>
            </w:tcMar>
          </w:tcPr>
          <w:p w:rsidR="005A154B" w:rsidRDefault="005A154B">
            <w:pPr>
              <w:autoSpaceDE w:val="0"/>
              <w:autoSpaceDN w:val="0"/>
              <w:rPr>
                <w:b/>
                <w:bCs/>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lang w:val="en-GB"/>
              </w:rPr>
            </w:pPr>
            <w:r>
              <w:rPr>
                <w:lang w:val="en-GB"/>
              </w:rPr>
              <w:t xml:space="preserve">N.v.t. </w:t>
            </w:r>
          </w:p>
        </w:tc>
        <w:tc>
          <w:tcPr>
            <w:tcW w:w="1641"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lang w:val="en-GB"/>
              </w:rPr>
            </w:pPr>
            <w:r>
              <w:rPr>
                <w:lang w:val="en-GB"/>
              </w:rPr>
              <w:t xml:space="preserve">N.v.t. </w:t>
            </w:r>
          </w:p>
        </w:tc>
      </w:tr>
      <w:tr w:rsidR="005A154B" w:rsidTr="005A154B">
        <w:trPr>
          <w:trHeight w:val="165"/>
        </w:trPr>
        <w:tc>
          <w:tcPr>
            <w:tcW w:w="3606" w:type="dxa"/>
            <w:tcBorders>
              <w:top w:val="nil"/>
              <w:left w:val="single" w:color="auto" w:sz="8" w:space="0"/>
              <w:bottom w:val="nil"/>
              <w:right w:val="single" w:color="auto" w:sz="8" w:space="0"/>
            </w:tcBorders>
            <w:tcMar>
              <w:top w:w="0" w:type="dxa"/>
              <w:left w:w="108" w:type="dxa"/>
              <w:bottom w:w="0" w:type="dxa"/>
              <w:right w:w="108" w:type="dxa"/>
            </w:tcMar>
          </w:tcPr>
          <w:p w:rsidR="005A154B" w:rsidRDefault="005A154B">
            <w:pPr>
              <w:rPr>
                <w:lang w:val="en-GB"/>
              </w:rPr>
            </w:pPr>
          </w:p>
          <w:p w:rsidR="005A154B" w:rsidP="00C25CEC" w:rsidRDefault="005A154B">
            <w:pPr>
              <w:pStyle w:val="Lijstalinea"/>
              <w:numPr>
                <w:ilvl w:val="0"/>
                <w:numId w:val="1"/>
              </w:numPr>
              <w:rPr>
                <w:lang w:eastAsia="en-US"/>
              </w:rPr>
            </w:pPr>
            <w:r>
              <w:lastRenderedPageBreak/>
              <w:t>Voltooiing van de energie-unie</w:t>
            </w:r>
          </w:p>
        </w:tc>
        <w:tc>
          <w:tcPr>
            <w:tcW w:w="6206"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pStyle w:val="Default"/>
              <w:rPr>
                <w:rFonts w:ascii="Calibri" w:hAnsi="Calibri"/>
                <w:sz w:val="22"/>
                <w:szCs w:val="22"/>
                <w:lang w:eastAsia="en-US"/>
              </w:rPr>
            </w:pPr>
            <w:r>
              <w:rPr>
                <w:rFonts w:ascii="Calibri" w:hAnsi="Calibri"/>
                <w:color w:val="auto"/>
                <w:sz w:val="22"/>
                <w:szCs w:val="22"/>
              </w:rPr>
              <w:lastRenderedPageBreak/>
              <w:t xml:space="preserve">a. 4e verslag over de stand van de energie-unie (niet-wetgevend, </w:t>
            </w:r>
            <w:r>
              <w:rPr>
                <w:rFonts w:ascii="Calibri" w:hAnsi="Calibri"/>
                <w:color w:val="auto"/>
                <w:sz w:val="22"/>
                <w:szCs w:val="22"/>
              </w:rPr>
              <w:lastRenderedPageBreak/>
              <w:t>1e kwartaal 2019).</w:t>
            </w:r>
          </w:p>
        </w:tc>
        <w:tc>
          <w:tcPr>
            <w:tcW w:w="1161" w:type="dxa"/>
            <w:tcBorders>
              <w:top w:val="nil"/>
              <w:left w:val="nil"/>
              <w:bottom w:val="single" w:color="auto" w:sz="8" w:space="0"/>
              <w:right w:val="single" w:color="auto" w:sz="8" w:space="0"/>
            </w:tcBorders>
            <w:tcMar>
              <w:top w:w="0" w:type="dxa"/>
              <w:left w:w="108" w:type="dxa"/>
              <w:bottom w:w="0" w:type="dxa"/>
              <w:right w:w="108" w:type="dxa"/>
            </w:tcMar>
          </w:tcPr>
          <w:p w:rsidR="005A154B" w:rsidRDefault="005A154B">
            <w:pPr>
              <w:autoSpaceDE w:val="0"/>
              <w:autoSpaceDN w:val="0"/>
              <w:rPr>
                <w:b/>
                <w:bCs/>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lang w:val="en-GB"/>
              </w:rPr>
            </w:pPr>
            <w:r>
              <w:rPr>
                <w:lang w:val="en-GB"/>
              </w:rPr>
              <w:t xml:space="preserve">N.v.t. </w:t>
            </w:r>
          </w:p>
        </w:tc>
        <w:tc>
          <w:tcPr>
            <w:tcW w:w="1641"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lang w:val="en-GB"/>
              </w:rPr>
            </w:pPr>
            <w:r>
              <w:rPr>
                <w:lang w:val="en-GB"/>
              </w:rPr>
              <w:t xml:space="preserve">N.v.t. </w:t>
            </w:r>
          </w:p>
        </w:tc>
      </w:tr>
      <w:tr w:rsidR="005A154B" w:rsidTr="005A154B">
        <w:trPr>
          <w:trHeight w:val="165"/>
        </w:trPr>
        <w:tc>
          <w:tcPr>
            <w:tcW w:w="360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5A154B" w:rsidRDefault="005A154B">
            <w:pPr>
              <w:rPr>
                <w:lang w:val="en-GB"/>
              </w:rPr>
            </w:pPr>
          </w:p>
          <w:p w:rsidR="005A154B" w:rsidRDefault="005A154B">
            <w:pPr>
              <w:rPr>
                <w:lang w:val="en-GB"/>
              </w:rPr>
            </w:pPr>
          </w:p>
        </w:tc>
        <w:tc>
          <w:tcPr>
            <w:tcW w:w="6206"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pStyle w:val="Default"/>
              <w:rPr>
                <w:rFonts w:ascii="Calibri" w:hAnsi="Calibri"/>
                <w:color w:val="auto"/>
                <w:sz w:val="22"/>
                <w:szCs w:val="22"/>
              </w:rPr>
            </w:pPr>
            <w:r>
              <w:rPr>
                <w:rFonts w:ascii="Calibri" w:hAnsi="Calibri"/>
                <w:color w:val="auto"/>
                <w:sz w:val="22"/>
                <w:szCs w:val="22"/>
              </w:rPr>
              <w:t xml:space="preserve">b. Verslag over het strategische actieplan </w:t>
            </w:r>
            <w:proofErr w:type="gramStart"/>
            <w:r>
              <w:rPr>
                <w:rFonts w:ascii="Calibri" w:hAnsi="Calibri"/>
                <w:color w:val="auto"/>
                <w:sz w:val="22"/>
                <w:szCs w:val="22"/>
              </w:rPr>
              <w:t>inzake</w:t>
            </w:r>
            <w:proofErr w:type="gramEnd"/>
            <w:r>
              <w:rPr>
                <w:rFonts w:ascii="Calibri" w:hAnsi="Calibri"/>
                <w:color w:val="auto"/>
                <w:sz w:val="22"/>
                <w:szCs w:val="22"/>
              </w:rPr>
              <w:t xml:space="preserve"> accu's (niet-wetgevend, 1e kwartaal 2019) </w:t>
            </w:r>
          </w:p>
        </w:tc>
        <w:tc>
          <w:tcPr>
            <w:tcW w:w="1161" w:type="dxa"/>
            <w:tcBorders>
              <w:top w:val="nil"/>
              <w:left w:val="nil"/>
              <w:bottom w:val="single" w:color="auto" w:sz="8" w:space="0"/>
              <w:right w:val="single" w:color="auto" w:sz="8" w:space="0"/>
            </w:tcBorders>
            <w:tcMar>
              <w:top w:w="0" w:type="dxa"/>
              <w:left w:w="108" w:type="dxa"/>
              <w:bottom w:w="0" w:type="dxa"/>
              <w:right w:w="108" w:type="dxa"/>
            </w:tcMar>
          </w:tcPr>
          <w:p w:rsidR="005A154B" w:rsidRDefault="005A154B">
            <w:pPr>
              <w:autoSpaceDE w:val="0"/>
              <w:autoSpaceDN w:val="0"/>
              <w:rPr>
                <w:b/>
                <w:bCs/>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lang w:val="en-GB"/>
              </w:rPr>
            </w:pPr>
            <w:r>
              <w:rPr>
                <w:lang w:val="en-GB"/>
              </w:rPr>
              <w:t>N.v.t</w:t>
            </w:r>
          </w:p>
        </w:tc>
        <w:tc>
          <w:tcPr>
            <w:tcW w:w="1641"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lang w:val="en-GB"/>
              </w:rPr>
            </w:pPr>
            <w:r>
              <w:rPr>
                <w:lang w:val="en-GB"/>
              </w:rPr>
              <w:t>N.v.t.</w:t>
            </w:r>
          </w:p>
        </w:tc>
      </w:tr>
      <w:tr w:rsidR="005A154B" w:rsidTr="005A154B">
        <w:trPr>
          <w:trHeight w:val="165"/>
        </w:trPr>
        <w:tc>
          <w:tcPr>
            <w:tcW w:w="360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5A154B" w:rsidRDefault="005A154B">
            <w:pPr>
              <w:pStyle w:val="Lijstalinea"/>
              <w:spacing w:line="240" w:lineRule="auto"/>
              <w:ind w:left="360"/>
            </w:pPr>
          </w:p>
          <w:p w:rsidR="005A154B" w:rsidP="00C25CEC" w:rsidRDefault="005A154B">
            <w:pPr>
              <w:pStyle w:val="Lijstalinea"/>
              <w:numPr>
                <w:ilvl w:val="0"/>
                <w:numId w:val="1"/>
              </w:numPr>
              <w:spacing w:line="240" w:lineRule="auto"/>
            </w:pPr>
            <w:r>
              <w:t xml:space="preserve">Toekomst van het energie- en klimaatbeleid </w:t>
            </w:r>
          </w:p>
          <w:p w:rsidR="005A154B" w:rsidRDefault="005A154B"/>
          <w:p w:rsidR="005A154B" w:rsidRDefault="005A154B"/>
        </w:tc>
        <w:tc>
          <w:tcPr>
            <w:tcW w:w="6206"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pStyle w:val="Default"/>
              <w:rPr>
                <w:rFonts w:ascii="Calibri" w:hAnsi="Calibri"/>
                <w:color w:val="auto"/>
                <w:sz w:val="22"/>
                <w:szCs w:val="22"/>
              </w:rPr>
            </w:pPr>
            <w:r>
              <w:rPr>
                <w:rFonts w:ascii="Calibri" w:hAnsi="Calibri"/>
                <w:color w:val="auto"/>
                <w:sz w:val="22"/>
                <w:szCs w:val="22"/>
              </w:rPr>
              <w:t xml:space="preserve">Naar een nieuw institutioneel raamwerk voor ons energie- en klimaatbeleid tegen 2025: opties voor een stemsysteem op basis van versterkte gekwalificeerde meerderheid en voor een mogelijke hervorming van het Euratom-Verdrag (niet-wetgevend, 1e kwartaal 2019) </w:t>
            </w:r>
          </w:p>
        </w:tc>
        <w:tc>
          <w:tcPr>
            <w:tcW w:w="1161" w:type="dxa"/>
            <w:tcBorders>
              <w:top w:val="nil"/>
              <w:left w:val="nil"/>
              <w:bottom w:val="single" w:color="auto" w:sz="8" w:space="0"/>
              <w:right w:val="single" w:color="auto" w:sz="8" w:space="0"/>
            </w:tcBorders>
            <w:tcMar>
              <w:top w:w="0" w:type="dxa"/>
              <w:left w:w="108" w:type="dxa"/>
              <w:bottom w:w="0" w:type="dxa"/>
              <w:right w:w="108" w:type="dxa"/>
            </w:tcMar>
          </w:tcPr>
          <w:p w:rsidR="005A154B" w:rsidRDefault="005A154B">
            <w:pPr>
              <w:autoSpaceDE w:val="0"/>
              <w:autoSpaceDN w:val="0"/>
              <w:rPr>
                <w:b/>
                <w:bCs/>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lang w:val="en-GB"/>
              </w:rPr>
            </w:pPr>
            <w:r>
              <w:rPr>
                <w:lang w:val="en-GB"/>
              </w:rPr>
              <w:t xml:space="preserve">N.v.t. </w:t>
            </w:r>
          </w:p>
        </w:tc>
        <w:tc>
          <w:tcPr>
            <w:tcW w:w="1641"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lang w:val="en-GB"/>
              </w:rPr>
            </w:pPr>
            <w:r>
              <w:rPr>
                <w:lang w:val="en-GB"/>
              </w:rPr>
              <w:t>N.v.t.</w:t>
            </w:r>
          </w:p>
        </w:tc>
      </w:tr>
      <w:tr w:rsidR="005A154B" w:rsidTr="005A154B">
        <w:trPr>
          <w:trHeight w:val="165"/>
        </w:trPr>
        <w:tc>
          <w:tcPr>
            <w:tcW w:w="360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5A154B" w:rsidRDefault="005A154B">
            <w:pPr>
              <w:rPr>
                <w:lang w:val="en-GB"/>
              </w:rPr>
            </w:pPr>
          </w:p>
          <w:p w:rsidR="005A154B" w:rsidP="00C25CEC" w:rsidRDefault="005A154B">
            <w:pPr>
              <w:pStyle w:val="Lijstalinea"/>
              <w:numPr>
                <w:ilvl w:val="0"/>
                <w:numId w:val="1"/>
              </w:numPr>
              <w:rPr>
                <w:lang w:val="en-GB" w:eastAsia="en-US"/>
              </w:rPr>
            </w:pPr>
            <w:proofErr w:type="spellStart"/>
            <w:r>
              <w:rPr>
                <w:lang w:val="en-GB"/>
              </w:rPr>
              <w:t>Energie-efficiëntiedoelstellingen</w:t>
            </w:r>
            <w:proofErr w:type="spellEnd"/>
            <w:r>
              <w:rPr>
                <w:lang w:val="en-GB"/>
              </w:rPr>
              <w:t xml:space="preserve"> (Brexit-</w:t>
            </w:r>
            <w:proofErr w:type="spellStart"/>
            <w:r>
              <w:rPr>
                <w:lang w:val="en-GB"/>
              </w:rPr>
              <w:t>paraatheid</w:t>
            </w:r>
            <w:proofErr w:type="spellEnd"/>
            <w:r>
              <w:rPr>
                <w:lang w:val="en-GB"/>
              </w:rPr>
              <w:t>)</w:t>
            </w:r>
          </w:p>
        </w:tc>
        <w:tc>
          <w:tcPr>
            <w:tcW w:w="6206"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r>
              <w:t>Voorstel tot aanpassing van vermeldingen van EU-energie-efficiëntiedoelstellingen (uitgedrukt in absolute waarden) voor 2030 aan een EU met 27 (wetgevend, artikel 194 VWEU, 4e kwartaal 2018) (</w:t>
            </w:r>
            <w:proofErr w:type="spellStart"/>
            <w:r>
              <w:t>Brexit</w:t>
            </w:r>
            <w:proofErr w:type="spellEnd"/>
            <w:r>
              <w:t>-paraatheid)</w:t>
            </w:r>
          </w:p>
        </w:tc>
        <w:tc>
          <w:tcPr>
            <w:tcW w:w="1161" w:type="dxa"/>
            <w:tcBorders>
              <w:top w:val="nil"/>
              <w:left w:val="nil"/>
              <w:bottom w:val="single" w:color="auto" w:sz="8" w:space="0"/>
              <w:right w:val="single" w:color="auto" w:sz="8" w:space="0"/>
            </w:tcBorders>
            <w:tcMar>
              <w:top w:w="0" w:type="dxa"/>
              <w:left w:w="108" w:type="dxa"/>
              <w:bottom w:w="0" w:type="dxa"/>
              <w:right w:w="108" w:type="dxa"/>
            </w:tcMar>
          </w:tcPr>
          <w:p w:rsidR="005A154B" w:rsidRDefault="005A154B">
            <w:pPr>
              <w:autoSpaceDE w:val="0"/>
              <w:autoSpaceDN w:val="0"/>
              <w:rPr>
                <w:b/>
                <w:bCs/>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tcPr>
          <w:p w:rsidR="005A154B" w:rsidRDefault="005A154B">
            <w:pPr>
              <w:autoSpaceDE w:val="0"/>
              <w:autoSpaceDN w:val="0"/>
            </w:pPr>
          </w:p>
        </w:tc>
        <w:tc>
          <w:tcPr>
            <w:tcW w:w="1641" w:type="dxa"/>
            <w:tcBorders>
              <w:top w:val="nil"/>
              <w:left w:val="nil"/>
              <w:bottom w:val="single" w:color="auto" w:sz="8" w:space="0"/>
              <w:right w:val="single" w:color="auto" w:sz="8" w:space="0"/>
            </w:tcBorders>
            <w:tcMar>
              <w:top w:w="0" w:type="dxa"/>
              <w:left w:w="108" w:type="dxa"/>
              <w:bottom w:w="0" w:type="dxa"/>
              <w:right w:w="108" w:type="dxa"/>
            </w:tcMar>
          </w:tcPr>
          <w:p w:rsidR="005A154B" w:rsidRDefault="005A154B">
            <w:pPr>
              <w:autoSpaceDE w:val="0"/>
              <w:autoSpaceDN w:val="0"/>
            </w:pPr>
          </w:p>
        </w:tc>
      </w:tr>
      <w:tr w:rsidR="005A154B" w:rsidTr="005A154B">
        <w:trPr>
          <w:trHeight w:val="165"/>
        </w:trPr>
        <w:tc>
          <w:tcPr>
            <w:tcW w:w="3606" w:type="dxa"/>
            <w:tcBorders>
              <w:top w:val="nil"/>
              <w:left w:val="single" w:color="auto" w:sz="8" w:space="0"/>
              <w:bottom w:val="single" w:color="auto" w:sz="8" w:space="0"/>
              <w:right w:val="nil"/>
            </w:tcBorders>
            <w:tcMar>
              <w:top w:w="0" w:type="dxa"/>
              <w:left w:w="108" w:type="dxa"/>
              <w:bottom w:w="0" w:type="dxa"/>
              <w:right w:w="108" w:type="dxa"/>
            </w:tcMar>
          </w:tcPr>
          <w:p w:rsidR="005A154B" w:rsidRDefault="005A154B"/>
        </w:tc>
        <w:tc>
          <w:tcPr>
            <w:tcW w:w="6206" w:type="dxa"/>
            <w:tcBorders>
              <w:top w:val="nil"/>
              <w:left w:val="nil"/>
              <w:bottom w:val="single" w:color="auto" w:sz="8" w:space="0"/>
              <w:right w:val="nil"/>
            </w:tcBorders>
            <w:tcMar>
              <w:top w:w="0" w:type="dxa"/>
              <w:left w:w="108" w:type="dxa"/>
              <w:bottom w:w="0" w:type="dxa"/>
              <w:right w:w="108" w:type="dxa"/>
            </w:tcMar>
            <w:hideMark/>
          </w:tcPr>
          <w:p w:rsidR="005A154B" w:rsidRDefault="005A154B">
            <w:pPr>
              <w:rPr>
                <w:b/>
                <w:bCs/>
              </w:rPr>
            </w:pPr>
            <w:r>
              <w:rPr>
                <w:b/>
                <w:bCs/>
              </w:rPr>
              <w:t>Een diepere en eerlijkere interne markt met een versterkte industriële basis</w:t>
            </w:r>
          </w:p>
        </w:tc>
        <w:tc>
          <w:tcPr>
            <w:tcW w:w="1161" w:type="dxa"/>
            <w:tcBorders>
              <w:top w:val="nil"/>
              <w:left w:val="nil"/>
              <w:bottom w:val="single" w:color="auto" w:sz="8" w:space="0"/>
              <w:right w:val="nil"/>
            </w:tcBorders>
            <w:tcMar>
              <w:top w:w="0" w:type="dxa"/>
              <w:left w:w="108" w:type="dxa"/>
              <w:bottom w:w="0" w:type="dxa"/>
              <w:right w:w="108" w:type="dxa"/>
            </w:tcMar>
          </w:tcPr>
          <w:p w:rsidR="005A154B" w:rsidRDefault="005A154B">
            <w:pPr>
              <w:autoSpaceDE w:val="0"/>
              <w:autoSpaceDN w:val="0"/>
              <w:rPr>
                <w:b/>
                <w:bCs/>
              </w:rPr>
            </w:pPr>
          </w:p>
        </w:tc>
        <w:tc>
          <w:tcPr>
            <w:tcW w:w="1980" w:type="dxa"/>
            <w:tcBorders>
              <w:top w:val="nil"/>
              <w:left w:val="nil"/>
              <w:bottom w:val="single" w:color="auto" w:sz="8" w:space="0"/>
              <w:right w:val="nil"/>
            </w:tcBorders>
            <w:tcMar>
              <w:top w:w="0" w:type="dxa"/>
              <w:left w:w="108" w:type="dxa"/>
              <w:bottom w:w="0" w:type="dxa"/>
              <w:right w:w="108" w:type="dxa"/>
            </w:tcMar>
          </w:tcPr>
          <w:p w:rsidR="005A154B" w:rsidRDefault="005A154B">
            <w:pPr>
              <w:autoSpaceDE w:val="0"/>
              <w:autoSpaceDN w:val="0"/>
            </w:pPr>
          </w:p>
        </w:tc>
        <w:tc>
          <w:tcPr>
            <w:tcW w:w="1641" w:type="dxa"/>
            <w:tcBorders>
              <w:top w:val="nil"/>
              <w:left w:val="nil"/>
              <w:bottom w:val="single" w:color="auto" w:sz="8" w:space="0"/>
              <w:right w:val="single" w:color="auto" w:sz="8" w:space="0"/>
            </w:tcBorders>
            <w:tcMar>
              <w:top w:w="0" w:type="dxa"/>
              <w:left w:w="108" w:type="dxa"/>
              <w:bottom w:w="0" w:type="dxa"/>
              <w:right w:w="108" w:type="dxa"/>
            </w:tcMar>
          </w:tcPr>
          <w:p w:rsidR="005A154B" w:rsidRDefault="005A154B">
            <w:pPr>
              <w:autoSpaceDE w:val="0"/>
              <w:autoSpaceDN w:val="0"/>
            </w:pPr>
          </w:p>
        </w:tc>
      </w:tr>
      <w:tr w:rsidR="005A154B" w:rsidTr="005A154B">
        <w:trPr>
          <w:trHeight w:val="165"/>
        </w:trPr>
        <w:tc>
          <w:tcPr>
            <w:tcW w:w="360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A154B" w:rsidP="00C25CEC" w:rsidRDefault="005A154B">
            <w:pPr>
              <w:pStyle w:val="Lijstalinea"/>
              <w:numPr>
                <w:ilvl w:val="0"/>
                <w:numId w:val="1"/>
              </w:numPr>
            </w:pPr>
            <w:r>
              <w:t>Eerlijke en toekomstbestendige interne markt</w:t>
            </w:r>
          </w:p>
        </w:tc>
        <w:tc>
          <w:tcPr>
            <w:tcW w:w="6206"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pStyle w:val="Default"/>
              <w:rPr>
                <w:rFonts w:ascii="Calibri" w:hAnsi="Calibri"/>
                <w:color w:val="auto"/>
                <w:sz w:val="22"/>
                <w:szCs w:val="22"/>
              </w:rPr>
            </w:pPr>
            <w:r>
              <w:rPr>
                <w:rFonts w:ascii="Calibri" w:hAnsi="Calibri"/>
                <w:color w:val="auto"/>
                <w:sz w:val="22"/>
                <w:szCs w:val="22"/>
              </w:rPr>
              <w:t xml:space="preserve">Mededeling "Naar een optimaal functionerende interne markt in een snel veranderende mondiale omgeving: barrières uitschakelen en nieuwe kansen aangrijpen in het belang van burgers en bedrijven" (niet-wetgevend, 4e kwartaal 2018) </w:t>
            </w:r>
          </w:p>
        </w:tc>
        <w:tc>
          <w:tcPr>
            <w:tcW w:w="1161" w:type="dxa"/>
            <w:tcBorders>
              <w:top w:val="nil"/>
              <w:left w:val="nil"/>
              <w:bottom w:val="single" w:color="auto" w:sz="8" w:space="0"/>
              <w:right w:val="single" w:color="auto" w:sz="8" w:space="0"/>
            </w:tcBorders>
            <w:tcMar>
              <w:top w:w="0" w:type="dxa"/>
              <w:left w:w="108" w:type="dxa"/>
              <w:bottom w:w="0" w:type="dxa"/>
              <w:right w:w="108" w:type="dxa"/>
            </w:tcMar>
          </w:tcPr>
          <w:p w:rsidR="005A154B" w:rsidRDefault="005A154B">
            <w:pPr>
              <w:autoSpaceDE w:val="0"/>
              <w:autoSpaceDN w:val="0"/>
              <w:rPr>
                <w:b/>
                <w:bCs/>
              </w:rPr>
            </w:pPr>
          </w:p>
        </w:tc>
        <w:tc>
          <w:tcPr>
            <w:tcW w:w="1980"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lang w:val="en-GB"/>
              </w:rPr>
            </w:pPr>
            <w:r>
              <w:rPr>
                <w:lang w:val="en-GB"/>
              </w:rPr>
              <w:t>N.v.t.</w:t>
            </w:r>
          </w:p>
        </w:tc>
        <w:tc>
          <w:tcPr>
            <w:tcW w:w="1641" w:type="dxa"/>
            <w:tcBorders>
              <w:top w:val="nil"/>
              <w:left w:val="nil"/>
              <w:bottom w:val="single" w:color="auto" w:sz="8" w:space="0"/>
              <w:right w:val="single" w:color="auto" w:sz="8" w:space="0"/>
            </w:tcBorders>
            <w:tcMar>
              <w:top w:w="0" w:type="dxa"/>
              <w:left w:w="108" w:type="dxa"/>
              <w:bottom w:w="0" w:type="dxa"/>
              <w:right w:w="108" w:type="dxa"/>
            </w:tcMar>
            <w:hideMark/>
          </w:tcPr>
          <w:p w:rsidR="005A154B" w:rsidRDefault="005A154B">
            <w:pPr>
              <w:autoSpaceDE w:val="0"/>
              <w:autoSpaceDN w:val="0"/>
              <w:rPr>
                <w:lang w:val="en-GB"/>
              </w:rPr>
            </w:pPr>
            <w:r>
              <w:rPr>
                <w:lang w:val="en-GB"/>
              </w:rPr>
              <w:t>N.v.t.</w:t>
            </w:r>
          </w:p>
        </w:tc>
      </w:tr>
    </w:tbl>
    <w:p w:rsidR="005A154B" w:rsidP="005A154B" w:rsidRDefault="005A154B">
      <w:pPr>
        <w:autoSpaceDE w:val="0"/>
        <w:autoSpaceDN w:val="0"/>
        <w:rPr>
          <w:color w:val="000000"/>
        </w:rPr>
      </w:pPr>
    </w:p>
    <w:p w:rsidR="005A154B" w:rsidP="005A154B" w:rsidRDefault="005A154B">
      <w:pPr>
        <w:rPr>
          <w:lang w:eastAsia="nl-NL"/>
        </w:rPr>
      </w:pPr>
    </w:p>
    <w:p w:rsidR="005A154B" w:rsidP="005A154B" w:rsidRDefault="005A154B">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5A154B" w:rsidP="005A154B" w:rsidRDefault="005A154B">
      <w:pPr>
        <w:spacing w:after="240"/>
        <w:rPr>
          <w:rFonts w:ascii="Verdana" w:hAnsi="Verdana"/>
          <w:color w:val="323296"/>
          <w:sz w:val="20"/>
          <w:szCs w:val="20"/>
          <w:lang w:eastAsia="nl-NL"/>
        </w:rPr>
      </w:pPr>
      <w:r>
        <w:rPr>
          <w:rFonts w:ascii="Verdana" w:hAnsi="Verdana"/>
          <w:color w:val="323296"/>
          <w:sz w:val="20"/>
          <w:szCs w:val="20"/>
          <w:lang w:eastAsia="nl-NL"/>
        </w:rPr>
        <w:t>Dennis Nava</w:t>
      </w:r>
    </w:p>
    <w:p w:rsidR="005A154B" w:rsidP="005A154B" w:rsidRDefault="005A154B">
      <w:pPr>
        <w:spacing w:after="240"/>
        <w:rPr>
          <w:rFonts w:ascii="Verdana" w:hAnsi="Verdana"/>
          <w:color w:val="969696"/>
          <w:sz w:val="20"/>
          <w:szCs w:val="20"/>
          <w:lang w:eastAsia="nl-NL"/>
        </w:rPr>
      </w:pPr>
      <w:r>
        <w:rPr>
          <w:rFonts w:ascii="Verdana" w:hAnsi="Verdana"/>
          <w:color w:val="969696"/>
          <w:sz w:val="20"/>
          <w:szCs w:val="20"/>
          <w:lang w:eastAsia="nl-NL"/>
        </w:rPr>
        <w:t>Griffier van de vaste commissie voor Economische Zaken en Klimaat</w:t>
      </w:r>
      <w:r>
        <w:rPr>
          <w:rFonts w:ascii="Verdana" w:hAnsi="Verdana"/>
          <w:color w:val="969696"/>
          <w:sz w:val="20"/>
          <w:szCs w:val="20"/>
          <w:lang w:eastAsia="nl-NL"/>
        </w:rPr>
        <w:br/>
        <w:t>Griffie commissies Sociaal en Financieel</w:t>
      </w:r>
      <w:r>
        <w:rPr>
          <w:rFonts w:ascii="Verdana" w:hAnsi="Verdana"/>
          <w:color w:val="969696"/>
          <w:sz w:val="20"/>
          <w:szCs w:val="20"/>
          <w:lang w:eastAsia="nl-NL"/>
        </w:rPr>
        <w:br/>
        <w:t>Tweede Kamer der Staten-Generaal</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088D"/>
    <w:multiLevelType w:val="hybridMultilevel"/>
    <w:tmpl w:val="29C25682"/>
    <w:lvl w:ilvl="0" w:tplc="BC14DDDE">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4B"/>
    <w:rsid w:val="000624AB"/>
    <w:rsid w:val="00317F8C"/>
    <w:rsid w:val="005A154B"/>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154B"/>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154B"/>
    <w:rPr>
      <w:color w:val="0000FF"/>
      <w:u w:val="single"/>
    </w:rPr>
  </w:style>
  <w:style w:type="paragraph" w:styleId="Lijstalinea">
    <w:name w:val="List Paragraph"/>
    <w:basedOn w:val="Standaard"/>
    <w:uiPriority w:val="34"/>
    <w:qFormat/>
    <w:rsid w:val="005A154B"/>
    <w:pPr>
      <w:spacing w:after="200" w:line="276" w:lineRule="auto"/>
      <w:ind w:left="720"/>
      <w:contextualSpacing/>
    </w:pPr>
    <w:rPr>
      <w:lang w:eastAsia="nl-NL"/>
    </w:rPr>
  </w:style>
  <w:style w:type="paragraph" w:customStyle="1" w:styleId="Default">
    <w:name w:val="Default"/>
    <w:basedOn w:val="Standaard"/>
    <w:rsid w:val="005A154B"/>
    <w:pPr>
      <w:autoSpaceDE w:val="0"/>
      <w:autoSpaceDN w:val="0"/>
    </w:pPr>
    <w:rPr>
      <w:rFonts w:ascii="Times New Roman" w:hAnsi="Times New Roman"/>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154B"/>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154B"/>
    <w:rPr>
      <w:color w:val="0000FF"/>
      <w:u w:val="single"/>
    </w:rPr>
  </w:style>
  <w:style w:type="paragraph" w:styleId="Lijstalinea">
    <w:name w:val="List Paragraph"/>
    <w:basedOn w:val="Standaard"/>
    <w:uiPriority w:val="34"/>
    <w:qFormat/>
    <w:rsid w:val="005A154B"/>
    <w:pPr>
      <w:spacing w:after="200" w:line="276" w:lineRule="auto"/>
      <w:ind w:left="720"/>
      <w:contextualSpacing/>
    </w:pPr>
    <w:rPr>
      <w:lang w:eastAsia="nl-NL"/>
    </w:rPr>
  </w:style>
  <w:style w:type="paragraph" w:customStyle="1" w:styleId="Default">
    <w:name w:val="Default"/>
    <w:basedOn w:val="Standaard"/>
    <w:rsid w:val="005A154B"/>
    <w:pPr>
      <w:autoSpaceDE w:val="0"/>
      <w:autoSpaceDN w:val="0"/>
    </w:pPr>
    <w:rPr>
      <w:rFonts w:ascii="Times New Roman" w:hAnsi="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parlisweb/parlis/document.aspx?Id=c4cd0786-df15-4a31-a962-70bc5a612464"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514</ap:Words>
  <ap:Characters>3494</ap:Characters>
  <ap:DocSecurity>0</ap:DocSecurity>
  <ap:Lines>29</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2018-11-14T13:13:00.0000000Z</dcterms:created>
  <dcterms:modified xsi:type="dcterms:W3CDTF">2018-11-14T13:14:00.0000000Z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0x010100FF3542943884C44C86F8115F7E5B5644</vt:lpwstr>
  </property>
</Properties>
</file>