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6683A" w:rsidR="00CB3578" w:rsidP="00D741EB" w:rsidRDefault="0056683A">
            <w:pPr>
              <w:pStyle w:val="Amendement"/>
              <w:rPr>
                <w:rFonts w:ascii="Times New Roman" w:hAnsi="Times New Roman" w:cs="Times New Roman"/>
                <w:b w:val="0"/>
              </w:rPr>
            </w:pPr>
            <w:r>
              <w:rPr>
                <w:rFonts w:ascii="Times New Roman" w:hAnsi="Times New Roman" w:cs="Times New Roman"/>
                <w:b w:val="0"/>
              </w:rPr>
              <w:t>Bijgewerkt t/m nr</w:t>
            </w:r>
            <w:r w:rsidR="00980919">
              <w:rPr>
                <w:rFonts w:ascii="Times New Roman" w:hAnsi="Times New Roman" w:cs="Times New Roman"/>
                <w:b w:val="0"/>
              </w:rPr>
              <w:t>.</w:t>
            </w:r>
            <w:bookmarkStart w:name="_GoBack" w:id="0"/>
            <w:bookmarkEnd w:id="0"/>
            <w:r>
              <w:rPr>
                <w:rFonts w:ascii="Times New Roman" w:hAnsi="Times New Roman" w:cs="Times New Roman"/>
                <w:b w:val="0"/>
              </w:rPr>
              <w:t xml:space="preserve"> </w:t>
            </w:r>
            <w:r w:rsidR="000D6EA3">
              <w:rPr>
                <w:rFonts w:ascii="Times New Roman" w:hAnsi="Times New Roman" w:cs="Times New Roman"/>
                <w:b w:val="0"/>
              </w:rPr>
              <w:t>14</w:t>
            </w:r>
            <w:r>
              <w:rPr>
                <w:rFonts w:ascii="Times New Roman" w:hAnsi="Times New Roman" w:cs="Times New Roman"/>
                <w:b w:val="0"/>
              </w:rPr>
              <w:t xml:space="preserve"> (</w:t>
            </w:r>
            <w:r w:rsidR="000D6EA3">
              <w:rPr>
                <w:rFonts w:ascii="Times New Roman" w:hAnsi="Times New Roman" w:cs="Times New Roman"/>
                <w:b w:val="0"/>
              </w:rPr>
              <w:t>Derde</w:t>
            </w:r>
            <w:r w:rsidR="00D524AC">
              <w:rPr>
                <w:rFonts w:ascii="Times New Roman" w:hAnsi="Times New Roman" w:cs="Times New Roman"/>
                <w:b w:val="0"/>
              </w:rPr>
              <w:t xml:space="preserve"> </w:t>
            </w:r>
            <w:r>
              <w:rPr>
                <w:rFonts w:ascii="Times New Roman" w:hAnsi="Times New Roman" w:cs="Times New Roman"/>
                <w:b w:val="0"/>
              </w:rPr>
              <w:t xml:space="preserve">NvW d.d. </w:t>
            </w:r>
            <w:r w:rsidR="00D741EB">
              <w:rPr>
                <w:rFonts w:ascii="Times New Roman" w:hAnsi="Times New Roman" w:cs="Times New Roman"/>
                <w:b w:val="0"/>
              </w:rPr>
              <w:t>3</w:t>
            </w:r>
            <w:r>
              <w:rPr>
                <w:rFonts w:ascii="Times New Roman" w:hAnsi="Times New Roman" w:cs="Times New Roman"/>
                <w:b w:val="0"/>
              </w:rPr>
              <w:t xml:space="preserve"> </w:t>
            </w:r>
            <w:r w:rsidR="00D741EB">
              <w:rPr>
                <w:rFonts w:ascii="Times New Roman" w:hAnsi="Times New Roman" w:cs="Times New Roman"/>
                <w:b w:val="0"/>
              </w:rPr>
              <w:t>september</w:t>
            </w:r>
            <w:r w:rsidR="00D524AC">
              <w:rPr>
                <w:rFonts w:ascii="Times New Roman" w:hAnsi="Times New Roman" w:cs="Times New Roman"/>
                <w:b w:val="0"/>
              </w:rPr>
              <w:t xml:space="preserve"> </w:t>
            </w:r>
            <w:r>
              <w:rPr>
                <w:rFonts w:ascii="Times New Roman" w:hAnsi="Times New Roman" w:cs="Times New Roman"/>
                <w:b w:val="0"/>
              </w:rPr>
              <w:t>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1290D" w:rsidRDefault="0061290D">
            <w:pPr>
              <w:rPr>
                <w:rFonts w:ascii="Times New Roman" w:hAnsi="Times New Roman"/>
                <w:b/>
                <w:sz w:val="24"/>
              </w:rPr>
            </w:pPr>
            <w:r>
              <w:rPr>
                <w:rFonts w:ascii="Times New Roman" w:hAnsi="Times New Roman"/>
                <w:b/>
                <w:sz w:val="24"/>
              </w:rPr>
              <w:t>35 133</w:t>
            </w:r>
          </w:p>
        </w:tc>
        <w:tc>
          <w:tcPr>
            <w:tcW w:w="6590" w:type="dxa"/>
            <w:tcBorders>
              <w:top w:val="nil"/>
              <w:left w:val="nil"/>
              <w:bottom w:val="nil"/>
              <w:right w:val="nil"/>
            </w:tcBorders>
          </w:tcPr>
          <w:p w:rsidRPr="00E97F6E" w:rsidR="002A727C" w:rsidP="00D524AC" w:rsidRDefault="00E97F6E">
            <w:pPr>
              <w:rPr>
                <w:rFonts w:ascii="Times New Roman" w:hAnsi="Times New Roman"/>
                <w:b/>
                <w:sz w:val="24"/>
              </w:rPr>
            </w:pPr>
            <w:r w:rsidRPr="00E97F6E">
              <w:rPr>
                <w:rFonts w:ascii="Times New Roman" w:hAnsi="Times New Roman" w:eastAsia="Verdana"/>
                <w:b/>
                <w:sz w:val="24"/>
              </w:rPr>
              <w:t>Wijziging van de Omgevingswet en enkele andere wetten vanwege opname in de Omgevingswet van regels over het vestigen van een voorkeursrecht, regels over onteigening, bijzondere regels voor het inrichten van gebieden en, met het oog op verschillende typen gebiedsontwikkelingen, een verdere aanpassing van de regels over kostenverhaal (Aanvullingswet grondeigendom Omgevingswet)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E97F6E" w:rsidRDefault="00E97F6E">
      <w:pPr>
        <w:ind w:firstLine="284"/>
        <w:rPr>
          <w:rFonts w:ascii="Times New Roman" w:hAnsi="Times New Roman"/>
          <w:sz w:val="24"/>
        </w:rPr>
      </w:pPr>
      <w:r w:rsidRPr="00E97F6E">
        <w:rPr>
          <w:rFonts w:ascii="Times New Roman" w:hAnsi="Times New Roman"/>
          <w:sz w:val="24"/>
        </w:rPr>
        <w:t>Wij Willem-Alexander, bij de gratie Gods, Koning der Nederlanden, Prins van Oranje-Nassau, enz. enz. enz.</w:t>
      </w:r>
    </w:p>
    <w:p w:rsidRPr="004C26B3" w:rsidR="00E97F6E" w:rsidP="004C26B3" w:rsidRDefault="00E97F6E">
      <w:pPr>
        <w:rPr>
          <w:rFonts w:ascii="Times New Roman" w:hAnsi="Times New Roman"/>
          <w:sz w:val="24"/>
        </w:rPr>
      </w:pPr>
    </w:p>
    <w:p w:rsidR="004C26B3" w:rsidP="004C26B3" w:rsidRDefault="00E97F6E">
      <w:pPr>
        <w:ind w:firstLine="284"/>
        <w:rPr>
          <w:rFonts w:ascii="Times New Roman" w:hAnsi="Times New Roman"/>
          <w:sz w:val="24"/>
        </w:rPr>
      </w:pPr>
      <w:r w:rsidRPr="004C26B3">
        <w:rPr>
          <w:rFonts w:ascii="Times New Roman" w:hAnsi="Times New Roman"/>
          <w:sz w:val="24"/>
        </w:rPr>
        <w:t xml:space="preserve">Allen, die deze zullen zien of horen lezen, saluut! </w:t>
      </w:r>
      <w:r w:rsidRPr="004C26B3" w:rsidR="004C26B3">
        <w:rPr>
          <w:rFonts w:ascii="Times New Roman" w:hAnsi="Times New Roman"/>
          <w:sz w:val="24"/>
        </w:rPr>
        <w:t>doen te weten:</w:t>
      </w:r>
    </w:p>
    <w:p w:rsidRPr="004C26B3" w:rsidR="004C26B3" w:rsidP="004C26B3" w:rsidRDefault="00E97F6E">
      <w:pPr>
        <w:ind w:firstLine="284"/>
        <w:rPr>
          <w:rFonts w:ascii="Times New Roman" w:hAnsi="Times New Roman"/>
          <w:sz w:val="24"/>
        </w:rPr>
      </w:pPr>
      <w:r w:rsidRPr="004C26B3">
        <w:rPr>
          <w:rFonts w:ascii="Times New Roman" w:hAnsi="Times New Roman"/>
          <w:sz w:val="24"/>
        </w:rPr>
        <w:t>Alzo Wij in overweging genomen hebben dat het wenselijk is om, mede gelet op internationaalrechtelijke verplichtingen en de artikelen 14 en 21 van de Grondwet, de Omgevingswet aan te vullen met regels over regulering en ontneming van eigendom, regels voor het inrichten van gebieden en regels over kostenverhaal;</w:t>
      </w:r>
    </w:p>
    <w:p w:rsidRPr="004C26B3" w:rsidR="004C26B3" w:rsidP="004C26B3" w:rsidRDefault="00E97F6E">
      <w:pPr>
        <w:ind w:firstLine="284"/>
        <w:rPr>
          <w:rFonts w:ascii="Times New Roman" w:hAnsi="Times New Roman"/>
          <w:sz w:val="24"/>
        </w:rPr>
      </w:pPr>
      <w:r w:rsidRPr="004C26B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C26B3" w:rsidP="004C26B3" w:rsidRDefault="004C26B3">
      <w:pPr>
        <w:rPr>
          <w:rFonts w:ascii="Times New Roman" w:hAnsi="Times New Roman" w:eastAsia="Verdana"/>
          <w:b/>
          <w:sz w:val="24"/>
        </w:rPr>
      </w:pPr>
    </w:p>
    <w:p w:rsidR="004C26B3" w:rsidP="004C26B3" w:rsidRDefault="004C26B3">
      <w:pPr>
        <w:rPr>
          <w:rFonts w:ascii="Times New Roman" w:hAnsi="Times New Roman" w:eastAsia="Verdana"/>
          <w:b/>
          <w:sz w:val="24"/>
        </w:rPr>
      </w:pPr>
    </w:p>
    <w:p w:rsidRPr="004C26B3" w:rsidR="00E97F6E" w:rsidP="004C26B3" w:rsidRDefault="00E97F6E">
      <w:pPr>
        <w:rPr>
          <w:rFonts w:ascii="Times New Roman" w:hAnsi="Times New Roman"/>
          <w:b/>
          <w:sz w:val="24"/>
        </w:rPr>
      </w:pPr>
      <w:r w:rsidRPr="004C26B3">
        <w:rPr>
          <w:rFonts w:ascii="Times New Roman" w:hAnsi="Times New Roman" w:eastAsia="Verdana"/>
          <w:b/>
          <w:sz w:val="24"/>
        </w:rPr>
        <w:t>HOOFDSTUK 1 AANVULLING EN WIJZIGING VAN DE OMGEVINGSWET</w:t>
      </w:r>
    </w:p>
    <w:p w:rsidR="004C26B3" w:rsidP="004C26B3" w:rsidRDefault="004C26B3">
      <w:pPr>
        <w:rPr>
          <w:rFonts w:ascii="Times New Roman" w:hAnsi="Times New Roman" w:eastAsia="Verdana"/>
          <w:b/>
          <w:sz w:val="24"/>
        </w:rPr>
      </w:pPr>
    </w:p>
    <w:p w:rsidRPr="004C26B3" w:rsidR="00E97F6E" w:rsidP="004C26B3" w:rsidRDefault="004C26B3">
      <w:pPr>
        <w:rPr>
          <w:rFonts w:ascii="Times New Roman" w:hAnsi="Times New Roman" w:eastAsia="Verdana"/>
          <w:b/>
          <w:sz w:val="24"/>
        </w:rPr>
      </w:pPr>
      <w:r w:rsidRPr="004C26B3">
        <w:rPr>
          <w:rFonts w:ascii="Times New Roman" w:hAnsi="Times New Roman" w:eastAsia="Verdana"/>
          <w:b/>
          <w:sz w:val="24"/>
        </w:rPr>
        <w:t>Artikel 1.1 (Omgevingswet)</w:t>
      </w:r>
    </w:p>
    <w:p w:rsidRPr="00E97F6E" w:rsidR="00E97F6E" w:rsidP="00E97F6E" w:rsidRDefault="00E97F6E">
      <w:pPr>
        <w:spacing w:after="200"/>
        <w:contextualSpacing/>
        <w:rPr>
          <w:rFonts w:ascii="Times New Roman" w:hAnsi="Times New Roman" w:eastAsia="Verdana"/>
          <w:sz w:val="24"/>
        </w:rPr>
      </w:pPr>
    </w:p>
    <w:p w:rsidRPr="00E97F6E" w:rsidR="00E97F6E" w:rsidP="004C26B3" w:rsidRDefault="00E97F6E">
      <w:pPr>
        <w:spacing w:after="200"/>
        <w:ind w:firstLine="284"/>
        <w:contextualSpacing/>
        <w:rPr>
          <w:rFonts w:ascii="Times New Roman" w:hAnsi="Times New Roman" w:eastAsia="Verdana"/>
          <w:sz w:val="24"/>
        </w:rPr>
      </w:pPr>
      <w:r w:rsidRPr="00E97F6E">
        <w:rPr>
          <w:rFonts w:ascii="Times New Roman" w:hAnsi="Times New Roman" w:eastAsia="Verdana"/>
          <w:sz w:val="24"/>
        </w:rPr>
        <w:t>De Omgevingswet wordt als volgt gewijzigd: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w:t>
      </w:r>
    </w:p>
    <w:p w:rsidRPr="00E97F6E" w:rsidR="00E97F6E" w:rsidP="00E97F6E" w:rsidRDefault="00E97F6E">
      <w:pPr>
        <w:rPr>
          <w:rFonts w:ascii="Times New Roman" w:hAnsi="Times New Roman" w:eastAsia="Calibri"/>
          <w:sz w:val="24"/>
          <w:lang w:eastAsia="en-US"/>
        </w:rPr>
      </w:pPr>
    </w:p>
    <w:p w:rsidRPr="00E97F6E" w:rsidR="00E97F6E" w:rsidP="004C26B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Hoofdstuk 2 wordt als volgt gewijzigd:</w:t>
      </w:r>
    </w:p>
    <w:p w:rsidRPr="00E97F6E" w:rsidR="00E97F6E" w:rsidP="00E97F6E" w:rsidRDefault="00E97F6E">
      <w:pPr>
        <w:rPr>
          <w:rFonts w:ascii="Times New Roman" w:hAnsi="Times New Roman" w:eastAsia="Calibri"/>
          <w:sz w:val="24"/>
          <w:lang w:eastAsia="en-US"/>
        </w:rPr>
      </w:pPr>
    </w:p>
    <w:p w:rsidRPr="00E97F6E" w:rsidR="00E97F6E" w:rsidP="004C26B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Artikel 2.25, eerste lid, onder a, onder 1°, komt te luiden:</w:t>
      </w:r>
    </w:p>
    <w:p w:rsidRPr="00E97F6E" w:rsidR="00E97F6E" w:rsidP="004C26B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programma als bedoeld in paragraaf 3.2.2, artikel 3.14a of paragraaf 3.2.4,.</w:t>
      </w:r>
    </w:p>
    <w:p w:rsidRPr="00E97F6E" w:rsidR="00E97F6E" w:rsidP="00E97F6E" w:rsidRDefault="00E97F6E">
      <w:pPr>
        <w:rPr>
          <w:rFonts w:ascii="Times New Roman" w:hAnsi="Times New Roman" w:eastAsia="Calibri"/>
          <w:sz w:val="24"/>
          <w:lang w:eastAsia="en-US"/>
        </w:rPr>
      </w:pPr>
    </w:p>
    <w:p w:rsidRPr="00E97F6E" w:rsidR="00E97F6E" w:rsidP="004C26B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artikel 2.36, eerste lid, onder a, wordt na “artikel 2.33” ingevoegd: of artikel 12.18.</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B</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paragraaf 3.2.3 wordt na artikel 3.14 een artikel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3.14a (inrichtingsprogramma)</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Als gedeputeerde staten met betrekking tot een gebied overgaan tot landinrichting als bedoeld in artikel 12.3, eerste lid, stellen zij een programma vast dat is gericht op de </w:t>
      </w:r>
      <w:r w:rsidRPr="00E97F6E">
        <w:rPr>
          <w:rFonts w:ascii="Times New Roman" w:hAnsi="Times New Roman" w:eastAsia="Calibri"/>
          <w:sz w:val="24"/>
          <w:lang w:eastAsia="en-US"/>
        </w:rPr>
        <w:lastRenderedPageBreak/>
        <w:t>verbetering van de inrichting van het gebied. Het inrichtingsprogramma kan in ieder geval de maatregelen en voorzieningen, bedoeld in artikel 12.3, bevatten.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C</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Hoofdstuk 4 wordt als volgt gewijzigd:</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In artikel 4.3, eerste lid, wordt, onder vervanging van de punt aan het slot van onderdeel i een onderdeel toegevoegd, luidende:</w:t>
      </w: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j. landinrichtingsactiviteiten.</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artikel 4.11, eerste lid, wordt, onder vervanging van de punt aan het slot van onderdeel c door een komma een onderdeel toegevoegd, luidende:</w:t>
      </w: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 landinrichtingsactiviteiten.</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In paragraaf 4.3.2 wordt na artikel 4.29 een artikel in</w:t>
      </w:r>
      <w:r w:rsidR="00343766">
        <w:rPr>
          <w:rFonts w:ascii="Times New Roman" w:hAnsi="Times New Roman" w:eastAsia="Calibri"/>
          <w:sz w:val="24"/>
          <w:lang w:eastAsia="en-US"/>
        </w:rPr>
        <w:t>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4.30 (rijksregels landinrichting)</w:t>
      </w:r>
    </w:p>
    <w:p w:rsidRPr="00E97F6E" w:rsidR="00E97F6E" w:rsidP="00E97F6E" w:rsidRDefault="00E97F6E">
      <w:pPr>
        <w:rPr>
          <w:rFonts w:ascii="Times New Roman" w:hAnsi="Times New Roman" w:eastAsia="Calibri"/>
          <w:sz w:val="24"/>
          <w:lang w:eastAsia="en-US"/>
        </w:rPr>
      </w:pPr>
    </w:p>
    <w:p w:rsidRPr="00E97F6E" w:rsidR="00E97F6E" w:rsidP="0034376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in artikel 4.3 bedoelde regels over landinrichtingsactiviteiten worden gesteld met het oog op een doelmatige uitvoering van een inrichtingsprogramma.</w:t>
      </w:r>
    </w:p>
    <w:p w:rsidRPr="00E97F6E" w:rsidR="00E97F6E" w:rsidP="0034376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regels strekken er in ieder geval toe dat de uitvoering van een inrichtingsprogramma niet ernstig wordt belemmerd.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D</w:t>
      </w:r>
    </w:p>
    <w:p w:rsidRPr="00E97F6E" w:rsidR="00E97F6E" w:rsidP="00E97F6E" w:rsidRDefault="00E97F6E">
      <w:pPr>
        <w:rPr>
          <w:rFonts w:ascii="Times New Roman" w:hAnsi="Times New Roman" w:eastAsia="Calibri"/>
          <w:sz w:val="24"/>
          <w:lang w:eastAsia="en-US"/>
        </w:rPr>
      </w:pPr>
    </w:p>
    <w:p w:rsidRPr="00E97F6E" w:rsidR="00E97F6E" w:rsidP="0034376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Hoofdstuk 5 wordt als volgt gewijzigd:</w:t>
      </w:r>
    </w:p>
    <w:p w:rsidR="00E97F6E" w:rsidP="00E97F6E" w:rsidRDefault="00E97F6E">
      <w:pPr>
        <w:rPr>
          <w:rFonts w:ascii="Times New Roman" w:hAnsi="Times New Roman" w:eastAsia="Calibri"/>
          <w:sz w:val="24"/>
          <w:lang w:eastAsia="en-US"/>
        </w:rPr>
      </w:pPr>
    </w:p>
    <w:p w:rsidR="00F37C24" w:rsidP="00E97F6E" w:rsidRDefault="00F37C24">
      <w:pPr>
        <w:rPr>
          <w:rFonts w:ascii="Times New Roman" w:hAnsi="Times New Roman" w:eastAsia="Calibri"/>
          <w:sz w:val="24"/>
          <w:lang w:eastAsia="en-US"/>
        </w:rPr>
      </w:pPr>
      <w:r>
        <w:rPr>
          <w:rFonts w:ascii="Times New Roman" w:hAnsi="Times New Roman" w:eastAsia="Calibri"/>
          <w:sz w:val="24"/>
          <w:lang w:eastAsia="en-US"/>
        </w:rPr>
        <w:tab/>
        <w:t xml:space="preserve">1. </w:t>
      </w:r>
      <w:r w:rsidRPr="00F37C24">
        <w:rPr>
          <w:rFonts w:ascii="Times New Roman" w:hAnsi="Times New Roman" w:eastAsia="Calibri"/>
          <w:sz w:val="24"/>
          <w:lang w:eastAsia="en-US"/>
        </w:rPr>
        <w:t>In artikel 5.7, derde lid, onder a, wordt "eenzelfde" vervangen door "dezelfde".</w:t>
      </w:r>
    </w:p>
    <w:p w:rsidRPr="00E97F6E" w:rsidR="00F37C24" w:rsidP="00E97F6E" w:rsidRDefault="00F37C24">
      <w:pPr>
        <w:rPr>
          <w:rFonts w:ascii="Times New Roman" w:hAnsi="Times New Roman" w:eastAsia="Calibri"/>
          <w:sz w:val="24"/>
          <w:lang w:eastAsia="en-US"/>
        </w:rPr>
      </w:pPr>
    </w:p>
    <w:p w:rsidRPr="00E97F6E" w:rsidR="00E97F6E" w:rsidP="00343766" w:rsidRDefault="00F37C24">
      <w:pPr>
        <w:ind w:firstLine="284"/>
        <w:rPr>
          <w:rFonts w:ascii="Times New Roman" w:hAnsi="Times New Roman" w:eastAsia="Verdana"/>
          <w:sz w:val="24"/>
        </w:rPr>
      </w:pPr>
      <w:r>
        <w:rPr>
          <w:rFonts w:ascii="Times New Roman" w:hAnsi="Times New Roman" w:eastAsia="Verdana"/>
          <w:sz w:val="24"/>
        </w:rPr>
        <w:t xml:space="preserve">2. </w:t>
      </w:r>
      <w:r w:rsidRPr="00E97F6E" w:rsidR="00E97F6E">
        <w:rPr>
          <w:rFonts w:ascii="Times New Roman" w:hAnsi="Times New Roman" w:eastAsia="Verdana"/>
          <w:sz w:val="24"/>
        </w:rPr>
        <w:t>In artikel 5.34, tweede lid, aanhef, wordt de zinsnede “de artikelen 12.1, vierde lid, 13.5, eerste tot en met vijfde lid, en 13.6,” vervangen door “de artikelen 13.5, eerste tot en met vijfde lid en 13.6”.</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spacing w:after="200"/>
        <w:rPr>
          <w:rFonts w:ascii="Times New Roman" w:hAnsi="Times New Roman" w:eastAsia="Verdana"/>
          <w:sz w:val="24"/>
        </w:rPr>
      </w:pPr>
      <w:r w:rsidRPr="00E97F6E">
        <w:rPr>
          <w:rFonts w:ascii="Times New Roman" w:hAnsi="Times New Roman" w:eastAsia="Verdana"/>
          <w:sz w:val="24"/>
        </w:rPr>
        <w:t>E</w:t>
      </w:r>
    </w:p>
    <w:p w:rsidRPr="00E97F6E" w:rsidR="00E97F6E" w:rsidP="00343766" w:rsidRDefault="00E97F6E">
      <w:pPr>
        <w:spacing w:after="200"/>
        <w:ind w:firstLine="284"/>
        <w:contextualSpacing/>
        <w:rPr>
          <w:rFonts w:ascii="Times New Roman" w:hAnsi="Times New Roman" w:eastAsia="Verdana"/>
          <w:sz w:val="24"/>
        </w:rPr>
      </w:pPr>
      <w:r w:rsidRPr="00E97F6E">
        <w:rPr>
          <w:rFonts w:ascii="Times New Roman" w:hAnsi="Times New Roman" w:eastAsia="Verdana"/>
          <w:sz w:val="24"/>
        </w:rPr>
        <w:t>Hoofdstuk 9 komt te luiden:</w:t>
      </w:r>
    </w:p>
    <w:p w:rsidRPr="00E97F6E" w:rsidR="00E97F6E" w:rsidP="00E97F6E" w:rsidRDefault="00E97F6E">
      <w:pPr>
        <w:spacing w:after="200"/>
        <w:contextualSpacing/>
        <w:rPr>
          <w:rFonts w:ascii="Times New Roman" w:hAnsi="Times New Roman" w:eastAsia="Verdana"/>
          <w:b/>
          <w:sz w:val="24"/>
        </w:rPr>
      </w:pPr>
    </w:p>
    <w:p w:rsidRPr="00E97F6E" w:rsidR="00E97F6E" w:rsidP="00E97F6E" w:rsidRDefault="00E97F6E">
      <w:pPr>
        <w:spacing w:after="200"/>
        <w:contextualSpacing/>
        <w:rPr>
          <w:rFonts w:ascii="Times New Roman" w:hAnsi="Times New Roman" w:eastAsia="Verdana"/>
          <w:b/>
          <w:sz w:val="24"/>
        </w:rPr>
      </w:pPr>
      <w:r w:rsidRPr="00E97F6E">
        <w:rPr>
          <w:rFonts w:ascii="Times New Roman" w:hAnsi="Times New Roman" w:eastAsia="Verdana"/>
          <w:b/>
          <w:sz w:val="24"/>
        </w:rPr>
        <w:t>HOOFDSTUK 9 VOORKEURSRECHT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AFDELING 9.1 VESTIGING EN GELDING VAN EEN VOORKEURSRECHT</w:t>
      </w:r>
    </w:p>
    <w:p w:rsidRPr="00E97F6E" w:rsidR="00E97F6E" w:rsidP="00E97F6E" w:rsidRDefault="00E97F6E">
      <w:pPr>
        <w:rPr>
          <w:rFonts w:ascii="Times New Roman" w:hAnsi="Times New Roman" w:eastAsia="Verdana"/>
          <w:b/>
          <w:sz w:val="24"/>
        </w:rPr>
      </w:pPr>
    </w:p>
    <w:p w:rsidR="00E97F6E" w:rsidP="00640EAE" w:rsidRDefault="00E97F6E">
      <w:pPr>
        <w:rPr>
          <w:rFonts w:ascii="Times New Roman" w:hAnsi="Times New Roman" w:eastAsia="Verdana"/>
          <w:b/>
          <w:sz w:val="24"/>
        </w:rPr>
      </w:pPr>
      <w:r w:rsidRPr="00640EAE">
        <w:rPr>
          <w:rFonts w:ascii="Times New Roman" w:hAnsi="Times New Roman" w:eastAsia="Verdana"/>
          <w:b/>
          <w:sz w:val="24"/>
        </w:rPr>
        <w:t>Artikel 9.1 (grondslag en bevoegdheid vestiging voorkeursrecht op naam van gemeente, provincie of Staat)</w:t>
      </w:r>
    </w:p>
    <w:p w:rsidRPr="00640EAE" w:rsidR="00640EAE" w:rsidP="00640EAE" w:rsidRDefault="00640EAE">
      <w:pPr>
        <w:rPr>
          <w:rFonts w:ascii="Times New Roman" w:hAnsi="Times New Roman" w:eastAsia="Verdana"/>
          <w:b/>
          <w:sz w:val="24"/>
        </w:rPr>
      </w:pP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1. De gemeenteraad, provinciale staten of Onze Minister van Binnenlandse Zaken en Koninkrijksrelaties kunnen bij voorkeursrechtbeschikking op een onroerende zaak een gemeentelijk, provinciaal of nationaal voorkeursrecht vestigen, voor zover die zaak deel uitmaakt van een locatie waaraan:</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lastRenderedPageBreak/>
        <w:t>a. in het omgevingsplan een niet-agrarische functie is toegedeeld en waarvan het gebruik afwijkt van die functie,</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b. in een gemeentelijke, een provinciale respectievelijk de nationale omgevingsvisie of in een programma een niet-agrarische functie of moderniseringslocatie is toegedacht en waarvan het gebruik afwijkt van die functie en de functie niet is toegedeeld in een omgevingsplan,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c. in de voorkeursrechtbeschikking een niet-agrarische functie of moderniseringslocatie wordt toegedacht en waarvan het gebruik afwijkt van die functie en de functie niet is toegedacht in een gemeentelijke, een provinciale respectievelijk de nationale omgevingsvisie of een programma en niet is toegedeeld in een omgevingsplan.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2. Voorafgaand aan de vestiging van een voorkeursrecht op grond van het eerste lid, kunnen het college van burgemeester en wethouders en gedeputeerde staten bij voorkeursrechtbeschikking op een onroerende zaak een gemeentelijk of provinciaal voorkeursrecht vestigen, voor zover die zaak deel uitmaakt van een locatie waaraan in die beschikking een niet-agrarische functie of moderniseringslocatie wordt toegedacht en waarvan het gebruik afwijkt van die functie.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3. Een provinciaal voorkeursrecht kan alleen worden gevestigd met het oog op een provinciaal belang.</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4. Een nationaal voorkeursrecht kan alleen worden gevestigd met het oog op een nationaal belang.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9.2 (exclusiviteit voorkeursrecht)</w:t>
      </w:r>
    </w:p>
    <w:p w:rsidRPr="00E97F6E" w:rsidR="00E97F6E" w:rsidP="00E97F6E" w:rsidRDefault="00E97F6E">
      <w:pPr>
        <w:rPr>
          <w:rFonts w:ascii="Times New Roman" w:hAnsi="Times New Roman" w:eastAsia="Verdana"/>
          <w:b/>
          <w:sz w:val="24"/>
        </w:rPr>
      </w:pP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1. Op een onroerende zaak waarop een provinciaal voorkeursrecht is gevestigd, kan geen gemeentelijk voorkeursrecht worden gevestigd.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2. Op een onroerende zaak waarop een nationaal voorkeursrecht is gevestigd, kan geen gemeentelijk of provinciaal voorkeursrecht worden gevestigd.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3. Een gemeentelijk voorkeursrecht vervalt op het tijdstip waarop voor de onroerende zaak een provinciaal of nationaal voorkeursrecht ingaat.</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4. In afwijking van het derde lid blijft een gemeentelijk voorkeursrecht buiten toepassing gedurende de tijd dat op de onroerende zaak een door gedeputeerde staten op grond van artikel 9.1, tweede lid, gevestigd voorkeursrecht rust.</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5. Een provinciaal voorkeursrecht vervalt op het tijdstip waarop voor de onroerende zaak een nationaal voorkeursrecht ingaat.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9.3 (vestigen nieuw voorkeursrecht)</w:t>
      </w:r>
    </w:p>
    <w:p w:rsidRPr="00E97F6E" w:rsidR="00E97F6E" w:rsidP="00E97F6E" w:rsidRDefault="00E97F6E">
      <w:pPr>
        <w:rPr>
          <w:rFonts w:ascii="Times New Roman" w:hAnsi="Times New Roman" w:eastAsia="Verdana"/>
          <w:sz w:val="24"/>
        </w:rPr>
      </w:pP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1. Op een onroerende zaak kan niet binnen drie jaar na de intrekking of het vervallen van een voorkeursrecht door hetzelfde bestuursorgaan opnieuw een voorkeursrecht worden gevestigd op dezelfde grondslag.</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2. Het eerste lid is niet van toepassing op een voorkeursrecht dat niet in de openbare registers is ingeschreven binnen de in artikel 16.82a bedoelde termijn.</w:t>
      </w:r>
    </w:p>
    <w:p w:rsidRPr="00BB04E4" w:rsidR="00E97F6E" w:rsidP="00BB04E4" w:rsidRDefault="00E97F6E">
      <w:pPr>
        <w:rPr>
          <w:rFonts w:ascii="Times New Roman" w:hAnsi="Times New Roman" w:eastAsia="Verdana"/>
          <w:b/>
          <w:sz w:val="24"/>
        </w:rPr>
      </w:pPr>
    </w:p>
    <w:p w:rsidR="00E97F6E" w:rsidP="00BB04E4" w:rsidRDefault="00E97F6E">
      <w:pPr>
        <w:rPr>
          <w:rFonts w:ascii="Times New Roman" w:hAnsi="Times New Roman" w:eastAsia="Verdana"/>
          <w:b/>
          <w:sz w:val="24"/>
        </w:rPr>
      </w:pPr>
      <w:r w:rsidRPr="00BB04E4">
        <w:rPr>
          <w:rFonts w:ascii="Times New Roman" w:hAnsi="Times New Roman" w:eastAsia="Verdana"/>
          <w:b/>
          <w:sz w:val="24"/>
        </w:rPr>
        <w:t>Artikel 9.4 (geldingsduur voorkeursrecht)</w:t>
      </w:r>
    </w:p>
    <w:p w:rsidRPr="00BB04E4" w:rsidR="00BB04E4" w:rsidP="00BB04E4" w:rsidRDefault="00BB04E4">
      <w:pPr>
        <w:rPr>
          <w:rFonts w:ascii="Times New Roman" w:hAnsi="Times New Roman" w:eastAsia="Verdana"/>
          <w:b/>
          <w:sz w:val="24"/>
        </w:rPr>
      </w:pP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1. Een voorkeursrecht vervalt:</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 xml:space="preserve">a. bij een voorkeursrecht als bedoeld in artikel 9.1, eerste lid, onder c: drie jaar na het ingaan ervan, tenzij voor dat tijdstip de functie waarvoor het voorkeursrecht is gevestigd, is toegedacht in een omgevingsvisie of een programma of is toegedeeld in het omgevingsplan, </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lastRenderedPageBreak/>
        <w:t>b. bij een voorkeursrecht als bedoeld in artikel 9.1, eerste lid, onder b: drie jaar na het ingaan ervan, tenzij voor dat tijdstip de functie waarvoor het voorkeursrecht is gevestigd, is toegedeeld in het omgevingsplan,</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c. bij een voorkeursrecht als bedoeld in artikel 9.1, eerste lid, onder a: tien jaar na het ingaan ervan.</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2. Een voorkeursrecht als bedoeld in artikel 9.1, tweede lid, vervalt drie maanden na het ingaan ervan of, als dat eerder is, op het tijdstip dat een voorkeursrecht als bedoeld in artikel 9.1, eerste lid, ingaat.</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 xml:space="preserve">3. Als een omgevingsplan wordt vernietigd, blijft een voorkeursrecht dat is gebaseerd op dat omgevingsplan gelden tot een jaar na de vernietiging, tenzij het voorkeursrecht eerder wordt ingetrokken. Als binnen dat jaar in het omgevingsplan de grondslag voor het voorkeursrecht wordt hersteld, heeft het voorkeursrecht de geldingsduur die het direct voorafgaand aan de vernietiging had. </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9.5 (intrekking en verval van voorkeursrecht of vernietiging van voorkeursrechtbeschikking)</w:t>
      </w:r>
    </w:p>
    <w:p w:rsidRPr="00E97F6E" w:rsidR="00E97F6E" w:rsidP="00E97F6E" w:rsidRDefault="00E97F6E">
      <w:pPr>
        <w:rPr>
          <w:rFonts w:ascii="Times New Roman" w:hAnsi="Times New Roman" w:eastAsia="Verdana"/>
          <w:sz w:val="24"/>
        </w:rPr>
      </w:pP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 xml:space="preserve">1. Als een voorkeursrecht niet meer voldoet aan de eisen gesteld in artikel 9.1, eerste en tweede lid, of als de voorkeursrechtbeschikking niet binnen de in artikel 16.82a genoemde termijn in de openbare registers is ingeschreven, trekt het bestuursorgaan dat het gevestigd heeft het voorkeursrecht onverwijld in. </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2. Het bestuursorgaan draagt er zorg voor dat een ingetrokken of vervallen voorkeursrecht of een voorkeursrecht waarvan de voorkeursrechtbeschikking is vernietigd, onverwijld wordt doorgehaald in de openbare registers.</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3. Het bestuursorgaan doet van de intrekking of het vervallen van een voorkeursrecht of van de vernietiging van een voorkeursrechtbeschikking mededeling aan de eigenaren van en de beperkt gerechtigden op de onroerende zaak.</w:t>
      </w:r>
    </w:p>
    <w:p w:rsidRPr="00E97F6E" w:rsidR="00E97F6E" w:rsidP="00E97F6E" w:rsidRDefault="00E97F6E">
      <w:pPr>
        <w:rPr>
          <w:rFonts w:ascii="Times New Roman" w:hAnsi="Times New Roman" w:eastAsia="Verdana"/>
          <w:sz w:val="24"/>
        </w:rPr>
      </w:pPr>
    </w:p>
    <w:p w:rsidR="00E97F6E" w:rsidP="00640EAE" w:rsidRDefault="00640EAE">
      <w:pPr>
        <w:rPr>
          <w:rFonts w:ascii="Times New Roman" w:hAnsi="Times New Roman" w:eastAsia="Verdana"/>
          <w:sz w:val="24"/>
        </w:rPr>
      </w:pPr>
      <w:r w:rsidRPr="00640EAE">
        <w:rPr>
          <w:rFonts w:ascii="Times New Roman" w:hAnsi="Times New Roman" w:eastAsia="Verdana"/>
          <w:sz w:val="24"/>
        </w:rPr>
        <w:t>AFDELING 9.2 VERVREEMDING NA VESTIGING VAN EEN VOORKEURSRECHT</w:t>
      </w:r>
    </w:p>
    <w:p w:rsidRPr="00640EAE" w:rsidR="00640EAE" w:rsidP="00640EAE" w:rsidRDefault="00640EAE">
      <w:pPr>
        <w:rPr>
          <w:rFonts w:ascii="Times New Roman" w:hAnsi="Times New Roman" w:eastAsia="Verdana"/>
          <w:sz w:val="24"/>
        </w:rPr>
      </w:pPr>
    </w:p>
    <w:p w:rsidR="00E97F6E" w:rsidP="00640EAE" w:rsidRDefault="00E97F6E">
      <w:pPr>
        <w:rPr>
          <w:rFonts w:ascii="Times New Roman" w:hAnsi="Times New Roman" w:eastAsia="Verdana"/>
          <w:i/>
          <w:sz w:val="24"/>
        </w:rPr>
      </w:pPr>
      <w:r w:rsidRPr="00640EAE">
        <w:rPr>
          <w:rFonts w:ascii="Times New Roman" w:hAnsi="Times New Roman" w:eastAsia="Verdana"/>
          <w:i/>
          <w:sz w:val="24"/>
        </w:rPr>
        <w:t>§ 9.2.1 Bevoegd gezag</w:t>
      </w:r>
    </w:p>
    <w:p w:rsidRPr="00640EAE" w:rsidR="00640EAE" w:rsidP="00640EAE" w:rsidRDefault="00640EA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9.6 (bevoegd gezag)</w:t>
      </w:r>
    </w:p>
    <w:p w:rsidRPr="00E97F6E" w:rsidR="00E97F6E" w:rsidP="00E97F6E" w:rsidRDefault="00E97F6E">
      <w:pPr>
        <w:rPr>
          <w:rFonts w:ascii="Times New Roman" w:hAnsi="Times New Roman" w:eastAsia="Verdana"/>
          <w:b/>
          <w:sz w:val="24"/>
        </w:rPr>
      </w:pP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Als bevoegd gezag als bedoeld in deze afdeling worden aangewezen:</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a. het college van burgemeester en wethouders voor een gemeentelijk voorkeursrecht,</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b. gedeputeerde staten voor een provinciaal voorkeursrecht,</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c. Onze Minister van Binnenlandse Zaken en Koninkrijksrelaties voor een nationaal voorkeursrecht.</w:t>
      </w:r>
    </w:p>
    <w:p w:rsidRPr="00640EAE" w:rsidR="00E97F6E" w:rsidP="00E97F6E" w:rsidRDefault="00E97F6E">
      <w:pPr>
        <w:rPr>
          <w:rFonts w:ascii="Times New Roman" w:hAnsi="Times New Roman" w:eastAsia="Verdana"/>
          <w:sz w:val="24"/>
        </w:rPr>
      </w:pPr>
    </w:p>
    <w:p w:rsidR="00E97F6E" w:rsidP="00640EAE" w:rsidRDefault="00E97F6E">
      <w:pPr>
        <w:rPr>
          <w:rFonts w:ascii="Times New Roman" w:hAnsi="Times New Roman" w:eastAsia="Verdana"/>
          <w:i/>
          <w:sz w:val="24"/>
        </w:rPr>
      </w:pPr>
      <w:r w:rsidRPr="00640EAE">
        <w:rPr>
          <w:rFonts w:ascii="Times New Roman" w:hAnsi="Times New Roman" w:eastAsia="Verdana"/>
          <w:i/>
          <w:sz w:val="24"/>
        </w:rPr>
        <w:t>§ 9.2.2 Hoofdregel en uitzonderingen daarop</w:t>
      </w:r>
    </w:p>
    <w:p w:rsidRPr="00640EAE" w:rsidR="00640EAE" w:rsidP="00640EAE" w:rsidRDefault="00640EAE">
      <w:pPr>
        <w:rPr>
          <w:rFonts w:ascii="Times New Roman" w:hAnsi="Times New Roman" w:eastAsia="Verdana"/>
          <w:b/>
          <w:i/>
          <w:sz w:val="24"/>
        </w:rPr>
      </w:pPr>
    </w:p>
    <w:p w:rsidR="00E97F6E" w:rsidP="00640EAE" w:rsidRDefault="00E97F6E">
      <w:pPr>
        <w:rPr>
          <w:rFonts w:ascii="Times New Roman" w:hAnsi="Times New Roman" w:eastAsia="Verdana"/>
          <w:b/>
          <w:sz w:val="24"/>
        </w:rPr>
      </w:pPr>
      <w:r w:rsidRPr="00640EAE">
        <w:rPr>
          <w:rFonts w:ascii="Times New Roman" w:hAnsi="Times New Roman" w:eastAsia="Verdana"/>
          <w:b/>
          <w:sz w:val="24"/>
        </w:rPr>
        <w:t>Artikel 9.7 (hoofdregel bij vervreemding)</w:t>
      </w:r>
    </w:p>
    <w:p w:rsidRPr="00640EAE" w:rsidR="00640EAE" w:rsidP="00640EAE" w:rsidRDefault="00640EAE">
      <w:pPr>
        <w:rPr>
          <w:rFonts w:ascii="Times New Roman" w:hAnsi="Times New Roman" w:eastAsia="Verdana"/>
          <w:b/>
          <w:sz w:val="24"/>
        </w:rPr>
      </w:pPr>
    </w:p>
    <w:p w:rsidR="00E97F6E" w:rsidP="00640EAE" w:rsidRDefault="00E97F6E">
      <w:pPr>
        <w:ind w:firstLine="284"/>
        <w:rPr>
          <w:rFonts w:ascii="Times New Roman" w:hAnsi="Times New Roman" w:eastAsia="Verdana"/>
          <w:sz w:val="24"/>
        </w:rPr>
      </w:pPr>
      <w:r w:rsidRPr="00640EAE">
        <w:rPr>
          <w:rFonts w:ascii="Times New Roman" w:hAnsi="Times New Roman" w:eastAsia="Verdana"/>
          <w:sz w:val="24"/>
        </w:rPr>
        <w:t>Een vervreemder gaat niet over tot vervreemding dan nadat hij de rechtspersoon op wiens naam het voorkeursrecht is gevestigd in overeenstemming met paragraaf 9.2.3 in de gelegenheid heeft gesteld het goed te verkrijgen.</w:t>
      </w:r>
    </w:p>
    <w:p w:rsidRPr="00640EAE" w:rsidR="00640EAE" w:rsidP="00640EAE" w:rsidRDefault="00640EAE">
      <w:pPr>
        <w:rPr>
          <w:rFonts w:ascii="Times New Roman" w:hAnsi="Times New Roman" w:eastAsia="Verdana"/>
          <w:sz w:val="24"/>
        </w:rPr>
      </w:pPr>
    </w:p>
    <w:p w:rsidR="00E97F6E" w:rsidP="00640EAE" w:rsidRDefault="00E97F6E">
      <w:pPr>
        <w:rPr>
          <w:rFonts w:ascii="Times New Roman" w:hAnsi="Times New Roman" w:eastAsia="Verdana"/>
          <w:b/>
          <w:sz w:val="24"/>
        </w:rPr>
      </w:pPr>
      <w:r w:rsidRPr="00640EAE">
        <w:rPr>
          <w:rFonts w:ascii="Times New Roman" w:hAnsi="Times New Roman" w:eastAsia="Verdana"/>
          <w:b/>
          <w:sz w:val="24"/>
        </w:rPr>
        <w:t>Artikel 9.8</w:t>
      </w:r>
      <w:r w:rsidRPr="00640EAE" w:rsidR="00640EAE">
        <w:rPr>
          <w:rFonts w:ascii="Times New Roman" w:hAnsi="Times New Roman" w:eastAsia="Verdana"/>
          <w:b/>
          <w:sz w:val="24"/>
        </w:rPr>
        <w:t xml:space="preserve"> (uitzonderingen op hoofdregel)</w:t>
      </w:r>
    </w:p>
    <w:p w:rsidRPr="00640EAE" w:rsidR="00640EAE" w:rsidP="00640EAE" w:rsidRDefault="00640EAE">
      <w:pPr>
        <w:rPr>
          <w:rFonts w:ascii="Times New Roman" w:hAnsi="Times New Roman" w:eastAsia="Verdana"/>
          <w:b/>
          <w:sz w:val="24"/>
        </w:rPr>
      </w:pP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Artikel 9.7 is niet van toepassing op vervreemding:</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a. aan de echtgenoot of de geregistreerd partner, aan bloed- of aanverwanten in de rechte lijn of in de zijlijn tot in de tweede graad of aan een pleegkind dat duurzaam als een eigen kind is onderhouden en opgevoed,</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b. vanwege de verdeling van een gemeenschap als bedoeld in artikel 166 van Boek 3 van het Burgerlijk Wetboek,</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c. vanwege een uiterste wilsbeschikking,</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 xml:space="preserve">d. vanwege een overeenkomst met een gemeente, een waterschap, een provincie, de Staat of een door Onze Minister van Binnenlandse Zaken en Koninkrijksrelaties aan te wijzen publiekrechtelijk lichaam of in het algemeen belang werkzame rechtspersoon, </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 xml:space="preserve">e. vanwege een verkoop op grond van een wettelijke bepaling, een rechterlijk bevel of een executoriale verkoop, waarbij geldt dat de voorzieningenrechter bij een onderhandse executoriale verkoop als bedoeld in artikel 268, tweede lid, van Boek 3 van het Burgerlijk Wetboek niet beslist over het verzoek tot onderhandse verkoop zolang de rechtspersoon op wiens naam het voorkeursrecht is gevestigd niet in de gelegenheid is gesteld om, gelet op het gunstiger bod, een bod te doen, of </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f. vanwege een overeenkomst over een onroerende zaak waarop een voorkeursrecht is gevestigd als bedoeld in artikel 9.1, eerste lid, onder c, of tweede lid, aangegaan met een pachter die op die zaak op het tijdstip van inwerkingtreding van de voorkeursrechtbeschikking een voorkeursrecht had als bedoeld in artikel 378 van Boek 7 van het Burgerlijk Wetboek.</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9.9 (uitzondering op hoofdregel bij vervreemding vanwege een gesloten overeenkomst)</w:t>
      </w:r>
    </w:p>
    <w:p w:rsidRPr="00E97F6E" w:rsidR="00E97F6E" w:rsidP="00E97F6E" w:rsidRDefault="00E97F6E">
      <w:pPr>
        <w:rPr>
          <w:rFonts w:ascii="Times New Roman" w:hAnsi="Times New Roman" w:eastAsia="Verdana"/>
          <w:b/>
          <w:sz w:val="24"/>
        </w:rPr>
      </w:pP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1. Artikel 9.7 is niet van toepassing op de vervreemding vanwege een overeenkomst over de onroerende zaak of een overeenkomst die een plicht bevat voor de vervreemder over de onroerende zaak, voor zover:</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 xml:space="preserve">a. de vervreemding plaatsvindt aan een in die overeenkomst bij naam genoemde partij en tegen een in die overeenkomst bepaalde of volgens die overeenkomst bepaalbare prijs, </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b. de overeenkomst is ingeschreven in de openbare registers voordat de voorkeursrechtbeschikking is bekendgemaakt, en</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 xml:space="preserve">c. de vervreemding plaatsvindt binnen zes maanden na de dag van inschrijving van de overeenkomst in de openbare registers. </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 xml:space="preserve">2. Een overeenkomst als bedoeld in het eerste lid kan worden ingeschreven in de openbare registers als deze is vervat in een akte. </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3. Het eerste lid is gedurende een periode van drie jaar eenmaal van toepassing op een vervreemding vanwege een overeenkomst over een bepaalde onroerende zaak of een gedeelte daarvan en op de daarin met name genoemde vervreemder of de verkrijger waarmee de overeenkomst is gesloten. Deze periode begint op de dag en het tijdstip van eerste inschrijving van de overeenkomst in de openbare registers.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9.10 (uitzondering op hoofdregel bij vervreemding vanwege gewichtige redenen)</w:t>
      </w:r>
    </w:p>
    <w:p w:rsidRPr="00E97F6E" w:rsidR="00E97F6E" w:rsidP="00E97F6E" w:rsidRDefault="00E97F6E">
      <w:pPr>
        <w:rPr>
          <w:rFonts w:ascii="Times New Roman" w:hAnsi="Times New Roman" w:eastAsia="Verdana"/>
          <w:sz w:val="24"/>
        </w:rPr>
      </w:pP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Artikel 9.7 is niet van toepassing op de vervreemding als het bevoegd gezag daartoe op verzoek van de vervreemder op grond van door die vervreemder aannemelijk gemaakte gewichtige redenen heeft besloten. Het bevoegd gezag kan daarbij beperkingen opleggen.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b/>
          <w:sz w:val="24"/>
        </w:rPr>
        <w:t>Artikel 9.11 (uitzondering op hoofdregel vanwege verwezenlijking omgevingsplan)</w:t>
      </w:r>
    </w:p>
    <w:p w:rsidRPr="00E97F6E" w:rsidR="00E97F6E" w:rsidP="00E97F6E" w:rsidRDefault="00E97F6E">
      <w:pPr>
        <w:rPr>
          <w:rFonts w:ascii="Times New Roman" w:hAnsi="Times New Roman" w:eastAsia="Verdana"/>
          <w:sz w:val="24"/>
        </w:rPr>
      </w:pP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Het bevoegd gezag beslist dat artikel 9.7 niet van toepassing is op de vervreemding waarvoor een voorkeursrecht als bedoeld in artikel 9.1, eerste lid, onder a, geldt als de vervreemder aannemelijk maakt dat de verkrijger:</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a. bereid en in staat is om de verwezenlijking van de toegedeelde functie waarvoor het voorkeursrecht is gevestigd, op zich te nemen,</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b. daarvoor concrete en op uitvoering gerichte voornemens heeft, en</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 xml:space="preserve">c. de beoogde vorm van ontwikkeling, gebruik of beheer van de fysieke leefomgeving zal verwezenlijken op de wijze zoals op grond van het omgevingsplan is voorzien. </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9.2.3 Vervreemding aan een gemeente, een provincie of de Staat</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9.12 (uitnodiging tot onderhandeling over vervreemding aan gemeente, provincie of Staat)</w:t>
      </w:r>
    </w:p>
    <w:p w:rsidRPr="00E97F6E" w:rsidR="00E97F6E" w:rsidP="00E97F6E" w:rsidRDefault="00E97F6E">
      <w:pPr>
        <w:rPr>
          <w:rFonts w:ascii="Times New Roman" w:hAnsi="Times New Roman" w:eastAsia="Verdana"/>
          <w:b/>
          <w:sz w:val="24"/>
        </w:rPr>
      </w:pP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1. Als de vervreemder het voornemen heeft tot vervreemding over te gaan en artikel 9.7 van toepassing is, nodigt hij het bevoegd gezag uit in onderhandeling te treden over vervreemding aan de gemeente, de provincie of de Staat tegen nader overeen te komen voorwaarden.</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2. Als de voorgenomen vervreemding betrekking heeft op onroerende zaken waarop voor een deel een voorkeursrecht is gevestigd maar die een samenhangend geheel vormen, kan de vervreemder, onverminderd afdeling 11 van titel 5 van Boek 7 van het Burgerlijk Wetboek, als voorwaarde stellen dat dit geheel van onroerende zaken in de vervreemding wordt betrokken.</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 xml:space="preserve">3. Als de onroerende zaken als onderdeel van een onderneming worden geëxploiteerd, kan de vervreemder als voorwaarde stellen dat de onderneming in de vervreemding wordt betrokken. </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4. Als artikel 9.2, derde of vijfde lid, van toepassing is en er al een uitnodiging tot onderhandeling aan het college van burgemeester en wethouders of gedeputeerde staten is gedaan, wordt die uitnodiging aangemerkt als een uitnodiging aan gedeputeerde staten of Onze Minister van Binnenlandse Zaken en Koninkrijksrelaties.</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9.13 (beslistermijn voor besluit over bereidheid tot verkrijging)</w:t>
      </w:r>
    </w:p>
    <w:p w:rsidRPr="00E97F6E" w:rsidR="00E97F6E" w:rsidP="00E97F6E" w:rsidRDefault="00E97F6E">
      <w:pPr>
        <w:rPr>
          <w:rFonts w:ascii="Times New Roman" w:hAnsi="Times New Roman" w:eastAsia="Verdana"/>
          <w:sz w:val="24"/>
        </w:rPr>
      </w:pP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Het bevoegd gezag beslist binnen zes weken na ontvangst van de uitnodiging of de gemeente, de provincie respectievelijk de Staat in beginsel bereid is het goed tegen nader overeen te komen voorwaarden te kopen of op grond van een andere titel te verkrijgen.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9.14 (rechtsgevolg ontbreken bereidheid of overschrijding van beslistermijn)</w:t>
      </w:r>
    </w:p>
    <w:p w:rsidRPr="00E97F6E" w:rsidR="00E97F6E" w:rsidP="00E97F6E" w:rsidRDefault="00E97F6E">
      <w:pPr>
        <w:rPr>
          <w:rFonts w:ascii="Times New Roman" w:hAnsi="Times New Roman" w:eastAsia="Verdana"/>
          <w:b/>
          <w:sz w:val="24"/>
        </w:rPr>
      </w:pP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1. De vervreemder mag, nadat hij de uitnodiging heeft gedaan, overgaan tot vervreemding van het in de uitnodiging vermelde goed aan derden gedurende een periode van drie jaar:</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a. vanaf de dag waarop het bevoegd gezag heeft beslist dat het niet bereid is het goed te kopen of op grond van een andere titel te verkrijgen, of</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b. na afloop van de in artikel 9.13 bedoelde termijn als het bevoegd gezag binnen die termijn geen beslissing heeft genomen.</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2. In afwijking van het eerste lid geldt voor een voorkeursrecht dat ten minste gedurende een periode van vijf jaar is gebaseerd op een omgevingsplan en waarvoor de uitnodiging is gedaan, dat dit vervalt:</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lastRenderedPageBreak/>
        <w:t>a. met ingang van de dag na die waarop het bevoegd gezag heeft beslist dat het niet bereid is het goed te kopen of op grond van een andere titel te verkrijgen, of</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b. na afloop van de in artikel 9.13 genoemde termijn als het bevoegd gezag binnen die termijn geen beslissing heeft genomen.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9.2.4 Gerechtelijke procedure tot vaststelling van de prijs of tot overdracht van het goed</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9.15 (toepassingsbereik)</w:t>
      </w:r>
    </w:p>
    <w:p w:rsidRPr="00E97F6E" w:rsidR="00E97F6E" w:rsidP="00E97F6E" w:rsidRDefault="00E97F6E">
      <w:pPr>
        <w:rPr>
          <w:rFonts w:ascii="Times New Roman" w:hAnsi="Times New Roman" w:eastAsia="Verdana"/>
          <w:sz w:val="24"/>
        </w:rPr>
      </w:pP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Deze paragraaf is van toepassing op een goed waarvoor een uitnodiging als bedoeld in artik</w:t>
      </w:r>
      <w:r w:rsidR="00BD205F">
        <w:rPr>
          <w:rFonts w:ascii="Times New Roman" w:hAnsi="Times New Roman" w:eastAsia="Verdana"/>
          <w:sz w:val="24"/>
        </w:rPr>
        <w:t>el 9.12, eerste lid, is gedaan.</w:t>
      </w:r>
    </w:p>
    <w:p w:rsidRPr="00E97F6E" w:rsidR="00E97F6E" w:rsidP="00E97F6E" w:rsidRDefault="00E97F6E">
      <w:pPr>
        <w:rPr>
          <w:rFonts w:ascii="Times New Roman" w:hAnsi="Times New Roman" w:eastAsia="Verdana"/>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9.16 (verzoek om gerechtelijke procedure tot vaststelling van de prijs)</w:t>
      </w:r>
    </w:p>
    <w:p w:rsidRPr="00E97F6E" w:rsidR="00E97F6E" w:rsidP="00E97F6E" w:rsidRDefault="00E97F6E">
      <w:pPr>
        <w:keepNext/>
        <w:rPr>
          <w:rFonts w:ascii="Times New Roman" w:hAnsi="Times New Roman" w:eastAsia="Verdana"/>
          <w:b/>
          <w:sz w:val="24"/>
        </w:rPr>
      </w:pPr>
    </w:p>
    <w:p w:rsidRPr="00E97F6E" w:rsidR="00E97F6E" w:rsidP="00BD205F" w:rsidRDefault="00E97F6E">
      <w:pPr>
        <w:keepNext/>
        <w:ind w:firstLine="284"/>
        <w:rPr>
          <w:rFonts w:ascii="Times New Roman" w:hAnsi="Times New Roman" w:eastAsia="Verdana"/>
          <w:sz w:val="24"/>
        </w:rPr>
      </w:pPr>
      <w:r w:rsidRPr="00E97F6E">
        <w:rPr>
          <w:rFonts w:ascii="Times New Roman" w:hAnsi="Times New Roman" w:eastAsia="Verdana"/>
          <w:sz w:val="24"/>
        </w:rPr>
        <w:t>1. Als het bevoegd gezag in beginsel bereid is het goed te kopen of op grond van een andere titel te verkrijgen en er tussen de vervreemder en het bevoegd gezag wordt onderhandeld over de vervreemdingsvoorwaarden, kan de vervreemder het bevoegd gezag verzoeken om binnen vier weken na dat verzoek de rechtbank te verzoeken een oordeel over de prijs te geven.</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2. Bij het verzoek van het bevoegd gezag aan de rechtbank wordt een afschrift van het verzoek van de vervreemder gevoegd.</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9.17 (rechtsgevolg niet indienen of intrekken verzoek)</w:t>
      </w:r>
    </w:p>
    <w:p w:rsidRPr="00E97F6E" w:rsidR="00E97F6E" w:rsidP="00E97F6E" w:rsidRDefault="00E97F6E">
      <w:pPr>
        <w:rPr>
          <w:rFonts w:ascii="Times New Roman" w:hAnsi="Times New Roman" w:eastAsia="Verdana"/>
          <w:sz w:val="24"/>
        </w:rPr>
      </w:pP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1. De vervreemder mag tot vervreemding aan derden overgaan gedurende een periode van drie jaar vanaf het moment dat:</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a. de termijn bedoeld in artikel 9.16, eerste lid, is verstreken en binnen die termijn het bevoegd gezag geen verzoek bij de rechtbank heeft ingediend,</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 xml:space="preserve">b. de gerechtelijke procedure tussentijds is beëindigd door het intrekken van het verzoek door het bevoegd gezag. </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2. Een voorkeursrecht dat ten minste gedurende een periode van vijf jaar is gebaseerd op een omgevingsplan</w:t>
      </w:r>
      <w:r w:rsidRPr="00E97F6E" w:rsidDel="000D59E8">
        <w:rPr>
          <w:rFonts w:ascii="Times New Roman" w:hAnsi="Times New Roman" w:eastAsia="Verdana"/>
          <w:sz w:val="24"/>
        </w:rPr>
        <w:t xml:space="preserve"> </w:t>
      </w:r>
      <w:r w:rsidRPr="00E97F6E">
        <w:rPr>
          <w:rFonts w:ascii="Times New Roman" w:hAnsi="Times New Roman" w:eastAsia="Verdana"/>
          <w:sz w:val="24"/>
        </w:rPr>
        <w:t xml:space="preserve">en waarvoor het goed waarop het betrekking heeft is aangeboden aan het bevoegd gezag, vervalt met ingang van de dag nadat: </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a. de in artikel 9.16, eerste lid, bedoelde termijn is afgelopen en het bevoegd gezag niet binnen die termijn een verzoek bij de rechtbank heeft ingediend, of</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b. de gerechtelijke procedure tussentijds is beëindigd door intrekking van het verzoek door het bevoegd gezag.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9.18 (verzoek om gerechtelijke procedure tot overdracht van het goed) </w:t>
      </w:r>
    </w:p>
    <w:p w:rsidRPr="00E97F6E" w:rsidR="00E97F6E" w:rsidP="00E97F6E" w:rsidRDefault="00E97F6E">
      <w:pPr>
        <w:rPr>
          <w:rFonts w:ascii="Times New Roman" w:hAnsi="Times New Roman" w:eastAsia="Verdana"/>
          <w:b/>
          <w:sz w:val="24"/>
        </w:rPr>
      </w:pP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1. De vervreemder kan de rechtbank verzoeken te bepalen dat de rechtspersoon op wiens naam het voorkeursrecht is gevestigd, vanwege bijzondere persoonlijke omstandigheden van de vervreemder gehouden is medewerking te verlenen aan de overdracht van het goed tegen een door de rechtbank vast te stellen prijs.</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2. Het verzoek wordt ingediend binnen twee maanden na de dag waarop:</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 xml:space="preserve">a. het bevoegd gezag heeft beslist geen verzoek in te dienen als bedoeld in artikel 9.16, eerste lid, </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b. de termijn, bedoeld in artikel 9.16, eerste lid, is overschreden zonder dat het bevoegd gezag een beslissing heeft genomen, of</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lastRenderedPageBreak/>
        <w:t>c. de intrekking van het verzoek bij de griffie is ontvangen.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9.19 (rechtsgevolg afwijzing verzoek tot overdracht van het goed)</w:t>
      </w:r>
    </w:p>
    <w:p w:rsidRPr="00E97F6E" w:rsidR="00E97F6E" w:rsidP="00E97F6E" w:rsidRDefault="00E97F6E">
      <w:pPr>
        <w:rPr>
          <w:rFonts w:ascii="Times New Roman" w:hAnsi="Times New Roman" w:eastAsia="Verdana"/>
          <w:sz w:val="24"/>
        </w:rPr>
      </w:pP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De vervreemder mag tot vervreemding aan derden overgaan gedurende een periode van drie jaar na het onherroepelijk worden van de rechterlijke beschikking waarbij het verzoek, bedoeld in artikel 9.18, eerste lid, is afgewezen.</w:t>
      </w:r>
    </w:p>
    <w:p w:rsidRPr="00E97F6E" w:rsidR="00E97F6E" w:rsidP="00E97F6E" w:rsidRDefault="00E97F6E">
      <w:pPr>
        <w:rPr>
          <w:rFonts w:ascii="Times New Roman" w:hAnsi="Times New Roman" w:eastAsia="Verdana"/>
          <w:i/>
          <w:sz w:val="24"/>
        </w:rPr>
      </w:pPr>
    </w:p>
    <w:p w:rsidR="00E97F6E" w:rsidP="0023718A" w:rsidRDefault="00E97F6E">
      <w:pPr>
        <w:rPr>
          <w:rFonts w:ascii="Times New Roman" w:hAnsi="Times New Roman" w:eastAsia="Verdana"/>
          <w:i/>
          <w:sz w:val="24"/>
        </w:rPr>
      </w:pPr>
      <w:r w:rsidRPr="0023718A">
        <w:rPr>
          <w:rFonts w:ascii="Times New Roman" w:hAnsi="Times New Roman" w:eastAsia="Verdana"/>
          <w:i/>
          <w:sz w:val="24"/>
        </w:rPr>
        <w:t>§ 9.2.5 Notariële akte tot levering van de onroerende zaak</w:t>
      </w:r>
    </w:p>
    <w:p w:rsidRPr="0023718A" w:rsidR="0023718A" w:rsidP="0023718A" w:rsidRDefault="0023718A">
      <w:pPr>
        <w:rPr>
          <w:rFonts w:ascii="Times New Roman" w:hAnsi="Times New Roman" w:eastAsia="Verdana"/>
          <w:i/>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b/>
          <w:sz w:val="24"/>
        </w:rPr>
        <w:t>Artikel 9.20 (notariële akte tot levering)</w:t>
      </w:r>
    </w:p>
    <w:p w:rsidRPr="00E97F6E" w:rsidR="00E97F6E" w:rsidP="00E97F6E" w:rsidRDefault="00E97F6E">
      <w:pPr>
        <w:rPr>
          <w:rFonts w:ascii="Times New Roman" w:hAnsi="Times New Roman" w:eastAsia="Verdana"/>
          <w:sz w:val="24"/>
        </w:rPr>
      </w:pP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1. Het bevoegd gezag verleent medewerking aan de totstandkoming van een notariële akte tot levering van het goed tegen betaling aan de vervreemder van de in de beschikking, bedoeld in artikel 16.123, eerste lid, bepaalde prijs als de vervreemder binnen een periode van drie maanden na de dag van het onherroepelijk worden van de beschikking schriftelijk aan het bevoegd gezag verzoekt om die medewerking.</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 xml:space="preserve">2. Het eerste lid is van overeenkomstige toepassing als sprake is van een beschikking als bedoeld in artikel 16.123, tweede lid, voor zover bij die beschikking het verzoek is toegewezen. </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3. Het bevoegd gezag dat het voorkeursrecht heeft gevestigd, draagt er zorg voor dat na levering van de onroerende zaak het voorkeursrecht, voor zover het ziet op die zaak, wordt doorgehaald in de openbare registers.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9.21 (inschrijving notariële akte tot levering)</w:t>
      </w:r>
    </w:p>
    <w:p w:rsidRPr="00E97F6E" w:rsidR="00E97F6E" w:rsidP="00E97F6E" w:rsidRDefault="00E97F6E">
      <w:pPr>
        <w:rPr>
          <w:rFonts w:ascii="Times New Roman" w:hAnsi="Times New Roman" w:eastAsia="Verdana"/>
          <w:b/>
          <w:sz w:val="24"/>
        </w:rPr>
      </w:pP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1. Inschrijving in de openbare registers van een akte tot vervreemding anders dan aan een gemeente, een provincie of de Staat vindt alleen plaats als op of bij het in te schrijven stuk een notariële verklaring is opgenomen, die inhoudt dat:</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 xml:space="preserve">a. op de onroerende zaak geen voorkeursrecht is gevestigd, of </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b. de vervreemding niet in strijd is met dit hoofdstuk en de daarop rustende bepalingen.</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 xml:space="preserve">2. Voor de toepassing van het eerste lid wordt met de daar bedoelde notariële verklaring gelijkgesteld een verklaring van een persoon als bedoeld in artikel 91 van de Overgangswet nieuw Burgerlijk Wetboek, die in overeenstemming met het daar bepaalde een onderhandse akte tot levering heeft opgesteld.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9.2.6 Nietigheid van rechtshandelingen in strijd met voorkeursrecht</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9.22 (nietigheid van rechtshandelingen in strijd met voorkeursrecht)</w:t>
      </w:r>
    </w:p>
    <w:p w:rsidRPr="00E97F6E" w:rsidR="00E97F6E" w:rsidP="00E97F6E" w:rsidRDefault="00E97F6E">
      <w:pPr>
        <w:rPr>
          <w:rFonts w:ascii="Times New Roman" w:hAnsi="Times New Roman" w:eastAsia="Verdana"/>
          <w:sz w:val="24"/>
        </w:rPr>
      </w:pP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1. Een gemeente, een provincie of de Staat kan de nietigheid inroepen van rechtshandelingen die zijn verricht met de kennelijke strekking afbreuk te doen aan een op haar of zijn naam gevestigd voorkeursrecht.</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2. Een verzoek tot nietigverklaring wordt gedaan bij de rechtbank binnen het rechtsgebied waar de onroerende zaak geheel of grotendeels ligt binnen acht weken nadat de gemeente, de provincie of de Staat een afschrift heeft ontvangen van de akte waarin de rechtshandeling is vervat.</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3. Het verzoek tot nietigverklaring is niet-ontvankelijk als de indiener schriftelijk heeft ingestemd met de rechtshandeling.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F</w:t>
      </w:r>
    </w:p>
    <w:p w:rsidRPr="00E97F6E" w:rsidR="00E97F6E" w:rsidP="00E97F6E" w:rsidRDefault="00E97F6E">
      <w:pPr>
        <w:rPr>
          <w:rFonts w:ascii="Times New Roman" w:hAnsi="Times New Roman" w:eastAsia="Calibri"/>
          <w:sz w:val="24"/>
          <w:lang w:eastAsia="en-US"/>
        </w:rPr>
      </w:pPr>
    </w:p>
    <w:p w:rsidRPr="00E97F6E" w:rsidR="00E97F6E" w:rsidP="00F369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hoofdstuk 10, afdeling 10.2, worden na artikel 10.10 zes artikelen ingevoegd, luidende:</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10.10a (gedoogplicht voorbereiding landinrichting)</w:t>
      </w:r>
    </w:p>
    <w:p w:rsidRPr="00E97F6E" w:rsidR="00E97F6E" w:rsidP="00E97F6E" w:rsidRDefault="00E97F6E">
      <w:pPr>
        <w:rPr>
          <w:rFonts w:ascii="Times New Roman" w:hAnsi="Times New Roman" w:eastAsia="Calibri"/>
          <w:sz w:val="24"/>
          <w:lang w:eastAsia="en-US"/>
        </w:rPr>
      </w:pPr>
    </w:p>
    <w:p w:rsidRPr="00E97F6E" w:rsidR="00E97F6E" w:rsidP="00F369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Een rechthebbende gedoogt dat terreinen worden betreden of daarop graafwerkzaamheden of meetwerkzaamheden worden verricht of tekens worden aangebracht, als gedeputeerde staten van de provincie waar die terreinen geheel of grotendeels liggen dat voor de voorbereiding van landinrichting als bedoeld in artikel 12.3, eerste lid, nodig achten.</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10.10b (gedoogplicht landinrichting)</w:t>
      </w:r>
    </w:p>
    <w:p w:rsidRPr="00E97F6E" w:rsidR="00E97F6E" w:rsidP="00E97F6E" w:rsidRDefault="00E97F6E">
      <w:pPr>
        <w:rPr>
          <w:rFonts w:ascii="Times New Roman" w:hAnsi="Times New Roman" w:eastAsia="Calibri"/>
          <w:sz w:val="24"/>
          <w:lang w:eastAsia="en-US"/>
        </w:rPr>
      </w:pPr>
    </w:p>
    <w:p w:rsidRPr="00E97F6E" w:rsidR="00E97F6E" w:rsidP="00F369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rechthebbende gedoogt dat binnen het in te richten gebied meetwerkzaamheden of waarnemingen worden verricht of tekens worden aangebracht.</w:t>
      </w:r>
    </w:p>
    <w:p w:rsidRPr="00E97F6E" w:rsidR="00E97F6E" w:rsidP="00F369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op degene aan wie op grond van artikel 12.21, eerste lid, percelen tijdelijk in gebruik zijn gegeven.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10.10c (gedoogplicht verrichten werkzaamheden instructie)</w:t>
      </w:r>
    </w:p>
    <w:p w:rsidRPr="00E97F6E" w:rsidR="00E97F6E" w:rsidP="00E97F6E" w:rsidRDefault="00E97F6E">
      <w:pPr>
        <w:rPr>
          <w:rFonts w:ascii="Times New Roman" w:hAnsi="Times New Roman" w:eastAsia="Calibri"/>
          <w:sz w:val="24"/>
          <w:lang w:eastAsia="en-US"/>
        </w:rPr>
      </w:pP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rechthebbende gedoogt dat de werkzaamheden ten aanzien van wegen, waterstaatswerken, gebieden van belang uit een oogpunt van natuurbescherming of landschapsbehoud of van elementen van landschappelijke, recreatieve, aardkundige of natuurwetenschappelijke waarde, of cultureel erfgoed, of andere voorzieningen van openbaar nut, genoemd in een instructie als bedoeld in artikel 12.18, worden verricht.</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op degene aan wie op grond van artikel 12.21, eerste lid, percelen tijdelijk in gebruik zijn gegeven.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10.10d (gedoogplichten herverkaveling)</w:t>
      </w:r>
    </w:p>
    <w:p w:rsidRPr="00E97F6E" w:rsidR="00E97F6E" w:rsidP="00E97F6E" w:rsidRDefault="00E97F6E">
      <w:pPr>
        <w:rPr>
          <w:rFonts w:ascii="Times New Roman" w:hAnsi="Times New Roman" w:eastAsia="Calibri"/>
          <w:sz w:val="24"/>
          <w:lang w:eastAsia="en-US"/>
        </w:rPr>
      </w:pP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Binnen een herverkavelingsblok gedoogt een rechthebbende dat:</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houtgewas wordt geplant of gekapt, of zoden, aarde, baggerspecie en andere grond aan zijn terreinen worden onttrokken of daarop worden neergelegd,</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werkzaamheden worden verricht voor de ontsluiting, waterbeheersing, inrichting en profielopbouw van de percelen,</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bouwwerken worden gesloopt, gebouwd of verplaatst als gedeputeerde staten dat nodig achten voor de uitvoering van het inrichtingsprogramma.</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op degene aan wie op grond van artikel 12.21, eerste lid, percelen tijdelijk in gebruik zijn gegeven.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10.10e (gedoogplichten tijdelijk in gebruik gegeven percelen)</w:t>
      </w:r>
    </w:p>
    <w:p w:rsidRPr="00E97F6E" w:rsidR="00E97F6E" w:rsidP="00E97F6E" w:rsidRDefault="00E97F6E">
      <w:pPr>
        <w:rPr>
          <w:rFonts w:ascii="Times New Roman" w:hAnsi="Times New Roman" w:eastAsia="Calibri"/>
          <w:sz w:val="24"/>
          <w:lang w:eastAsia="en-US"/>
        </w:rPr>
      </w:pP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Een rechthebbende van een perceel dat op grond van artikel 12.21, derde lid, tijdelijk in gebruik is gegeven aan een openbaar lichaam of rechtspersoon gedoogt dat dit lichaam of deze rechtspersoon daarop de werkzaamheden verricht die hij nodig acht voor de uitvoering van het inrichtingsprogramma.</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10.10f (gedoogplichten voorbereidende werkzaamheden onteigening)</w:t>
      </w:r>
    </w:p>
    <w:p w:rsidRPr="00E97F6E" w:rsidR="00E97F6E" w:rsidP="00E97F6E" w:rsidRDefault="00E97F6E">
      <w:pPr>
        <w:rPr>
          <w:rFonts w:ascii="Times New Roman" w:hAnsi="Times New Roman" w:eastAsia="Verdana"/>
          <w:sz w:val="24"/>
        </w:rPr>
      </w:pPr>
    </w:p>
    <w:p w:rsidRPr="00E97F6E" w:rsidR="00E97F6E" w:rsidP="00DA2647" w:rsidRDefault="00E97F6E">
      <w:pPr>
        <w:ind w:firstLine="284"/>
        <w:rPr>
          <w:rFonts w:ascii="Times New Roman" w:hAnsi="Times New Roman" w:eastAsia="Verdana"/>
          <w:sz w:val="24"/>
        </w:rPr>
      </w:pPr>
      <w:r w:rsidRPr="00E97F6E">
        <w:rPr>
          <w:rFonts w:ascii="Times New Roman" w:hAnsi="Times New Roman" w:eastAsia="Verdana"/>
          <w:sz w:val="24"/>
        </w:rPr>
        <w:t xml:space="preserve">1. Als voor een beoogde vorm van ontwikkeling, gebruik of beheer van de fysieke leefomgeving waarvoor kan worden onteigend, graafwerkzaamheden, meetwerkzaamheden of het aanbrengen van tekens door het bevoegd gezag, bedoeld in artikel 11.4, nodig worden geacht, gedoogt de rechthebbende dit. </w:t>
      </w:r>
    </w:p>
    <w:p w:rsidRPr="00DA2647" w:rsidR="00E97F6E" w:rsidP="00DA2647" w:rsidRDefault="00E97F6E">
      <w:pPr>
        <w:ind w:firstLine="284"/>
        <w:rPr>
          <w:rFonts w:ascii="Times New Roman" w:hAnsi="Times New Roman" w:eastAsia="Verdana"/>
          <w:sz w:val="24"/>
        </w:rPr>
      </w:pPr>
      <w:r w:rsidRPr="00DA2647">
        <w:rPr>
          <w:rFonts w:ascii="Times New Roman" w:hAnsi="Times New Roman" w:eastAsia="Verdana"/>
          <w:sz w:val="24"/>
        </w:rPr>
        <w:t>2. Artikel 10.4 is van overeenkomstige toepassing.</w:t>
      </w:r>
    </w:p>
    <w:p w:rsidR="00DA2647" w:rsidP="00DA2647" w:rsidRDefault="00DA2647">
      <w:pPr>
        <w:rPr>
          <w:rFonts w:ascii="Times New Roman" w:hAnsi="Times New Roman" w:eastAsia="Verdana"/>
          <w:sz w:val="24"/>
        </w:rPr>
      </w:pPr>
    </w:p>
    <w:p w:rsidRPr="00DA2647" w:rsidR="00E97F6E" w:rsidP="00DA2647" w:rsidRDefault="00E97F6E">
      <w:pPr>
        <w:rPr>
          <w:rFonts w:ascii="Times New Roman" w:hAnsi="Times New Roman" w:eastAsia="Verdana"/>
          <w:sz w:val="24"/>
        </w:rPr>
      </w:pPr>
      <w:r w:rsidRPr="00DA2647">
        <w:rPr>
          <w:rFonts w:ascii="Times New Roman" w:hAnsi="Times New Roman" w:eastAsia="Verdana"/>
          <w:sz w:val="24"/>
        </w:rPr>
        <w:t>G</w:t>
      </w:r>
    </w:p>
    <w:p w:rsidR="00DA2647" w:rsidP="00DA2647" w:rsidRDefault="00DA2647">
      <w:pPr>
        <w:rPr>
          <w:rFonts w:ascii="Times New Roman" w:hAnsi="Times New Roman" w:eastAsia="Verdana"/>
          <w:sz w:val="24"/>
        </w:rPr>
      </w:pPr>
    </w:p>
    <w:p w:rsidRPr="00DA2647" w:rsidR="00E97F6E" w:rsidP="00DA2647" w:rsidRDefault="00E97F6E">
      <w:pPr>
        <w:ind w:firstLine="284"/>
        <w:rPr>
          <w:rFonts w:ascii="Times New Roman" w:hAnsi="Times New Roman" w:eastAsia="Verdana"/>
          <w:sz w:val="24"/>
        </w:rPr>
      </w:pPr>
      <w:r w:rsidRPr="00DA2647">
        <w:rPr>
          <w:rFonts w:ascii="Times New Roman" w:hAnsi="Times New Roman" w:eastAsia="Verdana"/>
          <w:sz w:val="24"/>
        </w:rPr>
        <w:t>Hoofdstuk 11 komt te luiden:</w:t>
      </w:r>
    </w:p>
    <w:p w:rsidR="00DA2647" w:rsidP="00E97F6E" w:rsidRDefault="00DA2647">
      <w:pPr>
        <w:spacing w:after="200"/>
        <w:contextualSpacing/>
        <w:rPr>
          <w:rFonts w:ascii="Times New Roman" w:hAnsi="Times New Roman" w:eastAsia="Verdana"/>
          <w:b/>
          <w:sz w:val="24"/>
        </w:rPr>
      </w:pPr>
    </w:p>
    <w:p w:rsidRPr="00E97F6E" w:rsidR="00E97F6E" w:rsidP="00E97F6E" w:rsidRDefault="001309A7">
      <w:pPr>
        <w:spacing w:after="200"/>
        <w:contextualSpacing/>
        <w:rPr>
          <w:rFonts w:ascii="Times New Roman" w:hAnsi="Times New Roman" w:eastAsia="Verdana"/>
          <w:b/>
          <w:sz w:val="24"/>
        </w:rPr>
      </w:pPr>
      <w:r>
        <w:rPr>
          <w:rFonts w:ascii="Times New Roman" w:hAnsi="Times New Roman" w:eastAsia="Verdana"/>
          <w:b/>
          <w:sz w:val="24"/>
        </w:rPr>
        <w:t>HOOFDSTUK 11 ONTEIGENING</w:t>
      </w:r>
    </w:p>
    <w:p w:rsidRPr="00E97F6E" w:rsidR="00E97F6E" w:rsidP="00E97F6E" w:rsidRDefault="00E97F6E">
      <w:pPr>
        <w:spacing w:after="200"/>
        <w:contextualSpacing/>
        <w:rPr>
          <w:rFonts w:ascii="Times New Roman" w:hAnsi="Times New Roman" w:eastAsia="Verdana"/>
          <w:b/>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Afdeling 11.1 Algemene bepalingen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 (algemeen belang)</w:t>
      </w:r>
    </w:p>
    <w:p w:rsidRPr="00E97F6E" w:rsidR="00E97F6E" w:rsidP="00E97F6E" w:rsidRDefault="00E97F6E">
      <w:pPr>
        <w:rPr>
          <w:rFonts w:ascii="Times New Roman" w:hAnsi="Times New Roman" w:eastAsia="Verdana"/>
          <w:sz w:val="24"/>
        </w:rPr>
      </w:pP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Onteigening van onroerende zaken in het algemeen belang als bedoeld in artikel 14 van de Grondwet kan op grond van dit hoofdstuk plaatsvinden in het algemeen belang van het ontwikkelen, gebruiken of beheren van de fysieke leefomgeving.</w:t>
      </w:r>
    </w:p>
    <w:p w:rsidRPr="00E97F6E" w:rsidR="00E97F6E" w:rsidP="00E97F6E" w:rsidRDefault="00E97F6E">
      <w:pPr>
        <w:rPr>
          <w:rFonts w:ascii="Times New Roman" w:hAnsi="Times New Roman" w:eastAsia="Verdana"/>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11.2 (onteigenaar)</w:t>
      </w:r>
    </w:p>
    <w:p w:rsidRPr="00E97F6E" w:rsidR="00E97F6E" w:rsidP="00E97F6E" w:rsidRDefault="00E97F6E">
      <w:pPr>
        <w:keepNext/>
        <w:rPr>
          <w:rFonts w:ascii="Times New Roman" w:hAnsi="Times New Roman" w:eastAsia="Verdana"/>
          <w:sz w:val="24"/>
        </w:rPr>
      </w:pPr>
    </w:p>
    <w:p w:rsidRPr="00E97F6E" w:rsidR="00E97F6E" w:rsidP="001309A7" w:rsidRDefault="00E97F6E">
      <w:pPr>
        <w:keepNext/>
        <w:ind w:firstLine="284"/>
        <w:rPr>
          <w:rFonts w:ascii="Times New Roman" w:hAnsi="Times New Roman" w:eastAsia="Verdana"/>
          <w:sz w:val="24"/>
        </w:rPr>
      </w:pPr>
      <w:r w:rsidRPr="00E97F6E">
        <w:rPr>
          <w:rFonts w:ascii="Times New Roman" w:hAnsi="Times New Roman" w:eastAsia="Verdana"/>
          <w:sz w:val="24"/>
        </w:rPr>
        <w:t>1. Onteigening kan plaatsvinden op naam van een onteigenaar.</w:t>
      </w: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2. Onteigenaar kunnen zijn:</w:t>
      </w: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a. een gemeente,</w:t>
      </w:r>
    </w:p>
    <w:p w:rsidR="001309A7" w:rsidP="001309A7" w:rsidRDefault="00E97F6E">
      <w:pPr>
        <w:ind w:left="284"/>
        <w:rPr>
          <w:rFonts w:ascii="Times New Roman" w:hAnsi="Times New Roman" w:eastAsia="Verdana"/>
          <w:sz w:val="24"/>
        </w:rPr>
      </w:pPr>
      <w:r w:rsidRPr="00E97F6E">
        <w:rPr>
          <w:rFonts w:ascii="Times New Roman" w:hAnsi="Times New Roman" w:eastAsia="Verdana"/>
          <w:sz w:val="24"/>
        </w:rPr>
        <w:t>b. een waterschap,</w:t>
      </w:r>
    </w:p>
    <w:p w:rsidRPr="00E97F6E" w:rsidR="00E97F6E" w:rsidP="001309A7" w:rsidRDefault="00E97F6E">
      <w:pPr>
        <w:ind w:left="284"/>
        <w:rPr>
          <w:rFonts w:ascii="Times New Roman" w:hAnsi="Times New Roman" w:eastAsia="Verdana"/>
          <w:sz w:val="24"/>
        </w:rPr>
      </w:pPr>
      <w:r w:rsidRPr="00E97F6E">
        <w:rPr>
          <w:rFonts w:ascii="Times New Roman" w:hAnsi="Times New Roman" w:eastAsia="Verdana"/>
          <w:sz w:val="24"/>
        </w:rPr>
        <w:t>c. een provincie,</w:t>
      </w: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d. de Staat,</w:t>
      </w: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e. een andere rechtspersoon met volledige rechtsbevoegdheid waaraan de verwezenlijking van de beoogde vorm van ontwikkeling, gebruik of beheer van de fysieke leefomgeving is toegestaan.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Afdeling 11.2 onteigeningsbeschikking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11.3 (aanwijzing van te onteigenen onroerende zaken)</w:t>
      </w:r>
    </w:p>
    <w:p w:rsidRPr="00E97F6E" w:rsidR="00E97F6E" w:rsidP="00E97F6E" w:rsidRDefault="00E97F6E">
      <w:pPr>
        <w:rPr>
          <w:rFonts w:ascii="Times New Roman" w:hAnsi="Times New Roman" w:eastAsia="Verdana"/>
          <w:sz w:val="24"/>
        </w:rPr>
      </w:pP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 xml:space="preserve">1. De onteigeningsbeschikking wijst de te onteigenen onroerende zaken aan. </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2. Op verzoek van de eigenaar neemt het bevoegd gezag in de onteigeningsbeschikking ook ter onteigening op:</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a. een volledig gebouw, als de onteigenaar het voornemen heeft alleen een gedeelte van het gebouw te onteigenen,</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b. volledige erven:</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1</w:t>
      </w:r>
      <w:r w:rsidRPr="00E97F6E">
        <w:rPr>
          <w:rFonts w:ascii="Times New Roman" w:hAnsi="Times New Roman" w:eastAsia="Verdana"/>
          <w:sz w:val="24"/>
          <w:vertAlign w:val="superscript"/>
        </w:rPr>
        <w:t>°</w:t>
      </w:r>
      <w:r w:rsidRPr="00E97F6E">
        <w:rPr>
          <w:rFonts w:ascii="Times New Roman" w:hAnsi="Times New Roman" w:eastAsia="Verdana"/>
          <w:sz w:val="24"/>
        </w:rPr>
        <w:t>. als de onteigenaar het voornemen heeft alleen een gedeelte van een erf te onteigenen en daardoor 25% of minder van de omvang overblijft of als het erf daardoor kleiner wordt dan 10 are, en</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2</w:t>
      </w:r>
      <w:r w:rsidRPr="00E97F6E">
        <w:rPr>
          <w:rFonts w:ascii="Times New Roman" w:hAnsi="Times New Roman" w:eastAsia="Verdana"/>
          <w:sz w:val="24"/>
          <w:vertAlign w:val="superscript"/>
        </w:rPr>
        <w:t>°</w:t>
      </w:r>
      <w:r w:rsidRPr="00E97F6E">
        <w:rPr>
          <w:rFonts w:ascii="Times New Roman" w:hAnsi="Times New Roman" w:eastAsia="Verdana"/>
          <w:sz w:val="24"/>
        </w:rPr>
        <w:t xml:space="preserve">. als het overgebleven erf niet onmiddellijk grenst aan een ander erf van dezelfde eigenaar. </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lastRenderedPageBreak/>
        <w:t>Artikel 11.4 (bevoegd gezag)</w:t>
      </w:r>
    </w:p>
    <w:p w:rsidRPr="00E97F6E" w:rsidR="00E97F6E" w:rsidP="00E97F6E" w:rsidRDefault="00E97F6E">
      <w:pPr>
        <w:rPr>
          <w:rFonts w:ascii="Times New Roman" w:hAnsi="Times New Roman" w:eastAsia="Verdana"/>
          <w:sz w:val="24"/>
        </w:rPr>
      </w:pPr>
    </w:p>
    <w:p w:rsidR="00280618" w:rsidP="00280618" w:rsidRDefault="00E97F6E">
      <w:pPr>
        <w:ind w:firstLine="284"/>
        <w:rPr>
          <w:rFonts w:ascii="Times New Roman" w:hAnsi="Times New Roman" w:eastAsia="Verdana"/>
          <w:sz w:val="24"/>
        </w:rPr>
      </w:pPr>
      <w:r w:rsidRPr="00E97F6E">
        <w:rPr>
          <w:rFonts w:ascii="Times New Roman" w:hAnsi="Times New Roman" w:eastAsia="Verdana"/>
          <w:sz w:val="24"/>
        </w:rPr>
        <w:t>1. Een onteigeningsbeschi</w:t>
      </w:r>
      <w:r w:rsidR="00280618">
        <w:rPr>
          <w:rFonts w:ascii="Times New Roman" w:hAnsi="Times New Roman" w:eastAsia="Verdana"/>
          <w:sz w:val="24"/>
        </w:rPr>
        <w:t xml:space="preserve">kking kan worden gegeven door: </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a. de gemeenteraad van de gemeente waarbinnen de onroerende zaak ligt,</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b. het algemeen bestuur van het waterschap waarbinnen de onroerende zaak ligt,</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c. provinciale staten van de provincie waarbinnen de onroerende zaak ligt,</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d. Onze Minister die het aangaat.</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2. Het algemeen bestuur van een waterschap kan alleen een onteigeningsbeschikking geven met</w:t>
      </w:r>
      <w:r w:rsidRPr="00E97F6E">
        <w:rPr>
          <w:rFonts w:ascii="Times New Roman" w:hAnsi="Times New Roman" w:eastAsia="Verdana"/>
          <w:color w:val="1F497D"/>
          <w:sz w:val="24"/>
        </w:rPr>
        <w:t xml:space="preserve"> </w:t>
      </w:r>
      <w:r w:rsidRPr="00E97F6E">
        <w:rPr>
          <w:rFonts w:ascii="Times New Roman" w:hAnsi="Times New Roman" w:eastAsia="Verdana"/>
          <w:sz w:val="24"/>
        </w:rPr>
        <w:t>het oog op de taken, bedoeld in artikel 2.17, eerste lid, aanhef en onder a.</w:t>
      </w:r>
    </w:p>
    <w:p w:rsidR="00DE3F89" w:rsidP="00280618" w:rsidRDefault="00E97F6E">
      <w:pPr>
        <w:ind w:left="284"/>
        <w:rPr>
          <w:rFonts w:ascii="Times New Roman" w:hAnsi="Times New Roman" w:eastAsia="Verdana"/>
          <w:sz w:val="24"/>
        </w:rPr>
      </w:pPr>
      <w:r w:rsidRPr="00E97F6E">
        <w:rPr>
          <w:rFonts w:ascii="Times New Roman" w:hAnsi="Times New Roman" w:eastAsia="Verdana"/>
          <w:sz w:val="24"/>
        </w:rPr>
        <w:t>3. Provinciale staten kunnen alleen een ont</w:t>
      </w:r>
      <w:r w:rsidR="00DE3F89">
        <w:rPr>
          <w:rFonts w:ascii="Times New Roman" w:hAnsi="Times New Roman" w:eastAsia="Verdana"/>
          <w:sz w:val="24"/>
        </w:rPr>
        <w:t>eigeningsbeschikking geven als:</w:t>
      </w:r>
    </w:p>
    <w:p w:rsidRPr="00E97F6E" w:rsidR="00E97F6E" w:rsidP="00DE3F89" w:rsidRDefault="00E97F6E">
      <w:pPr>
        <w:ind w:firstLine="284"/>
        <w:rPr>
          <w:rFonts w:ascii="Times New Roman" w:hAnsi="Times New Roman" w:eastAsia="Verdana"/>
          <w:sz w:val="24"/>
        </w:rPr>
      </w:pPr>
      <w:r w:rsidRPr="00E97F6E">
        <w:rPr>
          <w:rFonts w:ascii="Times New Roman" w:hAnsi="Times New Roman" w:eastAsia="Verdana"/>
          <w:sz w:val="24"/>
        </w:rPr>
        <w:t>a. het onteigeningsbelang een provinciaal belang betreft, of</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b. dat doelmatig is.</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4. Onze Minister die het aangaat kan alleen een onteigeningsbeschikking geven als:</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a. het onteigeningsbelang een nationaal belang betreft, of</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b. dat doelmatig is.</w:t>
      </w:r>
    </w:p>
    <w:p w:rsidRPr="00E97F6E" w:rsidR="00E97F6E" w:rsidP="00E97F6E" w:rsidRDefault="00E97F6E">
      <w:pPr>
        <w:rPr>
          <w:rFonts w:ascii="Times New Roman" w:hAnsi="Times New Roman" w:eastAsia="Verdana"/>
          <w:sz w:val="24"/>
        </w:rPr>
      </w:pPr>
    </w:p>
    <w:p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11.5 (criteria: onteigenin</w:t>
      </w:r>
      <w:r w:rsidR="00F70A52">
        <w:rPr>
          <w:rFonts w:ascii="Times New Roman" w:hAnsi="Times New Roman" w:eastAsia="Verdana"/>
          <w:b/>
          <w:sz w:val="24"/>
        </w:rPr>
        <w:t>gsbelang, noodzaak en urgentie)</w:t>
      </w:r>
    </w:p>
    <w:p w:rsidRPr="00E97F6E" w:rsidR="00F70A52" w:rsidP="00E97F6E" w:rsidRDefault="00F70A52">
      <w:pPr>
        <w:rPr>
          <w:rFonts w:ascii="Times New Roman" w:hAnsi="Times New Roman" w:eastAsia="Verdana"/>
          <w:sz w:val="24"/>
        </w:rPr>
      </w:pP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Een onteigeningsbeschikking kan alleen worden gegeven:</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a. in het belang van het ontwikkelen, gebruiken of beheren van de fysieke leefomgeving,</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 xml:space="preserve">b. als onteigening noodzakelijk is, en </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c. als onteigening urgent is.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11.6 (grondslagen onteigeningsbelang)</w:t>
      </w:r>
    </w:p>
    <w:p w:rsidRPr="00E97F6E" w:rsidR="00E97F6E" w:rsidP="00E97F6E" w:rsidRDefault="00E97F6E">
      <w:pPr>
        <w:rPr>
          <w:rFonts w:ascii="Times New Roman" w:hAnsi="Times New Roman" w:eastAsia="Verdana"/>
          <w:sz w:val="24"/>
        </w:rPr>
      </w:pP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Van een onteigeningsbelang is alleen sprake als de beoogde vorm van ontwikkeling, gebruik of beheer van de fysieke leefomgeving, onder uitsluiting van de bestaande vorm van ontwikkeling, gebruik of beheer, mogelijk is gemaakt:</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a. in een vastgesteld omgevingsplan,</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b. in een verleende omgevingsvergunning voor een buitenplanse omgevingsplanactiviteit,</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c. door een vastgesteld projectbesluit.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11.7 (onderbouwing noodzaak)</w:t>
      </w:r>
    </w:p>
    <w:p w:rsidRPr="00E97F6E" w:rsidR="00E97F6E" w:rsidP="00E97F6E" w:rsidRDefault="00E97F6E">
      <w:pPr>
        <w:rPr>
          <w:rFonts w:ascii="Times New Roman" w:hAnsi="Times New Roman" w:eastAsia="Verdana"/>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 xml:space="preserve">1. De noodzaak tot onteigening ontbreekt in ieder geval als: </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 de onteigenaar geen redelijke poging heeft gedaan tot minnelijke verwerving van de onroerende zaak vrij van rechten en lasten,</w:t>
      </w:r>
      <w:r w:rsidRPr="00E97F6E" w:rsidDel="00B63EFE">
        <w:rPr>
          <w:rFonts w:ascii="Times New Roman" w:hAnsi="Times New Roman" w:eastAsia="Verdana"/>
          <w:sz w:val="24"/>
        </w:rPr>
        <w:t xml:space="preserve"> </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b. de onteigenaar geen redelijke poging heeft gedaan om overeenstemming te bereiken over het vervallen van zakelijke of persoonlijke rechten op de onroerende zaak,</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c. aannemelijk is dat op afzienbare termijn alsnog overeenstemming kan worden bereikt over de minnelijke verwerving van de onroerende zaak vrij van rechten en lasten en die overeenstemming zal leiden tot een spoedige levering daarvan, of</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d. aannemelijk is dat op afzienbare termijn alsnog overeenstemming kan worden bereikt over het vervallen van zakelijke of persoonlijke rechten op de onroerende zaak en die overeenstemming zal leiden tot het spoedig vervallen van die rechten.</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2. De noodzaak tot onteigening ontbreekt ook als de belanghebbende:</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 aantoont bereid en in staat te zijn om de verwezenlijking van de beoogde vorm van ontwikkeling, gebruik of beheer van de fysieke leefomgeving op zich te nemen,</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lastRenderedPageBreak/>
        <w:t>b. daarvoor concrete en op uitvoering gerichte voornemens heeft en die aan het bevoegd gezag kenbaar heeft gemaakt, en</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 xml:space="preserve">c. de beoogde vorm van ontwikkeling, gebruik of beheer van de fysieke leefomgeving zal verwezenlijken op de door het bevoegd gezag beoogde wijze.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11.8 (onderbouwing noodzaak in verband met de openbare orde)</w:t>
      </w:r>
    </w:p>
    <w:p w:rsidRPr="00E97F6E" w:rsidR="00E97F6E" w:rsidP="00E97F6E" w:rsidRDefault="00E97F6E">
      <w:pPr>
        <w:rPr>
          <w:rFonts w:ascii="Times New Roman" w:hAnsi="Times New Roman" w:eastAsia="Verdana"/>
          <w:b/>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Als het onteigeningsbelang verband houdt met de handhaving van de openbare orde rond een gebouw als bedoeld in artikel 13b, tweede lid, van de Woningwet, die is verstoord door gedragingen in dat gebouw, ontbreekt de noodzaak tot onteigening, tenzij de uitoefening van de bevoegdheden, bedoeld in artikel 13b, tweede lid, van die wet, geen uitzicht heeft geboden op een duurzaam herstel van de openbare orde rond dat gebouw.</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11.9 (onderbouwing noodzaak in verband met de Opiumwet)</w:t>
      </w:r>
    </w:p>
    <w:p w:rsidRPr="00E97F6E" w:rsidR="00E97F6E" w:rsidP="00E97F6E" w:rsidRDefault="00E97F6E">
      <w:pPr>
        <w:rPr>
          <w:rFonts w:ascii="Times New Roman" w:hAnsi="Times New Roman" w:eastAsia="Verdana"/>
          <w:b/>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Als het onteigeningsbelang verband houdt met de handhaving van de artikelen 2 en 3 van de Opiumwet in een gebouw bedoeld in artikel 13b, tweede lid, van de Woningwet, ontbreekt de noodzaak tot onteigening, tenzij de uitoefening van de bevoegdheden, bedoeld in artikel 13b, tweede lid, van de Woningwet, geen uitzicht heeft geboden op het duurzaam achterwege blijven van een overtreding van artikel 2 of artikel 3 van de Opiumwet in het gebouw.</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11.10 (onderbouwing noodzaak in verband met de leefbaarheid, gezondheid en veiligheid)</w:t>
      </w:r>
    </w:p>
    <w:p w:rsidRPr="00E97F6E" w:rsidR="00E97F6E" w:rsidP="00E97F6E" w:rsidRDefault="00E97F6E">
      <w:pPr>
        <w:rPr>
          <w:rFonts w:ascii="Times New Roman" w:hAnsi="Times New Roman" w:eastAsia="Verdana"/>
          <w:b/>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Als het onteigeningsbelang verband houdt met het opheffen van een overtreding als bedoeld in artikel 17 van de Woningwet in een gebouw of op een open erf of een terrein als bedoeld in dat artikel, ontbreekt de noodzaak tot onteigening, tenzij de uitoefening van de bevoegdheden, bedoeld in artikel 13b, tweede lid, van die wet, geen uitzicht heeft geboden op het duurzaam achterwege blijven van een zodanige overtreding.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11.11 (onderbouwing urgentie)</w:t>
      </w:r>
    </w:p>
    <w:p w:rsidRPr="00E97F6E" w:rsidR="00E97F6E" w:rsidP="00E97F6E" w:rsidRDefault="00E97F6E">
      <w:pPr>
        <w:rPr>
          <w:rFonts w:ascii="Times New Roman" w:hAnsi="Times New Roman" w:eastAsia="Verdana"/>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De urgentie ontbreekt in ieder geval als niet aannemelijk is dat binnen drie jaar na het inschrijven van de onteigeningsakte een begin wordt gemaakt met de verwezenlijking van de beoogde vorm van ontwikkeling, gebruik of beheer van de fysieke leefomgeving waarvoor onteigening nodig is.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11.12 (vervallen onteigeningsbeschikking)</w:t>
      </w:r>
    </w:p>
    <w:p w:rsidRPr="00E97F6E" w:rsidR="00E97F6E" w:rsidP="00E97F6E" w:rsidRDefault="00E97F6E">
      <w:pPr>
        <w:rPr>
          <w:rFonts w:ascii="Times New Roman" w:hAnsi="Times New Roman" w:eastAsia="Verdana"/>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De onteigeningsbeschikking vervalt als de onteigenaar niet uiterlijk binnen twaalf maanden na het onherroepelijk worden van die beschikking de rechtbank binnen het rechtsgebied waarvan de te onteigenen onroerende zaak geheel of grotendeels ligt, verzoekt om de schadeloosstelling vast te stellen volgens afdeling 15.3.</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11.13 (geen coördinatie met andere besluiten)</w:t>
      </w:r>
    </w:p>
    <w:p w:rsidRPr="00E97F6E" w:rsidR="00E97F6E" w:rsidP="00E97F6E" w:rsidRDefault="00E97F6E">
      <w:pPr>
        <w:rPr>
          <w:rFonts w:ascii="Times New Roman" w:hAnsi="Times New Roman" w:eastAsia="Verdana"/>
          <w:sz w:val="24"/>
        </w:rPr>
      </w:pPr>
    </w:p>
    <w:p w:rsidRPr="00E97F6E" w:rsidR="00E97F6E" w:rsidP="00F42B34" w:rsidRDefault="00E97F6E">
      <w:pPr>
        <w:ind w:firstLine="284"/>
        <w:rPr>
          <w:rFonts w:ascii="Times New Roman" w:hAnsi="Times New Roman" w:eastAsia="Verdana"/>
          <w:sz w:val="24"/>
        </w:rPr>
      </w:pPr>
      <w:r w:rsidRPr="00E97F6E">
        <w:rPr>
          <w:rFonts w:ascii="Times New Roman" w:hAnsi="Times New Roman" w:eastAsia="Verdana"/>
          <w:sz w:val="24"/>
        </w:rPr>
        <w:t>Artikel 3:20, aanhef en onder b, van de Algemene wet bestuursrecht en artikel 5.45, eerste lid, zijn niet van toepassing op een onteigeningsbeschikking.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lastRenderedPageBreak/>
        <w:t xml:space="preserve">Afdeling 11.3 </w:t>
      </w:r>
      <w:r w:rsidRPr="00E97F6E">
        <w:rPr>
          <w:rFonts w:ascii="Times New Roman" w:hAnsi="Times New Roman" w:eastAsia="Verdana"/>
          <w:sz w:val="24"/>
        </w:rPr>
        <w:t>SCHADELOOSSTELLING BIJ ONTEIGENING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11.14 (verzoekprocedure schadeloosstelling)</w:t>
      </w:r>
    </w:p>
    <w:p w:rsidRPr="00E97F6E" w:rsidR="00E97F6E" w:rsidP="00E97F6E" w:rsidRDefault="00E97F6E">
      <w:pPr>
        <w:rPr>
          <w:rFonts w:ascii="Times New Roman" w:hAnsi="Times New Roman" w:eastAsia="Verdana"/>
          <w:b/>
          <w:sz w:val="24"/>
        </w:rPr>
      </w:pPr>
    </w:p>
    <w:p w:rsidRPr="00E97F6E" w:rsidR="00E97F6E" w:rsidP="00F42B34" w:rsidRDefault="00E97F6E">
      <w:pPr>
        <w:ind w:firstLine="284"/>
        <w:rPr>
          <w:rFonts w:ascii="Times New Roman" w:hAnsi="Times New Roman" w:eastAsia="Verdana"/>
          <w:sz w:val="24"/>
        </w:rPr>
      </w:pPr>
      <w:r w:rsidRPr="00E97F6E">
        <w:rPr>
          <w:rFonts w:ascii="Times New Roman" w:hAnsi="Times New Roman" w:eastAsia="Verdana"/>
          <w:sz w:val="24"/>
        </w:rPr>
        <w:t>Nadat de onteigeningsbeschikking is bekendgemaakt, kan de onteigenaar de rechtbank binnen het rechtsgebied waarvan de te onteigenen onroerende zaak geheel of grotendeels ligt, verzoeken de schadeloosstelling vast te stellen volgens afdeling 15.3.</w:t>
      </w:r>
    </w:p>
    <w:p w:rsidRPr="00E97F6E" w:rsidR="00E97F6E" w:rsidP="00E97F6E" w:rsidRDefault="00E97F6E">
      <w:pPr>
        <w:rPr>
          <w:rFonts w:ascii="Times New Roman" w:hAnsi="Times New Roman" w:eastAsia="Verdana"/>
          <w:caps/>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Afdeling 11.4 onteigeningsakte</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11.15 (verzoek verlijden onteigeningsakte)</w:t>
      </w:r>
    </w:p>
    <w:p w:rsidRPr="00E97F6E" w:rsidR="00E97F6E" w:rsidP="00E97F6E" w:rsidRDefault="00E97F6E">
      <w:pPr>
        <w:rPr>
          <w:rFonts w:ascii="Times New Roman" w:hAnsi="Times New Roman" w:eastAsia="Verdana"/>
          <w:b/>
          <w:sz w:val="24"/>
        </w:rPr>
      </w:pPr>
    </w:p>
    <w:p w:rsidRPr="00E97F6E" w:rsidR="00E97F6E" w:rsidP="00E24C06" w:rsidRDefault="00E97F6E">
      <w:pPr>
        <w:ind w:firstLine="284"/>
        <w:rPr>
          <w:rFonts w:ascii="Times New Roman" w:hAnsi="Times New Roman" w:eastAsia="Verdana"/>
          <w:sz w:val="24"/>
        </w:rPr>
      </w:pPr>
      <w:r w:rsidRPr="00E97F6E">
        <w:rPr>
          <w:rFonts w:ascii="Times New Roman" w:hAnsi="Times New Roman" w:eastAsia="Verdana"/>
          <w:sz w:val="24"/>
        </w:rPr>
        <w:t>Uiterlijk binnen twee maanden nadat aan alle voorwaarden, bedoeld in artikel 11.16, eerste lid, is voldaan, verzoekt de onteigenaar een notaris de onteigeningsakte te verlijden.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11.16 (vereisten verlijden onteigeningsakte)</w:t>
      </w:r>
    </w:p>
    <w:p w:rsidRPr="00E97F6E" w:rsidR="00E97F6E" w:rsidP="00E97F6E" w:rsidRDefault="00E97F6E">
      <w:pPr>
        <w:rPr>
          <w:rFonts w:ascii="Times New Roman" w:hAnsi="Times New Roman" w:eastAsia="Verdana"/>
          <w:sz w:val="24"/>
        </w:rPr>
      </w:pP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1. Een onteigeningsakte kan alleen worden verleden als:</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a. de onteigeningsbeschikking onherroepelijk is,</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b. het besluit ter uitvoering waarvan de onteigening nodig is onherroepelijk is, en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c. de voorlopige schadeloosstelling, bedoeld in artikel 15.43, of de overeengekomen schadeloosstelling die is opgenomen in een proces-verbaal, is betaald.</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2. De onherroepelijkheid van de onteigeningsbeschikking wordt aangetoond door het overleggen van: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a. de uitspraak in hoger beroep tegen een uitspraak op een verzoek tot bekrachtiging, of</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b. een verklaring van de griffier van de Afdeling bestuursrechtspraak van de Raad van State waaruit blijkt dat tegen de uitspraak op het verzoek tot bekrachtiging binnen de beroepstermijn geen hoger beroep is ingesteld.</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3. De onherroepelijkheid van het besluit ter uitvoering waarvan de onteigening nodig is, wordt aangetoond door het overleggen van: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a. de uitspraak tegen dat besluit door de Afdeling bestuursrechtspraak van de Raad van State,</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 xml:space="preserve">b. een verklaring van de griffier van de rechtbank of een verklaring van de griffier van de Afdeling bestuursrechtspraak van de Raad van State waaruit blijkt dat tegen dat besluit binnen de beroepstermijn geen beroep is ingesteld, of </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c. een verklaring van de griffier van de Afdeling bestuursrechtspraak van de Raad van State waaruit blijkt dat tegen de uitspraak op het beroep tegen het besluit binnen de beroepstermijn geen hoger beroep is ingesteld.</w:t>
      </w:r>
    </w:p>
    <w:p w:rsidR="00BF5DB7" w:rsidP="00BF5DB7" w:rsidRDefault="00E97F6E">
      <w:pPr>
        <w:ind w:firstLine="284"/>
        <w:rPr>
          <w:rFonts w:ascii="Times New Roman" w:hAnsi="Times New Roman" w:eastAsia="Verdana"/>
          <w:sz w:val="24"/>
        </w:rPr>
      </w:pPr>
      <w:r w:rsidRPr="00E97F6E">
        <w:rPr>
          <w:rFonts w:ascii="Times New Roman" w:hAnsi="Times New Roman" w:eastAsia="Verdana"/>
          <w:sz w:val="24"/>
        </w:rPr>
        <w:t>4. De betaling van de voorlopige schadeloosstelling of de overeengekomen schadeloosstelling wordt aangetoond door het overleggen van een betalingsbewi</w:t>
      </w:r>
      <w:r w:rsidR="00BF5DB7">
        <w:rPr>
          <w:rFonts w:ascii="Times New Roman" w:hAnsi="Times New Roman" w:eastAsia="Verdana"/>
          <w:sz w:val="24"/>
        </w:rPr>
        <w:t xml:space="preserve">js. Als betalingsbewijs geldt: </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a. een bewijs dat de som van de voorlopige schadeloosstelling of de overeengekomen schadeloosstelling is overgeschreven op een rekening die de tot ontvangst gerechtigde aanhoudt bij een financiële onderneming die in Nederland op grond van de Wet op het financieel toezicht het bedrijf van bank mag uitoefenen,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b. een consignatiebewijs als bedoeld in artikel 6, eerste lid, van de Wet op de consignatie van gelden, als niet genoegzaam bekend is wie tot ontvangst gerechtigd is of consignatie heeft plaatsgevonden op grond van de artikelen 15.49 en 15.50.</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lastRenderedPageBreak/>
        <w:t>Artikel 11.17 (ondertekening onteigeningsakte)</w:t>
      </w:r>
    </w:p>
    <w:p w:rsidRPr="00E97F6E" w:rsidR="00E97F6E" w:rsidP="00E97F6E" w:rsidRDefault="00E97F6E">
      <w:pPr>
        <w:rPr>
          <w:rFonts w:ascii="Times New Roman" w:hAnsi="Times New Roman" w:eastAsia="Verdana"/>
          <w:sz w:val="24"/>
        </w:rPr>
      </w:pP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Een onteigeningsakte wordt ondertekend door de onteigenaar.</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11.18 (rechtsgevolgen inschrijven onteigeningsakte)</w:t>
      </w:r>
    </w:p>
    <w:p w:rsidRPr="00E97F6E" w:rsidR="00E97F6E" w:rsidP="00E97F6E" w:rsidRDefault="00E97F6E">
      <w:pPr>
        <w:rPr>
          <w:rFonts w:ascii="Times New Roman" w:hAnsi="Times New Roman" w:eastAsia="Verdana"/>
          <w:sz w:val="24"/>
        </w:rPr>
      </w:pP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1. Met het inschrijven van een door een notaris verleden onteigeningsakte in de openbare registers verkrijgt de onteigenaar de eigendom vrij van alle lasten en rechten die met betrekking tot de zaak bestaan.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 xml:space="preserve">2. De bewaarder van het kadaster en de openbare registers tekent ambtshalve de door de inschrijving van de onteigeningsakte niet meer bestaande inschrijvingen van hypotheken en beslagen aan in de basisregistratie kadaster en in de openbare registers. </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3. Erfdienstbaarheden kunnen op de onteigende zaak gevestigd blijven. Zij worden daarvoor in de onteigeningsakte opgenomen. Als zij niet door vestiging zijn ontstaan, worden de kadastrale aanduiding van het heersende erf en een omschrijving van de erfdienstbaarheid in de onteigeningsakte opgenomen.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11.19 (lasten en belastingen)</w:t>
      </w:r>
    </w:p>
    <w:p w:rsidRPr="00E97F6E" w:rsidR="00E97F6E" w:rsidP="00E97F6E" w:rsidRDefault="00E97F6E">
      <w:pPr>
        <w:rPr>
          <w:rFonts w:ascii="Times New Roman" w:hAnsi="Times New Roman" w:eastAsia="Verdana"/>
          <w:sz w:val="24"/>
        </w:rPr>
      </w:pPr>
    </w:p>
    <w:p w:rsidRPr="00E97F6E" w:rsidR="00E97F6E" w:rsidP="005926B2" w:rsidRDefault="00E97F6E">
      <w:pPr>
        <w:ind w:firstLine="284"/>
        <w:rPr>
          <w:rFonts w:ascii="Times New Roman" w:hAnsi="Times New Roman" w:eastAsia="Verdana"/>
          <w:sz w:val="24"/>
        </w:rPr>
      </w:pPr>
      <w:r w:rsidRPr="00E97F6E">
        <w:rPr>
          <w:rFonts w:ascii="Times New Roman" w:hAnsi="Times New Roman" w:eastAsia="Verdana"/>
          <w:sz w:val="24"/>
        </w:rPr>
        <w:t>Waterschaps- en soortgelijke lasten en alle belastingen waarmee de onteigende zaak is bezwaard of die daarover worden betaald, gaan met ingang van de dag waarop de onteigeningsakte in de openbare registers is ingeschreven over op de onteigenaar.</w:t>
      </w:r>
    </w:p>
    <w:p w:rsidRPr="00E97F6E" w:rsidR="00E97F6E" w:rsidP="00E97F6E" w:rsidRDefault="00E97F6E">
      <w:pPr>
        <w:rPr>
          <w:rFonts w:ascii="Times New Roman" w:hAnsi="Times New Roman" w:eastAsia="Verdana"/>
          <w:sz w:val="24"/>
        </w:rPr>
      </w:pPr>
    </w:p>
    <w:p w:rsidRPr="00E97F6E" w:rsidR="00E97F6E" w:rsidP="00E97F6E" w:rsidRDefault="00E97F6E">
      <w:pPr>
        <w:spacing w:after="200"/>
        <w:rPr>
          <w:rFonts w:ascii="Times New Roman" w:hAnsi="Times New Roman" w:eastAsia="Verdana"/>
          <w:b/>
          <w:sz w:val="24"/>
        </w:rPr>
      </w:pPr>
      <w:r w:rsidRPr="00E97F6E">
        <w:rPr>
          <w:rFonts w:ascii="Times New Roman" w:hAnsi="Times New Roman" w:eastAsia="Verdana"/>
          <w:b/>
          <w:sz w:val="24"/>
        </w:rPr>
        <w:t xml:space="preserve">Artikel 11.20 (inbezitstelling na inschrijving onteigeningsakte) </w:t>
      </w:r>
    </w:p>
    <w:p w:rsidR="005926B2" w:rsidP="005926B2" w:rsidRDefault="00E97F6E">
      <w:pPr>
        <w:ind w:firstLine="284"/>
        <w:rPr>
          <w:rFonts w:ascii="Times New Roman" w:hAnsi="Times New Roman" w:eastAsia="Verdana"/>
          <w:sz w:val="24"/>
        </w:rPr>
      </w:pPr>
      <w:r w:rsidRPr="00E97F6E">
        <w:rPr>
          <w:rFonts w:ascii="Times New Roman" w:hAnsi="Times New Roman" w:eastAsia="Verdana"/>
          <w:sz w:val="24"/>
        </w:rPr>
        <w:t>1. Op verzoek van de onteigenaar kan de voorzieningenrechter bij een in executoriale vorm afgegeven bevelschrift de nodige bevelen geven om de onteigenaar in het bezit van de onteigende onro</w:t>
      </w:r>
      <w:r w:rsidR="005926B2">
        <w:rPr>
          <w:rFonts w:ascii="Times New Roman" w:hAnsi="Times New Roman" w:eastAsia="Verdana"/>
          <w:sz w:val="24"/>
        </w:rPr>
        <w:t>erende zaak te stellen.</w:t>
      </w:r>
    </w:p>
    <w:p w:rsidRPr="00E97F6E" w:rsidR="00E97F6E" w:rsidP="005926B2" w:rsidRDefault="00E97F6E">
      <w:pPr>
        <w:ind w:firstLine="284"/>
        <w:rPr>
          <w:rFonts w:ascii="Times New Roman" w:hAnsi="Times New Roman" w:eastAsia="Verdana"/>
          <w:sz w:val="24"/>
        </w:rPr>
      </w:pPr>
      <w:r w:rsidRPr="00E97F6E">
        <w:rPr>
          <w:rFonts w:ascii="Times New Roman" w:hAnsi="Times New Roman" w:eastAsia="Verdana"/>
          <w:sz w:val="24"/>
        </w:rPr>
        <w:t>2. Bij zijn verzoek overlegt de onteigenaar een afschrift van de onteigeningsakte en een bewijs van inschrijving daarvan.</w:t>
      </w:r>
    </w:p>
    <w:p w:rsidRPr="00E97F6E" w:rsidR="00E97F6E" w:rsidP="005926B2" w:rsidRDefault="00E97F6E">
      <w:pPr>
        <w:ind w:firstLine="284"/>
        <w:rPr>
          <w:rFonts w:ascii="Times New Roman" w:hAnsi="Times New Roman" w:eastAsia="Verdana"/>
          <w:sz w:val="24"/>
        </w:rPr>
      </w:pPr>
      <w:r w:rsidRPr="00E97F6E">
        <w:rPr>
          <w:rFonts w:ascii="Times New Roman" w:hAnsi="Times New Roman" w:eastAsia="Verdana"/>
          <w:sz w:val="24"/>
        </w:rPr>
        <w:t>3. Tegen een bevelschrift als bedoeld in het eerste lid staat geen hogere voorziening open.</w:t>
      </w:r>
    </w:p>
    <w:p w:rsidRPr="00E97F6E" w:rsidR="00E97F6E" w:rsidP="00E97F6E" w:rsidRDefault="00E97F6E">
      <w:pPr>
        <w:rPr>
          <w:rFonts w:ascii="Times New Roman" w:hAnsi="Times New Roman" w:eastAsia="Verdana"/>
          <w:caps/>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Afdeling 11.5 niet verwezenlijken onteigeningsbelang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11.21 (rechtsgevolgen niet verwezenlijken onteigeningsbelang)</w:t>
      </w:r>
    </w:p>
    <w:p w:rsidRPr="00E97F6E" w:rsidR="00E97F6E" w:rsidP="00E97F6E" w:rsidRDefault="00E97F6E">
      <w:pPr>
        <w:rPr>
          <w:rFonts w:ascii="Times New Roman" w:hAnsi="Times New Roman" w:eastAsia="Verdana"/>
          <w:sz w:val="24"/>
        </w:rPr>
      </w:pP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1. De onteigenaar biedt aan de onteigende de mogelijkheid het onteigende teruggeleverd te krijgen als vanwege oorzaken die de onteigenaar had kunnen voorkomen:</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a. met de verwezenlijking van de beoogde vorm van ontwikkeling, gebruik of beheer van de fysieke leefomgeving waarvoor werd onteigend niet binnen drie jaar nadat de onteigeningsakte is ingeschreven in de openbare registers een begin is gemaakt, </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b. de werkzaamheden meer dan drie jaar zijn gestaakt, of</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c. op een andere manier kan worden aangetoond dat de beoogde vorm van ontwikkeling, gebruik of beheer van de fysieke leefomgeving waarvoor werd onteigend blijkbaar niet zal worden verwezenlijkt. </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2. Het onteigende wordt teruggeleverd in de toestand waarin het zich dan bevindt. De onteigende is gehouden om de schadeloosstelling terug te geven in evenredigheid tot de terugontvangen waarde.</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3. Als de onteigende te kennen geeft geen gebruik te maken van het aanbod tot teruglevering, bedoeld in het eerste lid, kan hij een door de rechtbank binnen het rechtsgebied </w:t>
      </w:r>
      <w:r w:rsidRPr="00E97F6E">
        <w:rPr>
          <w:rFonts w:ascii="Times New Roman" w:hAnsi="Times New Roman" w:eastAsia="Verdana"/>
          <w:sz w:val="24"/>
        </w:rPr>
        <w:lastRenderedPageBreak/>
        <w:t>waarvan de te onteigenen onroerende zaak geheel of grotendeels ligt naar billijkheid te bepalen schadeloosstelling boven de al ontvangen schadeloosstelling vorderen.</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4. Als de onteigenaar niet binnen drie maanden na afloop van de in het eerste lid bedoelde termijn van drie jaar een aanbod tot teruglevering heeft gedaan, kan de onteigende naar keuze:</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a. bij de rechter het onteigende terugvorderen in de toestand waarin het zich bevindt, waarbij hij gehouden is om de schadeloosstelling terug te geven in evenredigheid tot de terugontvangen waarde, of</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b. een door de rechter naar billijkheid te bepalen schadeloosstelling boven de al ontvangen schadeloosstelling vorderen.</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5. Van de verwezenlijking van de beoogde vorm van ontwikkeling, gebruik of beheer van de fysieke leefomgeving waarvoor werd onteigend, is ook sprake bij niet-ingrijpende aanpassingen of aanpassingen van geringe omvang van de beoogde vorm van ontwikkeling, gebruik of beheer van de fysieke leefomgeving of aanpassingen van die vorm die passen binnen het kader ter uitvoering waarvan tot onteigening is overgegaan.</w:t>
      </w:r>
    </w:p>
    <w:p w:rsidRPr="00E97F6E" w:rsidR="00E97F6E" w:rsidP="00E97F6E" w:rsidRDefault="00E97F6E">
      <w:pPr>
        <w:rPr>
          <w:rFonts w:ascii="Times New Roman" w:hAnsi="Times New Roman" w:eastAsia="Verdana"/>
          <w:sz w:val="24"/>
        </w:rPr>
      </w:pPr>
    </w:p>
    <w:p w:rsidR="00E97F6E" w:rsidP="006427D8" w:rsidRDefault="00E97F6E">
      <w:pPr>
        <w:rPr>
          <w:rFonts w:ascii="Times New Roman" w:hAnsi="Times New Roman" w:eastAsia="Verdana"/>
          <w:sz w:val="24"/>
        </w:rPr>
      </w:pPr>
      <w:r w:rsidRPr="006427D8">
        <w:rPr>
          <w:rFonts w:ascii="Times New Roman" w:hAnsi="Times New Roman" w:eastAsia="Verdana"/>
          <w:sz w:val="24"/>
        </w:rPr>
        <w:t>H</w:t>
      </w:r>
    </w:p>
    <w:p w:rsidRPr="006427D8" w:rsidR="006427D8" w:rsidP="006427D8" w:rsidRDefault="006427D8">
      <w:pPr>
        <w:rPr>
          <w:rFonts w:ascii="Times New Roman" w:hAnsi="Times New Roman" w:eastAsia="Verdana"/>
          <w:sz w:val="24"/>
        </w:rPr>
      </w:pPr>
    </w:p>
    <w:p w:rsidR="00E97F6E" w:rsidP="006427D8" w:rsidRDefault="00E97F6E">
      <w:pPr>
        <w:rPr>
          <w:rFonts w:ascii="Times New Roman" w:hAnsi="Times New Roman" w:eastAsia="Verdana"/>
          <w:sz w:val="24"/>
        </w:rPr>
      </w:pPr>
      <w:r w:rsidRPr="006427D8">
        <w:rPr>
          <w:rFonts w:ascii="Times New Roman" w:hAnsi="Times New Roman" w:eastAsia="Verdana"/>
          <w:sz w:val="24"/>
        </w:rPr>
        <w:t>Hoofdstuk 12 komt te luiden:</w:t>
      </w:r>
    </w:p>
    <w:p w:rsidRPr="006427D8" w:rsidR="006427D8" w:rsidP="006427D8" w:rsidRDefault="006427D8">
      <w:pPr>
        <w:rPr>
          <w:rFonts w:ascii="Times New Roman" w:hAnsi="Times New Roman" w:eastAsia="Verdana"/>
          <w:sz w:val="24"/>
        </w:rPr>
      </w:pPr>
    </w:p>
    <w:p w:rsidRPr="006427D8" w:rsidR="00E97F6E" w:rsidP="006427D8" w:rsidRDefault="00E97F6E">
      <w:pPr>
        <w:rPr>
          <w:rFonts w:ascii="Times New Roman" w:hAnsi="Times New Roman" w:eastAsia="Calibri"/>
          <w:b/>
          <w:sz w:val="24"/>
          <w:lang w:eastAsia="en-US"/>
        </w:rPr>
      </w:pPr>
      <w:r w:rsidRPr="006427D8">
        <w:rPr>
          <w:rFonts w:ascii="Times New Roman" w:hAnsi="Times New Roman" w:eastAsia="Calibri"/>
          <w:b/>
          <w:sz w:val="24"/>
          <w:lang w:eastAsia="en-US"/>
        </w:rPr>
        <w:t>HOOFDSTUK 12 BIJZONDERE INST</w:t>
      </w:r>
      <w:r w:rsidRPr="006427D8" w:rsidR="006427D8">
        <w:rPr>
          <w:rFonts w:ascii="Times New Roman" w:hAnsi="Times New Roman" w:eastAsia="Calibri"/>
          <w:b/>
          <w:sz w:val="24"/>
          <w:lang w:eastAsia="en-US"/>
        </w:rPr>
        <w:t xml:space="preserve">RUMENTEN VOOR HET INRICHTEN VAN </w:t>
      </w:r>
      <w:r w:rsidRPr="006427D8">
        <w:rPr>
          <w:rFonts w:ascii="Times New Roman" w:hAnsi="Times New Roman" w:eastAsia="Calibri"/>
          <w:b/>
          <w:sz w:val="24"/>
          <w:lang w:eastAsia="en-US"/>
        </w:rPr>
        <w:t>GEBIEDEN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caps/>
          <w:sz w:val="24"/>
          <w:lang w:eastAsia="en-US"/>
        </w:rPr>
      </w:pPr>
      <w:r w:rsidRPr="00E97F6E">
        <w:rPr>
          <w:rFonts w:ascii="Times New Roman" w:hAnsi="Times New Roman" w:eastAsia="Calibri"/>
          <w:caps/>
          <w:sz w:val="24"/>
          <w:lang w:eastAsia="en-US"/>
        </w:rPr>
        <w:t xml:space="preserve">Afdeling 12.1 Algemene bepalingen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12.1.1 Begripsbepalingen en toepassingsbereik</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12.1 (begripsbepalingen)</w:t>
      </w:r>
    </w:p>
    <w:p w:rsidRPr="00E97F6E" w:rsidR="00E97F6E" w:rsidP="00E97F6E" w:rsidRDefault="00E97F6E">
      <w:pPr>
        <w:rPr>
          <w:rFonts w:ascii="Times New Roman" w:hAnsi="Times New Roman" w:eastAsia="Calibri"/>
          <w:sz w:val="24"/>
          <w:lang w:eastAsia="en-US"/>
        </w:rPr>
      </w:pP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dit hoofdstuk en de daarop berustende bepalingen wordt verstaan onder:</w:t>
      </w: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i/>
          <w:sz w:val="24"/>
          <w:lang w:eastAsia="en-US"/>
        </w:rPr>
        <w:t>rechthebbende</w:t>
      </w:r>
      <w:r w:rsidRPr="00E97F6E">
        <w:rPr>
          <w:rFonts w:ascii="Times New Roman" w:hAnsi="Times New Roman" w:eastAsia="Calibri"/>
          <w:sz w:val="24"/>
          <w:lang w:eastAsia="en-US"/>
        </w:rPr>
        <w:t xml:space="preserve">: </w:t>
      </w: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eigenaar en degene aan wie een beperkt recht toebehoort waaraan een onroerende zaak is onderworpen,</w:t>
      </w: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huurder van een onroerende zaak, of</w:t>
      </w: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schuldeiser van een verbintenis die ten aanzien van een onroerende zaak een verplichting als bedoeld in artikel 252 van Boek 6 van het Burgerlijk Wetboek inhoudt.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12.2 (positie zakelijk gerechtigden)</w:t>
      </w:r>
    </w:p>
    <w:p w:rsidRPr="00E97F6E" w:rsidR="00E97F6E" w:rsidP="00E97F6E" w:rsidRDefault="00E97F6E">
      <w:pPr>
        <w:rPr>
          <w:rFonts w:ascii="Times New Roman" w:hAnsi="Times New Roman" w:eastAsia="Calibri"/>
          <w:sz w:val="24"/>
          <w:lang w:eastAsia="en-US"/>
        </w:rPr>
      </w:pP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Dit hoofdstuk en de daarop berustende bepalingen die eigenaren betreffen, zijn van overeenkomstige toepassing op opstallers, erfpachters, beklemde meiers, vruchtgebruikers, houders van een recht van gebruik of bewoning van een onroerende zaak, en appartementseigenaren.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12.1.2 Algemene bepalingen voor landinrichting</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12.3 (landinrichting)</w:t>
      </w:r>
    </w:p>
    <w:p w:rsidRPr="00E97F6E" w:rsidR="00E97F6E" w:rsidP="00E97F6E" w:rsidRDefault="00E97F6E">
      <w:pPr>
        <w:rPr>
          <w:rFonts w:ascii="Times New Roman" w:hAnsi="Times New Roman" w:eastAsia="Calibri"/>
          <w:sz w:val="24"/>
          <w:lang w:eastAsia="en-US"/>
        </w:rPr>
      </w:pP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Landinrichting strekt tot verbetering van de inrichting van het landelijk gebied in overeenstemming met de functies die aan de betrokken locaties zijn toegedeeld.</w:t>
      </w:r>
    </w:p>
    <w:p w:rsidR="007C7F42"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2. Bij landinrichting kunnen de volgende maatregelen en v</w:t>
      </w:r>
      <w:r w:rsidR="007C7F42">
        <w:rPr>
          <w:rFonts w:ascii="Times New Roman" w:hAnsi="Times New Roman" w:eastAsia="Calibri"/>
          <w:sz w:val="24"/>
          <w:lang w:eastAsia="en-US"/>
        </w:rPr>
        <w:t>oorzieningen worden getroffen:</w:t>
      </w: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het wijzigen van het stelsel van wegen of waterstaatswerken,</w:t>
      </w:r>
    </w:p>
    <w:p w:rsidR="007C7F42"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aanleg, ontwikkeling, behoud, beheer of herstel van gebieden van belang uit een oogpunt van natuurbescherming of landschapsbehoud of van elementen van landschappelijke, recreatieve, aardkundige of natuurwetenschappelijke w</w:t>
      </w:r>
      <w:r w:rsidR="007C7F42">
        <w:rPr>
          <w:rFonts w:ascii="Times New Roman" w:hAnsi="Times New Roman" w:eastAsia="Calibri"/>
          <w:sz w:val="24"/>
          <w:lang w:eastAsia="en-US"/>
        </w:rPr>
        <w:t>aarde, of cultureel erfgoed, en</w:t>
      </w: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andere maatregelen of voorzieningen van openbaar nut.</w:t>
      </w: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Bij landinrichting kan worden voorzien in de toedeling van eigendom, het beheer en het onderhoud van voorzieningen van openbaar nut.</w:t>
      </w: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Herverkaveling kan deel uitmaken van landinrichting, waarbij korting als bedoeld in artikel 12.29 kan worden toegepast als het nodig is de eigendom van onroerende zaken te verwerven.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 (bevoegdheid tot landinrichting)</w:t>
      </w:r>
    </w:p>
    <w:p w:rsidRPr="00E97F6E" w:rsidR="00E97F6E" w:rsidP="00E97F6E" w:rsidRDefault="00E97F6E">
      <w:pPr>
        <w:rPr>
          <w:rFonts w:ascii="Times New Roman" w:hAnsi="Times New Roman" w:eastAsia="Calibri"/>
          <w:sz w:val="24"/>
          <w:lang w:eastAsia="en-US"/>
        </w:rPr>
      </w:pPr>
    </w:p>
    <w:p w:rsidRPr="00E97F6E" w:rsidR="00E97F6E" w:rsidP="009A2D2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Bevoegdheden over landinrichting kunnen worden uitgeoefend door gedeputeerde staten van de provincie waarin het in te richten gebied geheel of grotendeels ligt.</w:t>
      </w:r>
    </w:p>
    <w:p w:rsidRPr="00E97F6E" w:rsidR="00E97F6E" w:rsidP="009A2D2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Artikel 3, eerste lid, onderdeel r, van de Kadasterwet is van toepassing.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12.5 (locaties die ook een militaire functie vervullen)</w:t>
      </w:r>
    </w:p>
    <w:p w:rsidRPr="00E97F6E" w:rsidR="00E97F6E" w:rsidP="00E97F6E" w:rsidRDefault="00E97F6E">
      <w:pPr>
        <w:rPr>
          <w:rFonts w:ascii="Times New Roman" w:hAnsi="Times New Roman" w:eastAsia="Calibri"/>
          <w:sz w:val="24"/>
          <w:lang w:eastAsia="en-US"/>
        </w:rPr>
      </w:pPr>
    </w:p>
    <w:p w:rsidRPr="00E97F6E" w:rsidR="00E97F6E" w:rsidP="00861A1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Zonder toestemming van Onze Minister van Defensie wordt geen wijziging gebracht in de staat en werking van locaties die ook een functie voor de landsverdediging vervullen.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12.6 (raming kosten herverkaveling en aandeel voor gezamenlijke eigenaren)</w:t>
      </w:r>
    </w:p>
    <w:p w:rsidRPr="00E97F6E" w:rsidR="00E97F6E" w:rsidP="00E97F6E" w:rsidRDefault="00E97F6E">
      <w:pPr>
        <w:rPr>
          <w:rFonts w:ascii="Times New Roman" w:hAnsi="Times New Roman" w:eastAsia="Calibri"/>
          <w:sz w:val="24"/>
          <w:lang w:eastAsia="en-US"/>
        </w:rPr>
      </w:pPr>
    </w:p>
    <w:p w:rsidRPr="00E97F6E" w:rsidR="00E97F6E" w:rsidP="00861A1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Als herverkaveling deel uitmaakt van de landinrichting, wordt een zo nauwkeurig mogelijke raming gemaakt van de kosten daarvan en van het aandeel van die kosten dat ten laste zal worden gebracht van de gezamenlijke eigenaren in het te herverkavelen blok.</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caps/>
          <w:sz w:val="24"/>
          <w:lang w:eastAsia="en-US"/>
        </w:rPr>
        <w:t>Afdeling 12.2 inrichtingsbesluit</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i/>
          <w:sz w:val="24"/>
          <w:lang w:eastAsia="en-US"/>
        </w:rPr>
        <w:t>§ 12.2.1 Inrichtingsbesluit</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12.7 (</w:t>
      </w:r>
      <w:r w:rsidR="00B33662">
        <w:rPr>
          <w:rFonts w:ascii="Times New Roman" w:hAnsi="Times New Roman" w:eastAsia="Calibri"/>
          <w:b/>
          <w:sz w:val="24"/>
          <w:lang w:eastAsia="en-US"/>
        </w:rPr>
        <w:t>vaststellen inrichtingsbesluit)</w:t>
      </w:r>
    </w:p>
    <w:p w:rsidRPr="00E97F6E" w:rsidR="00E97F6E" w:rsidP="00E97F6E" w:rsidRDefault="00E97F6E">
      <w:pPr>
        <w:rPr>
          <w:rFonts w:ascii="Times New Roman" w:hAnsi="Times New Roman" w:eastAsia="Calibri"/>
          <w:sz w:val="24"/>
          <w:lang w:eastAsia="en-US"/>
        </w:rPr>
      </w:pPr>
    </w:p>
    <w:p w:rsidRPr="00E97F6E" w:rsidR="00E97F6E" w:rsidP="0056551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Een inrichtingsbesluit wordt gelijktijdig met het inrichtingsprogramma vastgesteld, als bij de landinrichting:</w:t>
      </w:r>
    </w:p>
    <w:p w:rsidRPr="00E97F6E" w:rsidR="00E97F6E" w:rsidP="0056551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 eigendom, beheer of onderhoud van voorzieningen van openbaar nut worden toegedeeld, </w:t>
      </w:r>
    </w:p>
    <w:p w:rsidRPr="00E97F6E" w:rsidR="00E97F6E" w:rsidP="0056551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herverkaveling of korting wordt toegepast.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w:t>
      </w:r>
      <w:r w:rsidR="000507A1">
        <w:rPr>
          <w:rFonts w:ascii="Times New Roman" w:hAnsi="Times New Roman" w:eastAsia="Calibri"/>
          <w:b/>
          <w:sz w:val="24"/>
          <w:lang w:eastAsia="en-US"/>
        </w:rPr>
        <w:t>2.8 (inhoud inrichtingsbesluit)</w:t>
      </w:r>
    </w:p>
    <w:p w:rsidRPr="00E97F6E" w:rsidR="00E97F6E" w:rsidP="00E97F6E" w:rsidRDefault="00E97F6E">
      <w:pPr>
        <w:rPr>
          <w:rFonts w:ascii="Times New Roman" w:hAnsi="Times New Roman" w:eastAsia="Calibri"/>
          <w:sz w:val="24"/>
          <w:lang w:eastAsia="en-US"/>
        </w:rPr>
      </w:pPr>
    </w:p>
    <w:p w:rsidRPr="00E97F6E" w:rsidR="00E97F6E" w:rsidP="000507A1" w:rsidRDefault="00E97F6E">
      <w:pPr>
        <w:ind w:firstLine="284"/>
        <w:rPr>
          <w:rFonts w:ascii="Times New Roman" w:hAnsi="Times New Roman" w:eastAsia="Verdana"/>
          <w:sz w:val="24"/>
        </w:rPr>
      </w:pPr>
      <w:r w:rsidRPr="00E97F6E">
        <w:rPr>
          <w:rFonts w:ascii="Times New Roman" w:hAnsi="Times New Roman" w:eastAsia="Verdana"/>
          <w:sz w:val="24"/>
        </w:rPr>
        <w:t>1. Een inrichtingsbesluit voorziet, voor zover van toepassing, in: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toedeling van eigendom van wegen of waterstaatswerken,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toedeling van het beheer en het onderhoud van openbare wegen,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toedeling van eigendom, het beheer en het onderhoud van gebieden van belang uit een oogpunt van natuurbescherming of landschapsbehoud of van elementen van landschappelijke, recreatieve, aardkundige of natuurwetenschappelijke waarde, of cultureel erfgoed, en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 xml:space="preserve">d. de toedeling van eigendom, het beheer en het onderhoud van andere voorzieningen van openbaar nut. </w:t>
      </w:r>
    </w:p>
    <w:p w:rsidRPr="00E97F6E" w:rsidR="00E97F6E" w:rsidP="000507A1"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2. Als herverkaveling deel uitmaakt van de landinrichting, bevat het inrichtingsbesluit een verbeelding waarop de begrenzing van het herverkavelingsblok zo nauwkeurig mogelijk is aangegeven.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het nodig is om de eigendom van onroerende zaken te verwerven voor de verwezenlijking van maatregelen en voorzieningen van openbaar nut, bevat het inrichtingsbesluit een aanduiding van die maatregelen en voorzieningen en bepaalt het dat daarvoor korting kan worden t</w:t>
      </w:r>
      <w:r w:rsidR="000507A1">
        <w:rPr>
          <w:rFonts w:ascii="Times New Roman" w:hAnsi="Times New Roman" w:eastAsia="Calibri"/>
          <w:sz w:val="24"/>
          <w:lang w:eastAsia="en-US"/>
        </w:rPr>
        <w:t>oegepast.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12.9 (inhoud inrichtingsb</w:t>
      </w:r>
      <w:r w:rsidR="000507A1">
        <w:rPr>
          <w:rFonts w:ascii="Times New Roman" w:hAnsi="Times New Roman" w:eastAsia="Calibri"/>
          <w:b/>
          <w:sz w:val="24"/>
          <w:lang w:eastAsia="en-US"/>
        </w:rPr>
        <w:t>esluit: openbaarheid van wegen)</w:t>
      </w:r>
    </w:p>
    <w:p w:rsidRPr="00E97F6E" w:rsidR="00E97F6E" w:rsidP="00E97F6E" w:rsidRDefault="00E97F6E">
      <w:pPr>
        <w:rPr>
          <w:rFonts w:ascii="Times New Roman" w:hAnsi="Times New Roman" w:eastAsia="Calibri"/>
          <w:sz w:val="24"/>
          <w:lang w:eastAsia="en-US"/>
        </w:rPr>
      </w:pP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In afwijking van de artikelen 8 en 9 van de Wegenwet kan in een inrichtingsbesluit worden bepaald dat een openbare weg aan het openbaar verkeer wordt onttrokken. </w:t>
      </w:r>
    </w:p>
    <w:p w:rsidRPr="00E97F6E" w:rsidR="00E97F6E" w:rsidP="000507A1"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 xml:space="preserve">2. In afwijking van de artikelen 4 en 5 van de Wegenwet kan in een inrichtingsbesluit worden bepaald dat een weg voor het openbaar verkeer wordt opengesteld. </w:t>
      </w:r>
    </w:p>
    <w:p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onttrekking aan en openstelling voor het openbaar verkeer gaan in op een tijdstip dat in het inrichtingsbesluit wordt bepaald.</w:t>
      </w:r>
    </w:p>
    <w:p w:rsidRPr="00E97F6E" w:rsidR="000507A1" w:rsidP="000507A1" w:rsidRDefault="000507A1">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12.10 (bestaande rechten en gebruikstoestand)</w:t>
      </w:r>
    </w:p>
    <w:p w:rsidRPr="00E97F6E" w:rsidR="00E97F6E" w:rsidP="00E97F6E" w:rsidRDefault="00E97F6E">
      <w:pPr>
        <w:rPr>
          <w:rFonts w:ascii="Times New Roman" w:hAnsi="Times New Roman" w:eastAsia="Calibri"/>
          <w:sz w:val="24"/>
          <w:lang w:eastAsia="en-US"/>
        </w:rPr>
      </w:pP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Bij landinrichting wordt geen wijziging gebracht in de rechten en de gebruikstoestand van:</w:t>
      </w: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begraafplaatsen, crematoria en bewaarplaatsen als bedoeld in de artikelen 23, 49 en 62, eerste lid, onder c, van de Wet op de lijkbezorging,</w:t>
      </w: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gesloten begraafplaatsen en graven of grafkelders als bedoeld in artikel 85 van de Wet op de lijkbezorging, binnen de termijnen, bedoeld in artikel 46, tweede en derde lid, van die wet en anders dan op de wijze, omschreven in artikel 46, derde lid, van die wet. </w:t>
      </w:r>
    </w:p>
    <w:p w:rsidRPr="00E97F6E" w:rsidR="00E97F6E" w:rsidP="00D96F62"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2. Zonder toestemming van de eigenaar wordt geen wijziging gebracht in zijn rechten ten aanzien van gebouwen.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i/>
          <w:sz w:val="24"/>
          <w:lang w:eastAsia="en-US"/>
        </w:rPr>
        <w:t xml:space="preserve">§ 12.2.2 Toedeling van eigendom, beheer en onderhoud van voorzieningen van openbaar nut </w:t>
      </w:r>
    </w:p>
    <w:p w:rsidRPr="00C4272A"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12.11 (toedeling eigendom, beheer en onderhoud wegen en eigendom waterstaatswerken)</w:t>
      </w:r>
    </w:p>
    <w:p w:rsidRPr="00E97F6E" w:rsidR="00E97F6E" w:rsidP="00E97F6E" w:rsidRDefault="00E97F6E">
      <w:pPr>
        <w:rPr>
          <w:rFonts w:ascii="Times New Roman" w:hAnsi="Times New Roman" w:eastAsia="Calibri"/>
          <w:sz w:val="24"/>
          <w:lang w:eastAsia="en-US"/>
        </w:rPr>
      </w:pP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toedeling van eigendom van wegen of waterstaatswerken, bedoeld in artikel 12.8, eerste lid, onder a, vindt plaats aan de betrokken openbare lichamen of andere rechtspersonen.</w:t>
      </w: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toedeling van het beheer en het onderhoud van openbare wegen, bedoeld in artikel 12.8, eerste lid, onder b, vindt plaats aan de betrokken openbare lichamen.</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In afwijking van het tweede lid kan het onderhoud van openbare wegen worden toegedeeld aan andere rechtspersonen dan openbare lichamen.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12.12 (regels voor toedeling eigendom, beheer en onderhoud wegen en eigendom waterstaatswerken)</w:t>
      </w:r>
    </w:p>
    <w:p w:rsidRPr="00E97F6E" w:rsidR="00E97F6E" w:rsidP="00E97F6E" w:rsidRDefault="00E97F6E">
      <w:pPr>
        <w:rPr>
          <w:rFonts w:ascii="Times New Roman" w:hAnsi="Times New Roman" w:eastAsia="Calibri"/>
          <w:sz w:val="24"/>
          <w:lang w:eastAsia="en-US"/>
        </w:rPr>
      </w:pP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De toedeling van eigendom van openbare wegen of waterstaatswerken of beheer of onderhoud van openbare wegen aan een rechtspersoon, niet zijnde een openbaar lichaam, vindt alleen plaats als overeenstemming is bereikt met de betrokken rechtspersoon, tenzij de </w:t>
      </w:r>
      <w:r w:rsidRPr="00E97F6E">
        <w:rPr>
          <w:rFonts w:ascii="Times New Roman" w:hAnsi="Times New Roman" w:eastAsia="Calibri"/>
          <w:sz w:val="24"/>
          <w:lang w:eastAsia="en-US"/>
        </w:rPr>
        <w:lastRenderedPageBreak/>
        <w:t xml:space="preserve">eigendom, het beheer of onderhoud voorafgaand aan de landinrichting bij die rechtspersoon berustte. </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toedeling van eigendom van openbare wegen of waterstaatswerken en van beheer en onderhoud van openbare wegen aan openbare lichamen vindt plaats zonder geldelijke verrekening, tenzij dit tot onredelijke gevolgen voor het betrokken openbaar lichaam zou leiden.</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Toestemming van Onze Minister die het aangaat is vereist voor:</w:t>
      </w:r>
    </w:p>
    <w:p w:rsidR="000627FD"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onttrekking van de eigendom van openbare wegen of waterstaatsw</w:t>
      </w:r>
      <w:r w:rsidR="000627FD">
        <w:rPr>
          <w:rFonts w:ascii="Times New Roman" w:hAnsi="Times New Roman" w:eastAsia="Calibri"/>
          <w:sz w:val="24"/>
          <w:lang w:eastAsia="en-US"/>
        </w:rPr>
        <w:t>erken aan het Rijk,</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onttrekking van het beheer en het onderhoud van openbare wegen aan het Rijk,</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toedeling van de eigendom, het beheer of het onderhoud van openbare wegen aan het Rijk, tenzij de eigendom, het beheer of het onderhoud voorafgaand aan de landinrichting bij het Rijk berustte.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12.13 (toedeling eigendom, beheer en onderhoud gebieden en andere voorzieningen van openbaar nut)</w:t>
      </w:r>
    </w:p>
    <w:p w:rsidRPr="00E97F6E" w:rsidR="00E97F6E" w:rsidP="00E97F6E" w:rsidRDefault="00E97F6E">
      <w:pPr>
        <w:rPr>
          <w:rFonts w:ascii="Times New Roman" w:hAnsi="Times New Roman" w:eastAsia="Calibri"/>
          <w:sz w:val="24"/>
          <w:lang w:eastAsia="en-US"/>
        </w:rPr>
      </w:pPr>
    </w:p>
    <w:p w:rsidRPr="00E97F6E" w:rsidR="00E97F6E" w:rsidP="00E210D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eigendom, het beheer en het onderhoud van de gebieden en voorzieningen van openbaar nut, bedoeld in artikel 12.8, eerste lid, onder c en d, worden toegedeeld aan:</w:t>
      </w:r>
    </w:p>
    <w:p w:rsidRPr="00E97F6E" w:rsidR="00E97F6E" w:rsidP="00E210D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provincie, of</w:t>
      </w:r>
    </w:p>
    <w:p w:rsidRPr="00E97F6E" w:rsidR="00E97F6E" w:rsidP="00E210D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een ander openbaar lichaam of een andere rechtspersoon dan de provincie, als dit lichaam of deze rechtspersoon daarmee instemt.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12.14 (tijdstip overgang beheer of onderhoud wegen)</w:t>
      </w:r>
    </w:p>
    <w:p w:rsidRPr="00E97F6E" w:rsidR="00E97F6E" w:rsidP="00E97F6E" w:rsidRDefault="00E97F6E">
      <w:pPr>
        <w:rPr>
          <w:rFonts w:ascii="Times New Roman" w:hAnsi="Times New Roman" w:eastAsia="Calibri"/>
          <w:sz w:val="24"/>
          <w:lang w:eastAsia="en-US"/>
        </w:rPr>
      </w:pPr>
    </w:p>
    <w:p w:rsidRPr="00E97F6E" w:rsidR="00E97F6E" w:rsidP="00A92F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Voor zover het beheer of het onderhoud van openbare wegen, voorafgaand aan de landinrichting niet berustte bij het betrokken openbaar lichaam of de betrokken rechtspersoon, gaan het beheer en het onderhoud over op het tijdstip van bekendmaking van het inrichtingsbesluit.</w:t>
      </w:r>
    </w:p>
    <w:p w:rsidRPr="00E97F6E" w:rsidR="00E97F6E" w:rsidP="00A92F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beheer of het onderhoud gaan over op een later, door gedeputeerde staten te bepalen, tijdstip dan bedoeld in het eerste lid als:</w:t>
      </w:r>
    </w:p>
    <w:p w:rsidRPr="00E97F6E" w:rsidR="00E97F6E" w:rsidP="00A92F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 aan bestaande wegen werkzaamheden tot verbetering daarvan worden uitgevoerd, </w:t>
      </w:r>
    </w:p>
    <w:p w:rsidRPr="00E97F6E" w:rsidR="00E97F6E" w:rsidP="00A92F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het nieuwe wegen betreft.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12.15 (afwijkende regeling overgang beheer of onderhoud wegen)</w:t>
      </w:r>
    </w:p>
    <w:p w:rsidRPr="00E97F6E" w:rsidR="00E97F6E" w:rsidP="00E97F6E" w:rsidRDefault="00E97F6E">
      <w:pPr>
        <w:rPr>
          <w:rFonts w:ascii="Times New Roman" w:hAnsi="Times New Roman" w:eastAsia="Calibri"/>
          <w:sz w:val="24"/>
          <w:lang w:eastAsia="en-US"/>
        </w:rPr>
      </w:pPr>
    </w:p>
    <w:p w:rsidRPr="00E97F6E" w:rsidR="00E97F6E" w:rsidP="00DD125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Vanaf het tijdstip waarop op grond van artikel 12.18 een instructie is gegeven tot de uitvoering van werkzaamheden tot verbetering van bestaande wegen tot het tijdstip, bedoeld in artikel 12.14, tweede lid, berusten </w:t>
      </w:r>
      <w:hyperlink w:history="1" w:anchor="Hoofdstuk6_Artikel31" r:id="rId7"/>
      <w:r w:rsidRPr="00E97F6E">
        <w:rPr>
          <w:rFonts w:ascii="Times New Roman" w:hAnsi="Times New Roman" w:eastAsia="Calibri"/>
          <w:sz w:val="24"/>
          <w:lang w:eastAsia="en-US"/>
        </w:rPr>
        <w:t>het beheer of het onderhoud van de betrokken wegen bij gedeputeerde staten van de provincie waarbinnen deze wegen geheel of grotendeels liggen.</w:t>
      </w:r>
    </w:p>
    <w:p w:rsidRPr="00E97F6E" w:rsidR="00E97F6E" w:rsidP="00DD125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beheer en het onderhoud van nieuwe openbare wegen berusten tot het tijdstip, bedoeld in artikel 12.14, tweede lid, bij gedeputeerde staten van de provincie waarbinnen deze wegen geheel of grotendeels liggen.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caps/>
          <w:sz w:val="24"/>
          <w:lang w:eastAsia="en-US"/>
        </w:rPr>
      </w:pPr>
      <w:r w:rsidRPr="00E97F6E">
        <w:rPr>
          <w:rFonts w:ascii="Times New Roman" w:hAnsi="Times New Roman" w:eastAsia="Calibri"/>
          <w:caps/>
          <w:sz w:val="24"/>
          <w:lang w:eastAsia="en-US"/>
        </w:rPr>
        <w:t>Afdeling 12.3 Uitvoering van Landinrichting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12.3.1 Algemene bepalingen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12.16 (bevoegd gezag uitvoering)</w:t>
      </w:r>
    </w:p>
    <w:p w:rsidRPr="00E97F6E" w:rsidR="00E97F6E" w:rsidP="00E97F6E" w:rsidRDefault="00E97F6E">
      <w:pPr>
        <w:rPr>
          <w:rFonts w:ascii="Times New Roman" w:hAnsi="Times New Roman" w:eastAsia="Calibri"/>
          <w:sz w:val="24"/>
          <w:lang w:eastAsia="en-US"/>
        </w:rPr>
      </w:pPr>
    </w:p>
    <w:p w:rsidRPr="00E97F6E" w:rsidR="00E97F6E" w:rsidP="00DD125E"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lastRenderedPageBreak/>
        <w:t>Gedeputeerde staten voeren het inrichtingsprogramma en, voor zover van toepassing, het inrichtingsbesluit uit.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12.17 (fasering uitvoering)</w:t>
      </w:r>
    </w:p>
    <w:p w:rsidRPr="00E97F6E" w:rsidR="00E97F6E" w:rsidP="00E97F6E" w:rsidRDefault="00E97F6E">
      <w:pPr>
        <w:rPr>
          <w:rFonts w:ascii="Times New Roman" w:hAnsi="Times New Roman" w:eastAsia="Calibri"/>
          <w:sz w:val="24"/>
          <w:lang w:eastAsia="en-US"/>
        </w:rPr>
      </w:pPr>
    </w:p>
    <w:p w:rsidRPr="00E97F6E" w:rsidR="00E97F6E" w:rsidP="00460AE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Het inrichtingsprogramma of het inrichtingsbesluit kan in delen worden uitgevoerd.</w:t>
      </w:r>
    </w:p>
    <w:p w:rsidRPr="00E97F6E" w:rsidR="00E97F6E" w:rsidP="00460AE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Gedeputeerde staten kunnen bepalen bepaalde maatregelen of voorzieningen als bedoeld in artikel 12.3, tweede lid, alleen uit te voeren als zij met een ander openbaar lichaam dan het Rijk overeenstemming hebben bereikt over de geldelijke bijdrage van het openbaar lichaam in de kosten van de maatregelen of voorzieningen en over de voorwaarden waaronder de bijdrage wordt betaald.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12.3.2 Verrichten van werkzaamheden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12.18 (instructie tot verrichten werkzaamheden)</w:t>
      </w:r>
    </w:p>
    <w:p w:rsidRPr="00E97F6E" w:rsidR="00E97F6E" w:rsidP="00E97F6E" w:rsidRDefault="00E97F6E">
      <w:pPr>
        <w:rPr>
          <w:rFonts w:ascii="Times New Roman" w:hAnsi="Times New Roman" w:eastAsia="Calibri"/>
          <w:b/>
          <w:sz w:val="24"/>
          <w:lang w:eastAsia="en-US"/>
        </w:rPr>
      </w:pPr>
    </w:p>
    <w:p w:rsidRPr="00E97F6E" w:rsidR="00E97F6E" w:rsidP="00D77477"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Gedeputeerde staten van de provincie waar de werkzaamheden, vermeld in het inrichtingsprogramma, in hoofdzaak worden verricht, kunnen een instructie geven aan bestuursorganen van openbare lichamen anders dan het Rijk, waarbij het beheer of onderhoud van wegen, waterstaatswerken, gebieden van belang uit een oogpunt van natuurbescherming of landschapsbehoud of van elementen van landschappelijke, recreatieve, aardkundige of natuurwetenschappelijke waarde, of cultureel erfgoed, of andere voorzieningen van openbaar nut, berust of vermoedelijk komt te berusten. Bij de instructie kan worden bepaald dat deze bestuursorganen werkzaamheden verrichten ten aanzien van deze wegen, waterstaatswerken, gebieden, elementen, of andere voorzieningen van openbaar nut. </w:t>
      </w:r>
    </w:p>
    <w:p w:rsidRPr="00E97F6E" w:rsidR="00E97F6E" w:rsidP="00D77477"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Bij de instructie kan een termijn worden gesteld waarbinnen uitvoering moet zijn gegeven aan de instructie. </w:t>
      </w:r>
    </w:p>
    <w:p w:rsidRPr="00E97F6E" w:rsidR="00E97F6E" w:rsidP="00D77477"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Onze Minister die het aangaat beslist over de uitvoering van werkzaamheden ten aanzien van de wegen, waterstaatswerken, gebieden en voorzieningen van openbaar nut, bedoeld in artikel 12.8, eerste lid, waarvan het beheer of het onderhoud vermoedelijk bij het Rijk komt te berusten.</w:t>
      </w:r>
    </w:p>
    <w:p w:rsidRPr="00E97F6E" w:rsidR="00D77477" w:rsidP="00E97F6E" w:rsidRDefault="00D77477">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12.19 (verrichten activiteiten na beschrijving)</w:t>
      </w:r>
    </w:p>
    <w:p w:rsidRPr="00E97F6E" w:rsidR="00E97F6E" w:rsidP="00E97F6E" w:rsidRDefault="00E97F6E">
      <w:pPr>
        <w:rPr>
          <w:rFonts w:ascii="Times New Roman" w:hAnsi="Times New Roman" w:eastAsia="Calibri"/>
          <w:sz w:val="24"/>
          <w:lang w:eastAsia="en-US"/>
        </w:rPr>
      </w:pPr>
    </w:p>
    <w:p w:rsidRPr="00E97F6E" w:rsidR="00E97F6E" w:rsidP="0043352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Met het verrichten van activiteiten als bedoeld in artikel 10.10d, eerste lid, wordt niet begonnen dan nadat gedeputeerde staten een beschrijving van de betrokken onroerende zaak hebben gemaakt.</w:t>
      </w:r>
    </w:p>
    <w:p w:rsidRPr="00E97F6E" w:rsidR="00E97F6E" w:rsidP="00E97F6E" w:rsidRDefault="00E97F6E">
      <w:pPr>
        <w:rPr>
          <w:rFonts w:ascii="Times New Roman" w:hAnsi="Times New Roman" w:eastAsia="Calibri"/>
          <w:sz w:val="24"/>
          <w:lang w:eastAsia="en-US"/>
        </w:rPr>
      </w:pPr>
    </w:p>
    <w:p w:rsidR="00E97F6E" w:rsidP="00E97F6E" w:rsidRDefault="00E97F6E">
      <w:pPr>
        <w:spacing w:after="200"/>
        <w:rPr>
          <w:rFonts w:ascii="Times New Roman" w:hAnsi="Times New Roman" w:eastAsia="Verdana"/>
          <w:caps/>
          <w:sz w:val="24"/>
        </w:rPr>
      </w:pPr>
      <w:r w:rsidRPr="00E97F6E">
        <w:rPr>
          <w:rFonts w:ascii="Times New Roman" w:hAnsi="Times New Roman" w:eastAsia="Verdana"/>
          <w:caps/>
          <w:sz w:val="24"/>
        </w:rPr>
        <w:t>Afdeling 12.4 Herverkaveling</w:t>
      </w:r>
    </w:p>
    <w:p w:rsidRPr="00433526" w:rsidR="00433526" w:rsidP="00433526" w:rsidRDefault="00433526">
      <w:pPr>
        <w:rPr>
          <w:rFonts w:ascii="Times New Roman" w:hAnsi="Times New Roman" w:eastAsia="Verdana"/>
          <w:sz w:val="24"/>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i/>
          <w:sz w:val="24"/>
          <w:lang w:eastAsia="en-US"/>
        </w:rPr>
        <w:t xml:space="preserve">§ 12.4.1 Algemene bepalingen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12.20 (bevoegd gezag)</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Voor de toepassing van deze afdeling zijn gedeputeerde staten van de provincie waarin het herverkavelingsblok geheel of grotendeels ligt het bevoegd gezag.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12.21 (tijdelijk in gebruik geven percelen)</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 xml:space="preserve">1. Percelen of delen van percelen die tot een herverkavelingsblok behoren kunnen tijdelijk in gebruik worden gegeven. </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Op het tijdelijk in gebruik geven van percelen zijn de voor pacht geldende wettelijke bepalingen niet van toepassing.</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Ook percelen die na toepassing van artikel 12.29, aanhef en onder c of d, aan openbare lichamen en rechtspersonen worden toegewezen kunnen aan hen tijdelijk in gebruik worden gegeven.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xml:space="preserve">§ 12.4.2 Het ruilbesluit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12.22 (vaststellen ruilbesluit)</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Voor ieder herverkavelingsblok wordt een ruilbesluit vastgesteld. </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ruilbesluit bevat:</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lijst van rechthebbenden, en</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bepalingen over kavels en rechten.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12.23 (lijst van rechthebbenden)</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lijst van rechthebbenden vermeldt voor de percelen binnen het herverkavelingsblok zo volledig mogelijk voor alle rechthebbenden de aard en de omvang van het door hen ingebrachte recht.</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lijst van rechthebbenden wordt opgemaakt aan de hand van de openbare registers en de basisregistratie kadaster, bedoeld in artikel 48 van de Kadasterwet. </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Nadat het ruilbesluit onherroepelijk is geworden, worden alleen degenen die voorkomen op de lijst van rechthebbenden of hun rechtverkrijgenden als rechthebbende erkend.</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Rechtverkrijgende is:</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degene die een onroerende zaak of een beperkt recht verkrijgt en waarvan de verkrijging blijkt uit in de openbare registers ingeschreven stukken,</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degene die schuldeiser wordt van een verbintenis die ten aanzien van een onroerende zaak een verplichting als bedoeld in artikel 252 van Boek 6 van het Burgerlijk Wetboek inhoudt en waarvan dit blijkt uit in de openbare registers ingeschreven stukken,</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degene die onder algemene titel een recht van huur verkrijgt dat is vermeld op de lijst van rechthebbenden.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12.24 (bepalingen over kavels en rechten)</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bepalingen over kavels en rechten in het ruilbesluit omvatten:</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kavelindeling,</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de toewijzing van rechten op kavels aan </w:t>
      </w:r>
      <w:r w:rsidR="000D6EA3">
        <w:rPr>
          <w:rFonts w:ascii="Times New Roman" w:hAnsi="Times New Roman" w:eastAsia="Calibri"/>
          <w:sz w:val="24"/>
          <w:lang w:eastAsia="en-US"/>
        </w:rPr>
        <w:t>eigenaren</w:t>
      </w:r>
      <w:r w:rsidRPr="00E97F6E">
        <w:rPr>
          <w:rFonts w:ascii="Times New Roman" w:hAnsi="Times New Roman" w:eastAsia="Calibri"/>
          <w:sz w:val="24"/>
          <w:lang w:eastAsia="en-US"/>
        </w:rPr>
        <w:t>,</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begrenzing van de eigendom van de openbare wegen of waterstaatswerken, gebieden, elementen en de andere voorzieningen van openbaar nut, bedoeld in artikel 12.8, eerste lid,</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 de te handhaven, op te heffen en te vestigen pachtverhoudingen, onder vermelding van de in artikel 12.28, derde lid, bedoelde bepalingen over de duur en verlengbaarheid van de pachtovereenkomst,</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 de in artikel 12.35 bedoelde regeling, opheffing of vestiging van de beperkte rechten, het recht van huur en de lasten die voor de onroerende zaken bestaan, en</w:t>
      </w:r>
    </w:p>
    <w:p w:rsidR="004B67C2"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f. de bepalingen over de ingebruikneming van de kavels.</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toewijzing heeft alleen betrekking op de kavels binnen het herverkavelingsblok. </w:t>
      </w:r>
    </w:p>
    <w:p w:rsidRPr="00E97F6E" w:rsidR="00E97F6E" w:rsidP="004B67C2"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lastRenderedPageBreak/>
        <w:t xml:space="preserve">3. In afwijking van het tweede lid kunnen in het ruilbesluit met toestemming van rechthebbenden op niet in het herverkavelingsblok liggende onroerende zaken, regelingen worden opgenomen over grenswijzigingen, burenrechten en erfdienstbaarheden. </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Bij algemene maatregel van bestuur worden regels gesteld over de bepalingen over kavels en rechten, bedoeld in het eerste lid.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12.25 (uitweg kavel)</w:t>
      </w:r>
    </w:p>
    <w:p w:rsidRPr="00E97F6E" w:rsidR="00E97F6E" w:rsidP="00E97F6E" w:rsidRDefault="00E97F6E">
      <w:pPr>
        <w:rPr>
          <w:rFonts w:ascii="Times New Roman" w:hAnsi="Times New Roman" w:eastAsia="Calibri"/>
          <w:sz w:val="24"/>
          <w:lang w:eastAsia="en-US"/>
        </w:rPr>
      </w:pPr>
    </w:p>
    <w:p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Bij de kavelindeling wordt elke kavel zo gevormd dat deze uitweg heeft op een openbare weg en zo mogelijk daaraan grenst. </w:t>
      </w:r>
    </w:p>
    <w:p w:rsidRPr="00E97F6E" w:rsidR="006A2513" w:rsidP="006A2513" w:rsidRDefault="006A2513">
      <w:pPr>
        <w:rPr>
          <w:rFonts w:ascii="Times New Roman" w:hAnsi="Times New Roman" w:eastAsia="Calibri"/>
          <w:sz w:val="24"/>
          <w:lang w:eastAsia="en-US"/>
        </w:rPr>
      </w:pPr>
    </w:p>
    <w:p w:rsidRPr="006A2513" w:rsidR="00E97F6E" w:rsidP="006A2513" w:rsidRDefault="00E97F6E">
      <w:pPr>
        <w:rPr>
          <w:rFonts w:ascii="Times New Roman" w:hAnsi="Times New Roman" w:eastAsia="Calibri"/>
          <w:b/>
          <w:sz w:val="24"/>
          <w:lang w:eastAsia="en-US"/>
        </w:rPr>
      </w:pPr>
      <w:r w:rsidRPr="006A2513">
        <w:rPr>
          <w:rFonts w:ascii="Times New Roman" w:hAnsi="Times New Roman" w:eastAsia="Calibri"/>
          <w:b/>
          <w:sz w:val="24"/>
          <w:lang w:eastAsia="en-US"/>
        </w:rPr>
        <w:t xml:space="preserve">Artikel 12.26 (aanspraak eigenaar: aard, hoedanigheid en </w:t>
      </w:r>
      <w:r w:rsidRPr="00F37C24" w:rsidR="00F37C24">
        <w:rPr>
          <w:rFonts w:ascii="Times New Roman" w:hAnsi="Times New Roman" w:eastAsia="Calibri"/>
          <w:b/>
          <w:sz w:val="24"/>
          <w:lang w:eastAsia="en-US"/>
        </w:rPr>
        <w:t>gebruiksmogelijkheden</w:t>
      </w:r>
      <w:r w:rsidRPr="006A2513">
        <w:rPr>
          <w:rFonts w:ascii="Times New Roman" w:hAnsi="Times New Roman" w:eastAsia="Calibri"/>
          <w:b/>
          <w:sz w:val="24"/>
          <w:lang w:eastAsia="en-US"/>
        </w:rPr>
        <w:t>)</w:t>
      </w:r>
    </w:p>
    <w:p w:rsidRPr="00E97F6E" w:rsidR="00E97F6E" w:rsidP="00E97F6E" w:rsidRDefault="00E97F6E">
      <w:pPr>
        <w:rPr>
          <w:rFonts w:ascii="Times New Roman" w:hAnsi="Times New Roman" w:eastAsia="Calibri"/>
          <w:sz w:val="24"/>
          <w:lang w:eastAsia="en-US"/>
        </w:rPr>
      </w:pP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Bij de toewijzing van rechten op kavels heeft iedere eigenaar aanspraak op verkrijging van een recht van dezelfde aard als hij had op de in een herverkavelingsblok liggende onroerende zaken.</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Voor zover het belang van de landinrichting zich hiertegen niet verzet, wordt aan iedere eigenaar een recht toegewezen voor onroerende zaken van </w:t>
      </w:r>
      <w:r w:rsidRPr="00F37C24" w:rsidR="00F37C24">
        <w:rPr>
          <w:rFonts w:ascii="Times New Roman" w:hAnsi="Times New Roman" w:eastAsia="Calibri"/>
          <w:sz w:val="24"/>
          <w:lang w:eastAsia="en-US"/>
        </w:rPr>
        <w:t>gelijke hoedanigheid en met gelijkwaardige gebruiksmogelijkheden als de onroerende zaken die door hem zijn ingebracht</w:t>
      </w:r>
      <w:r w:rsidRPr="00E97F6E">
        <w:rPr>
          <w:rFonts w:ascii="Times New Roman" w:hAnsi="Times New Roman" w:eastAsia="Calibri"/>
          <w:sz w:val="24"/>
          <w:lang w:eastAsia="en-US"/>
        </w:rPr>
        <w:t>.</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Bij regeling van Onze Minister van Landbouw, Natuur en Voedselkwaliteit worden nadere regels gesteld over de in het tweede lid bedoelde gelijke hoedanigheid en </w:t>
      </w:r>
      <w:r w:rsidRPr="00F37C24" w:rsidR="00F37C24">
        <w:rPr>
          <w:rFonts w:ascii="Times New Roman" w:hAnsi="Times New Roman" w:eastAsia="Calibri"/>
          <w:sz w:val="24"/>
          <w:lang w:eastAsia="en-US"/>
        </w:rPr>
        <w:t>gelijkwaardige gebruiksmogelijkheden</w:t>
      </w:r>
      <w:r w:rsidRPr="00E97F6E">
        <w:rPr>
          <w:rFonts w:ascii="Times New Roman" w:hAnsi="Times New Roman" w:eastAsia="Calibri"/>
          <w:sz w:val="24"/>
          <w:lang w:eastAsia="en-US"/>
        </w:rPr>
        <w:t>.</w:t>
      </w:r>
    </w:p>
    <w:p w:rsidRPr="006A2513"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12.27 (aanspraak pachter bij toewijzing)</w:t>
      </w:r>
    </w:p>
    <w:p w:rsidRPr="00E97F6E" w:rsidR="00E97F6E" w:rsidP="00E97F6E" w:rsidRDefault="00E97F6E">
      <w:pPr>
        <w:rPr>
          <w:rFonts w:ascii="Times New Roman" w:hAnsi="Times New Roman" w:eastAsia="Calibri"/>
          <w:sz w:val="24"/>
          <w:lang w:eastAsia="en-US"/>
        </w:rPr>
      </w:pP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Bij de toewijzing van rechten op kavels heeft iedere pachter aanspraak op verkrijging van een recht van dezelfde aard als hij had op de in een herverkavelingsblok liggende onroerende zaken. </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artikelen 12.26, tweede en derde lid, 12.30, 12.31 en 12.33 zijn van overeenkomstige toepassing. </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aanspraak bestaat alleen als de pachtovereenkomst op grond van artikel 16.125, eerste lid, aan het bevoegd gezag ter registratie is toegezonden.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12.28 (bestaande en nieuwe pachtverhoudingen)</w:t>
      </w:r>
    </w:p>
    <w:p w:rsidRPr="00E97F6E" w:rsidR="00E97F6E" w:rsidP="00E97F6E" w:rsidRDefault="00E97F6E">
      <w:pPr>
        <w:rPr>
          <w:rFonts w:ascii="Times New Roman" w:hAnsi="Times New Roman" w:eastAsia="Calibri"/>
          <w:sz w:val="24"/>
          <w:lang w:eastAsia="en-US"/>
        </w:rPr>
      </w:pP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In het ruilbesluit blijven bestaande pachtverhoudingen zo veel mogelijk in stand. </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het belang van de herverkaveling dat dringend eist, kan bij het ruilbesluit een bestaande pachtverhouding worden opgeheven en een nieuwe pachtverhouding worden gevestigd waarbij aan een verpachter een pachter uit de in artikel 12.27, eerste lid, bedoelde pachters wordt toegewezen.</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In een geval als bedoeld in het tweede lid voorziet het ruilbesluit erin dat de pachter en de verpachter zo veel mogelijk dezelfde aanspraken houden als zij aan de opgeheven pachtverhouding konden ontlenen. Het ruilbesluit bepaalt tot welk tijdstip de uit een nieuw gevestigde pachtverhouding voortvloeiende pachtovereenkomst zal gelden en of deze overeenkomst, als deze voor kortere dan de wettelijke duur zal gelden, voor verlenging vatbaar is.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12.29 (korting)</w:t>
      </w:r>
    </w:p>
    <w:p w:rsidRPr="00E97F6E" w:rsidR="00E97F6E" w:rsidP="00E97F6E" w:rsidRDefault="00E97F6E">
      <w:pPr>
        <w:rPr>
          <w:rFonts w:ascii="Times New Roman" w:hAnsi="Times New Roman" w:eastAsia="Calibri"/>
          <w:b/>
          <w:sz w:val="24"/>
          <w:lang w:eastAsia="en-US"/>
        </w:rPr>
      </w:pP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Als herverkaveling deel uitmaakt van de landinrichting, wordt bij ieder herverkavelingsblok de totale oppervlakte van alle bij de herverkaveling betrokken percelen tot een maximum van vijf procent verminderd met de oppervlakte van alle in het herverkavelingsblok opgenomen percelen:</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die in het belang van de herverkaveling nodig is voor het tot stand brengen of verbeteren van openbare wegen en waterstaatswerken,</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die nodig is voor de aanleg van voorzieningen die met de openbare wegen en waterstaatswerken, bedoeld onder a, samenhangen,</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die nodig is voor de verwezenlijking van maatregelen en voorzieningen voor gebieden die van belang zijn uit een oogpunt van natuurbescherming of landschapsbehoud, en voor elementen van landschappelijke, recreatieve, aardkundige of natuurwetenschappelijke waarde, of cultureel erfgoed,</w:t>
      </w:r>
    </w:p>
    <w:p w:rsidRPr="00E97F6E" w:rsidR="00E97F6E" w:rsidP="00D032C6" w:rsidRDefault="00E97F6E">
      <w:pPr>
        <w:ind w:firstLine="284"/>
        <w:rPr>
          <w:rFonts w:ascii="Times New Roman" w:hAnsi="Times New Roman" w:eastAsia="Calibri"/>
          <w:caps/>
          <w:sz w:val="24"/>
          <w:lang w:eastAsia="en-US"/>
        </w:rPr>
      </w:pPr>
      <w:r w:rsidRPr="00E97F6E">
        <w:rPr>
          <w:rFonts w:ascii="Times New Roman" w:hAnsi="Times New Roman" w:eastAsia="Calibri"/>
          <w:sz w:val="24"/>
          <w:lang w:eastAsia="en-US"/>
        </w:rPr>
        <w:t>d. die bestemd is voor andere maatregelen en voorzieningen van openbaar nut.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12.30 (aanspraak eigenaar: oppervlakte)</w:t>
      </w:r>
    </w:p>
    <w:p w:rsidRPr="00E97F6E" w:rsidR="00E97F6E" w:rsidP="00E97F6E" w:rsidRDefault="00E97F6E">
      <w:pPr>
        <w:rPr>
          <w:rFonts w:ascii="Times New Roman" w:hAnsi="Times New Roman" w:eastAsia="Calibri"/>
          <w:sz w:val="24"/>
          <w:lang w:eastAsia="en-US"/>
        </w:rPr>
      </w:pP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Bij de toewijzing van rechten op kavels heeft iedere eigenaar aanspraak op een oppervlakte in kavels die gelijk is aan de oppervlakte van de door hem ingebrachte percelen. Deze oppervlakte wordt verminderd met het percentage waarmee de totale oppervlakte van alle in het herverkavelingsblok opgenomen percelen op grond van artikel 12.29 is verminderd.</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totale oppervlakte, bedoeld in het eerste lid, tweede zin, is de oppervlakte van alle in het herverkavelingsblok opgenomen percelen, verminderd met de oppervlakte van de </w:t>
      </w:r>
      <w:r w:rsidRPr="00E97F6E">
        <w:rPr>
          <w:rFonts w:ascii="Times New Roman" w:hAnsi="Times New Roman" w:eastAsia="Verdana"/>
          <w:iCs/>
          <w:sz w:val="24"/>
        </w:rPr>
        <w:t>onroerende zaken die in een onteigeningsbeschikking voor onteigening zijn aangewezen</w:t>
      </w:r>
      <w:r w:rsidRPr="00E97F6E">
        <w:rPr>
          <w:rFonts w:ascii="Times New Roman" w:hAnsi="Times New Roman" w:eastAsia="Calibri"/>
          <w:sz w:val="24"/>
          <w:lang w:eastAsia="en-US"/>
        </w:rPr>
        <w:t>.</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Het bevoegd gezag kan van het eerste lid afwijken als toepassing van dat lid in de weg zou staan aan de totstandkoming van een behoorlijke herverkaveling. Als geen overeenstemming is bereikt met de eigenaar en degene die op de onroerende zaak een recht van hypotheek of grondrente heeft, kan deze afwijking ten hoogste vijf procent bedragen van de oppervlakte waarop de eigenaar op grond van het eerste lid aanspraak heeft. De toepassing van deze afwijking in samenhang met de toepassing van artikel 12.29 leidt niet tot een toewijzing van een oppervlakte die meer dan vijf procent kleiner is dan de oppervlakte van de door de eigenaar ingebrachte kavels.</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12.31 (algehele vergoeding in geld na korting bij onrendabele kavels)</w:t>
      </w:r>
    </w:p>
    <w:p w:rsidRPr="00E97F6E" w:rsidR="00E97F6E" w:rsidP="00E97F6E" w:rsidRDefault="00E97F6E">
      <w:pPr>
        <w:rPr>
          <w:rFonts w:ascii="Times New Roman" w:hAnsi="Times New Roman" w:eastAsia="Calibri"/>
          <w:sz w:val="24"/>
          <w:lang w:eastAsia="en-US"/>
        </w:rPr>
      </w:pP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het ruilbesluit kan worden bepaald dat een eigenaar, in afwijking van artikel 12.30, eerste lid, een algehele vergoeding in geld ontvangt als de oppervlakte van zijn in een herverkavelingsblok liggende onroerende zaken zo gering is dat toepassing van artikel 12.30 zou leiden tot de vorming van een niet behoorlijk te exploiteren kavel en hij geen redelijk belang heeft bij de verkrijging van een dergelijke kavel.</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12.32 (betaling bij toedeling percelen voor voorzieningen van openbaar nut)</w:t>
      </w:r>
    </w:p>
    <w:p w:rsidRPr="00E97F6E" w:rsidR="00E97F6E" w:rsidP="00E97F6E" w:rsidRDefault="00E97F6E">
      <w:pPr>
        <w:rPr>
          <w:rFonts w:ascii="Times New Roman" w:hAnsi="Times New Roman" w:eastAsia="Calibri"/>
          <w:sz w:val="24"/>
          <w:lang w:eastAsia="en-US"/>
        </w:rPr>
      </w:pP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Toedeling van percelen voor voorzieningen van openbaar nut, voor zover daarin is voorzien door toepassing van korting op grond van artikel 12.29, aanhef en onder c of d, vindt plaats tegen betaling van een tussen gedeputeerde staten en een ander openbaar lichaam of een andere rechtspersoon overeengekomen bedrag, dat niet minder bedraagt dan de werkelijke waarde van het perceel.</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lastRenderedPageBreak/>
        <w:t>Artikel 12.33 (algehele vergoeding in geld bij toedeling percelen voor voorzieningen van openbaar nut)</w:t>
      </w:r>
    </w:p>
    <w:p w:rsidRPr="00E97F6E" w:rsidR="00E97F6E" w:rsidP="00E97F6E" w:rsidRDefault="00E97F6E">
      <w:pPr>
        <w:rPr>
          <w:rFonts w:ascii="Times New Roman" w:hAnsi="Times New Roman" w:eastAsia="Calibri"/>
          <w:sz w:val="24"/>
          <w:lang w:eastAsia="en-US"/>
        </w:rPr>
      </w:pP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afwijking van artikel 12.30, eerste lid, ontvangt de eigenaar van onroerende zaken die zijn opgenomen in de toedeling, bedoeld in artikel 12.8, eerste lid, onder c of d, voor die zaken op aanvraag een algehele vergoeding in geld voor zover:</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die toedeling gebeurt met toepassing van artikel 12.29, aanhef en onder c of d, en</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vergoeding in geld bijdraagt aan de verwezenlijking van het inrichtingsprogramma.</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12.34 (waardering percelen voor voorzieningen van openbaar nut)</w:t>
      </w:r>
    </w:p>
    <w:p w:rsidRPr="00E97F6E" w:rsidR="00E97F6E" w:rsidP="00E97F6E" w:rsidRDefault="00E97F6E">
      <w:pPr>
        <w:rPr>
          <w:rFonts w:ascii="Times New Roman" w:hAnsi="Times New Roman" w:eastAsia="Calibri"/>
          <w:sz w:val="24"/>
          <w:lang w:eastAsia="en-US"/>
        </w:rPr>
      </w:pP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Als de toedeling, bedoeld in artikel 12.32, een perceel betreft waarvoor de eigenaar of pachter een beroep heeft gedaan op artikel 12.33, vindt de toedeling aan het openbaar lichaam of de andere rechtspersoon in afwijking van artikel 12.33 plaats tegen betaling van een bedrag dat gelijk is aan de in artikel 12.33 bedoelde vergoeding, of tegen de werkelijke waarde van het perceel, als die waarde hoger is.</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12.35 (beperkte rechten en conservatoir en executoriaal beslag)</w:t>
      </w:r>
    </w:p>
    <w:p w:rsidRPr="00E97F6E" w:rsidR="00E97F6E" w:rsidP="00E97F6E" w:rsidRDefault="00E97F6E">
      <w:pPr>
        <w:rPr>
          <w:rFonts w:ascii="Times New Roman" w:hAnsi="Times New Roman" w:eastAsia="Calibri"/>
          <w:sz w:val="24"/>
          <w:lang w:eastAsia="en-US"/>
        </w:rPr>
      </w:pP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Voor zover onroerende zaken in de bepalingen over rechten en kavels zijn opgenomen, worden de niet onder artikel 12.26 begrepen beperkte rechten, het recht van huur en de lasten die voor die onroerende zaken bestaan, in de bepalingen over rechten en kavels geregeld of opgeheven onder regeling van de geldelijke gevolgen daarvan in het besluit geldelijke regelingen. Ruilverkavelings-, herinrichtings-, reconstructie- en landinrichtingsrenten worden afgekocht volgens de daarvoor geldende wettelijke bepalingen. </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het belang van de herverkaveling kan in de bepalingen over kavels en rechten worden bepaald dat beperkte rechten worden gevestigd.</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Hypotheken gaan met behoud van hun rang over op de kavels of gedeelten van kavels die in de plaats van de onroerende zaak waarop zij rusten worden toegewezen. In gevallen bedoeld in de artikelen 12.31 en 12.33 waarin een algehele vergoeding in geld wordt toegekend, oefenen de hypotheekhouder en degene die op de zaak een recht van grondrente had, hun rechten uit op de wijze, omschreven in artikel </w:t>
      </w:r>
      <w:r w:rsidRPr="00E97F6E">
        <w:rPr>
          <w:rFonts w:ascii="Times New Roman" w:hAnsi="Times New Roman" w:eastAsia="Calibri"/>
          <w:bCs/>
          <w:sz w:val="24"/>
          <w:lang w:eastAsia="en-US"/>
        </w:rPr>
        <w:t>15.30</w:t>
      </w:r>
      <w:r w:rsidRPr="00E97F6E">
        <w:rPr>
          <w:rFonts w:ascii="Times New Roman" w:hAnsi="Times New Roman" w:eastAsia="Calibri"/>
          <w:sz w:val="24"/>
          <w:lang w:eastAsia="en-US"/>
        </w:rPr>
        <w:t>.</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Conservatoire en executoriale beslagen gaan over op de kavels of gedeelten van kavels die in de plaats van de onroerende zaak waarop zij zijn gelegd worden toegewezen en op de geldsommen die in de plaats van kavels of voor onderbedeling worden toegekend.</w:t>
      </w:r>
    </w:p>
    <w:p w:rsidRPr="00896072"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i/>
          <w:sz w:val="24"/>
          <w:lang w:eastAsia="en-US"/>
        </w:rPr>
        <w:t>§ 12.4.3 Het besluit geldelijke regelingen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12.36 (vaststellen besluit geldelijke regelingen)</w:t>
      </w:r>
    </w:p>
    <w:p w:rsidRPr="00E97F6E" w:rsidR="00E97F6E" w:rsidP="00E97F6E" w:rsidRDefault="00E97F6E">
      <w:pPr>
        <w:rPr>
          <w:rFonts w:ascii="Times New Roman" w:hAnsi="Times New Roman" w:eastAsia="Calibri"/>
          <w:sz w:val="24"/>
          <w:lang w:eastAsia="en-US"/>
        </w:rPr>
      </w:pP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Voor het herverkavelingsblok wordt een besluit gel</w:t>
      </w:r>
      <w:r w:rsidR="00F20418">
        <w:rPr>
          <w:rFonts w:ascii="Times New Roman" w:hAnsi="Times New Roman" w:eastAsia="Calibri"/>
          <w:sz w:val="24"/>
          <w:lang w:eastAsia="en-US"/>
        </w:rPr>
        <w:t>delijke regelingen vastgesteld.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12.37 (inhoud besluit geldelijke regelingen)</w:t>
      </w:r>
    </w:p>
    <w:p w:rsidRPr="00E97F6E" w:rsidR="00E97F6E" w:rsidP="00E97F6E" w:rsidRDefault="00E97F6E">
      <w:pPr>
        <w:rPr>
          <w:rFonts w:ascii="Times New Roman" w:hAnsi="Times New Roman" w:eastAsia="Calibri"/>
          <w:sz w:val="24"/>
          <w:lang w:eastAsia="en-US"/>
        </w:rPr>
      </w:pP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Het besluit geldelijke regelingen bevat:</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uitkomst van de schatting, bedoeld in artikel 12.38, eerste lid, aanhef en onder a, en de zo nauwkeurig mogelijke opgave van de daaruit op grond van artikel 13.9, tweede lid, voortvloeiende kosten voor de eigenaren,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b. de uitkomst van de schatting, bedoeld in artikel 12.38, eerste lid, aanhef en onder b, en de zo nauwkeurig mogelijke opgave van de daarmee verband houdende geldelijke verrekeningen,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een opgave van de geldelijke verrekening voor de eigenaren als gevolg van: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toepassing van de artikelen 12.31, 12.33 en 12.39,</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toepassing van artikel 12.35,</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toe te kennen schadevergoedingen, anders dan die bedoeld in afdeling 15.2 vanwege een gedoogplicht als bedoeld in de artikelen 10.10a tot en met 10.10e, en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de overige zaken, en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d. een opgave van de geldelijke verrekeningen voor de pachters als gevolg van de toepassing van artikel 12.27 in samenhang met de artikelen 12.31 en 12.33. </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verband met de verrekening, bedoeld in het eerste lid, onder c, onder 1°, stellen gedeputeerde staten de agrarische verkeerswaarde van de percelen vast.</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Bij algemene maatregel van bestuur worden regels gesteld over de toepassing van het eerste lid en over het vaststellen van de agrarische verkeerswaarde, bedoeld in het tweede lid.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12.38 (schatting en voorbereiding besluit geldelijke regelingen)</w:t>
      </w:r>
      <w:r w:rsidRPr="00E97F6E">
        <w:rPr>
          <w:rFonts w:ascii="Times New Roman" w:hAnsi="Times New Roman" w:eastAsia="Calibri"/>
          <w:i/>
          <w:sz w:val="24"/>
          <w:lang w:eastAsia="en-US"/>
        </w:rPr>
        <w:t xml:space="preserve"> </w:t>
      </w:r>
    </w:p>
    <w:p w:rsidRPr="00E97F6E" w:rsidR="00E97F6E" w:rsidP="00E97F6E" w:rsidRDefault="00E97F6E">
      <w:pPr>
        <w:rPr>
          <w:rFonts w:ascii="Times New Roman" w:hAnsi="Times New Roman" w:eastAsia="Calibri"/>
          <w:b/>
          <w:sz w:val="24"/>
          <w:lang w:eastAsia="en-US"/>
        </w:rPr>
      </w:pP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Gedeputeerde staten schatten:</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waardeverandering van de onroerende zaken als gevolg van de landinrichting voor iedere eigenaar,</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geldelijke verrekeningen tussen de oude en de nieuwe eigenaar bij overgang van onroerende zaken, van:</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w:t>
      </w:r>
      <w:r w:rsidRPr="00F37C24" w:rsidR="00F37C24">
        <w:rPr>
          <w:rFonts w:ascii="Times New Roman" w:hAnsi="Times New Roman" w:eastAsia="Calibri"/>
          <w:sz w:val="24"/>
          <w:lang w:eastAsia="en-US"/>
        </w:rPr>
        <w:t>de waardeverandering als gevolg van een landinrichtingsactiviteit</w:t>
      </w:r>
      <w:r w:rsidRPr="00E97F6E">
        <w:rPr>
          <w:rFonts w:ascii="Times New Roman" w:hAnsi="Times New Roman" w:eastAsia="Calibri"/>
          <w:sz w:val="24"/>
          <w:lang w:eastAsia="en-US"/>
        </w:rPr>
        <w:t>,</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waarde van gebouwen, werken en beplantingen,</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andere dan de agrarische waarde,</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de overige zaken.</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schatting vindt plaats volgens de regels, bedoeld in de artikelen 12.24, vierde lid, en 12.37, derde lid.</w:t>
      </w:r>
    </w:p>
    <w:p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Het ontwerp van het besluit geldelijke regelingen wordt opgesteld met inachtneming van het onherroepelijk geworden ruilbesluit, tenzij gedeputeerde staten bepalen dat het ontwerp van het ruilbesluit en het ontwerp van het besluit geldelijke regelingen gelijktijdig ter inzage worden gelegd.</w:t>
      </w:r>
    </w:p>
    <w:p w:rsidRPr="00E97F6E" w:rsidR="00952A1E" w:rsidP="00952A1E" w:rsidRDefault="00952A1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12.39 (verrekening)</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Het verschil in oppervlakte, hoedanigheid of </w:t>
      </w:r>
      <w:r w:rsidRPr="00F37C24" w:rsidR="00F37C24">
        <w:rPr>
          <w:rFonts w:ascii="Times New Roman" w:hAnsi="Times New Roman" w:eastAsia="Calibri"/>
          <w:sz w:val="24"/>
          <w:lang w:eastAsia="en-US"/>
        </w:rPr>
        <w:t>gebruiksmogelijkheden</w:t>
      </w:r>
      <w:r w:rsidRPr="00E97F6E">
        <w:rPr>
          <w:rFonts w:ascii="Times New Roman" w:hAnsi="Times New Roman" w:eastAsia="Calibri"/>
          <w:sz w:val="24"/>
          <w:lang w:eastAsia="en-US"/>
        </w:rPr>
        <w:t xml:space="preserve"> tussen de ingebrachte en de na toepassing van de artikelen 12.29 tot en met 12.31 en 12.33 toegedeelde kavels wordt met de eigenaren in geld verrekend.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12.40 (verrekening waardevermeerdering)</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Verdana"/>
          <w:sz w:val="24"/>
        </w:rPr>
      </w:pPr>
      <w:r w:rsidRPr="00E97F6E">
        <w:rPr>
          <w:rFonts w:ascii="Times New Roman" w:hAnsi="Times New Roman" w:eastAsia="Verdana"/>
          <w:sz w:val="24"/>
        </w:rPr>
        <w:t>Als een landinrichtingsactiviteit leidt tot een waardevermeerdering van een onroerende zaak, wordt die waardevermeerdering alleen vergoed als voor die landinrichtingsactiviteit een maatwerkvoorschrift is gesteld.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12.41 (titel voor vorderingen)</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Zodra de beroepstermijn voor een besluit geldelijke regelingen is verstreken, of, als beroep is ingesteld, op het beroep is beslist, geldt het besluit als titel voor de daarin omschreven vorderingen.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caps/>
          <w:sz w:val="24"/>
          <w:lang w:eastAsia="en-US"/>
        </w:rPr>
      </w:pPr>
      <w:r w:rsidRPr="00E97F6E">
        <w:rPr>
          <w:rFonts w:ascii="Times New Roman" w:hAnsi="Times New Roman" w:eastAsia="Calibri"/>
          <w:caps/>
          <w:sz w:val="24"/>
          <w:lang w:eastAsia="en-US"/>
        </w:rPr>
        <w:t>Afdeling 12.5 OVERIGE BEPALINGEN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12.42 (geldelijke gevolgen vermindering schuldplichtigheid)</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Wanneer cassatie als bedoeld in artikel 16.82c leidt tot een vermindering van de schuldplichtigheid van een of meer belanghebbenden, worden de geldelijke gevolgen daarvan door de provincie gedragen.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12.43 (rechtsgevolg inschrijving uitspraak)</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Door inschrijving van de uitspraak in beroep, bedoeld in artikel </w:t>
      </w:r>
      <w:r w:rsidRPr="00F37C24" w:rsidR="00F37C24">
        <w:rPr>
          <w:rFonts w:ascii="Times New Roman" w:hAnsi="Times New Roman" w:eastAsia="Calibri"/>
          <w:sz w:val="24"/>
          <w:lang w:eastAsia="en-US"/>
        </w:rPr>
        <w:t>16.33l</w:t>
      </w:r>
      <w:r w:rsidRPr="00E97F6E">
        <w:rPr>
          <w:rFonts w:ascii="Times New Roman" w:hAnsi="Times New Roman" w:eastAsia="Calibri"/>
          <w:sz w:val="24"/>
          <w:lang w:eastAsia="en-US"/>
        </w:rPr>
        <w:t>, in de openbare registers wordt de in die uitspraak omschreven eigendom verkregen door de in die uitspraak genoemde openbare lichamen of andere rechtspersonen.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caps/>
          <w:sz w:val="24"/>
          <w:lang w:eastAsia="en-US"/>
        </w:rPr>
      </w:pPr>
      <w:r w:rsidRPr="00E97F6E">
        <w:rPr>
          <w:rFonts w:ascii="Times New Roman" w:hAnsi="Times New Roman" w:eastAsia="Calibri"/>
          <w:caps/>
          <w:sz w:val="24"/>
          <w:lang w:eastAsia="en-US"/>
        </w:rPr>
        <w:t>Afdeling 12.6 Kavelruil</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12.44 (kavelruilovereenkomst)</w:t>
      </w:r>
      <w:r w:rsidRPr="00E97F6E">
        <w:rPr>
          <w:rFonts w:ascii="Times New Roman" w:hAnsi="Times New Roman" w:eastAsia="Calibri"/>
          <w:sz w:val="24"/>
          <w:lang w:eastAsia="en-US"/>
        </w:rPr>
        <w:t xml:space="preserve"> </w:t>
      </w:r>
    </w:p>
    <w:p w:rsidRPr="00E97F6E" w:rsidR="00E97F6E" w:rsidP="00E97F6E" w:rsidRDefault="00E97F6E">
      <w:pPr>
        <w:rPr>
          <w:rFonts w:ascii="Times New Roman" w:hAnsi="Times New Roman" w:eastAsia="Calibri"/>
          <w:sz w:val="24"/>
          <w:lang w:eastAsia="en-US"/>
        </w:rPr>
      </w:pP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kavelruilovereenkomst is een overeenkomst waarbij drie of meer eigenaren zich verbinden bepaalde, hun toebehorende onroerende zaken samen te voegen, de aldus gegeven massa op een bepaalde wijze te verkavelen en onder elkaar bij notariële kavelruilakte te verdelen, die schriftelijk wordt aangegaan en in de openbare registers wordt ingeschreven. Titel 7 van Boek 3 van het Burgerlijk Wetboek is niet van toepassing op de bedoelde massa.</w:t>
      </w: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Aan een kavelruilovereenkomst kunnen ook partijen deelnemen die tegen inbreng van een geldsom onroerende zaken bedingen of tegen inbreng van onroerende zaken een geldsom bedingen. Overeenkomsten waaraan drie partijen deelnemen, worden alleen als kavelruil aangemerkt als alle partijen onroerende zaken inbrengen en ten hoogste een van hen daartegen alleen een geldsom bedingt.</w:t>
      </w: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een kavelruilovereenkomst onroerende zaken omvat waarop hypotheken, conservatoire beslagen of executoriale beslagen rusten, is de overeenkomst alleen rechtsgeldig als zij ook door de hypotheekhouders of beslagleggers is medeondertekend.</w:t>
      </w: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Een kavelruilakte wordt ondertekend door hen die daarvoor bij de kavelruilovereenkomst bevoegd worden verklaard en wordt ingeschreven in de openbare registers.</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12.45 (inschrijving kavelruilovereenkomst) </w:t>
      </w:r>
    </w:p>
    <w:p w:rsidRPr="00E97F6E" w:rsidR="00E97F6E" w:rsidP="00E97F6E" w:rsidRDefault="00E97F6E">
      <w:pPr>
        <w:rPr>
          <w:rFonts w:ascii="Times New Roman" w:hAnsi="Times New Roman" w:eastAsia="Calibri"/>
          <w:sz w:val="24"/>
          <w:lang w:eastAsia="en-US"/>
        </w:rPr>
      </w:pP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kavelruilovereenkomst bindt ook degenen die de deelnemende partijen na het tijdstip van inschrijving onder bijzondere titel opvolgen in hun rechten op de betrokken onroerende zaken.</w:t>
      </w: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na de inschrijving komt vast te staan dat een of meer van de partijen bij de kavelruilovereenkomst geen eigenaar waren, maar wel in de basisregistratie kadaster als zodanig stonden vermeld, wordt de overeenkomst geacht rechtsgeldig tot stand te zijn gekomen en treedt de werkelijke eigenaar in de rechten en plichten die de in zijn plaats opgetreden partij onbevoegd heeft verworven en op zich heeft genomen.</w:t>
      </w:r>
    </w:p>
    <w:p w:rsidRPr="00E97F6E" w:rsidR="00E97F6E" w:rsidP="00122FEE"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lastRenderedPageBreak/>
        <w:t>3. In afwijking van artikel 50 van Boek 7 van het Burgerlijk Wetboek is artikel 3 van dat boek niet van overeenkomstige toepassing op de ingeschreven kavelruilovereenkomst.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12.46 (toepasselijkheid andere bepalingen)</w:t>
      </w:r>
    </w:p>
    <w:p w:rsidRPr="00E97F6E" w:rsidR="00E97F6E" w:rsidP="00E97F6E" w:rsidRDefault="00E97F6E">
      <w:pPr>
        <w:rPr>
          <w:rFonts w:ascii="Times New Roman" w:hAnsi="Times New Roman" w:eastAsia="Calibri"/>
          <w:sz w:val="24"/>
          <w:lang w:eastAsia="en-US"/>
        </w:rPr>
      </w:pP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In een kavelruilovereenkomst kunnen de artikelen 12.35, tweede, derde en vierde lid, 16.136, tweede en derde lid, en 16.137, derde en vierde lid, van overeenkomstige toepassing worden verklaard.</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de kavelruilakte wordt vermeld welke van de in het eerste lid genoemde bepalingen van overeenkomstige toepassing zijn verklaard.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12.47 (kavelruil landelijk gebied)</w:t>
      </w:r>
    </w:p>
    <w:p w:rsidRPr="00E97F6E" w:rsidR="00E97F6E" w:rsidP="00E97F6E" w:rsidRDefault="00E97F6E">
      <w:pPr>
        <w:rPr>
          <w:rFonts w:ascii="Times New Roman" w:hAnsi="Times New Roman" w:eastAsia="Calibri"/>
          <w:sz w:val="24"/>
          <w:lang w:eastAsia="en-US"/>
        </w:rPr>
      </w:pP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kavelruil landelijk gebied is een kavelruilovereenkomst die strekt tot verbetering van een gebied in overeenstemming met de functies die aan de betrokken locaties zijn toegedeeld.</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kavelruilovereenkomst voor kavelruil landelijk gebied heeft geen betrekking op:</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kavels die deel uitmaken van een ruimtelijk aaneengesloten of functioneel verbonden samenstel van kavels:</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dat in gebruik is voor wonen, met inbegrip van verblijfsrecreatie, niet-agrarische bedrijvigheid en sociaal-culturele voorzieningen, stedelijk groen en infrastructuur,</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2°.waar op grond van de functies die aan de betrokken locaties zijn toegedeeld een gebruik als bedoeld onder 1° mogelijk is,</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waarvoor volgens een ontwerpbesluit tot vaststelling van een omgevingsplan of een projectbesluit een gebruik als bedoeld onder 1° mogelijk zal worden gemaakt,</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kavels waar ontgronding plaatsvindt, tenzij die volgens de voorschriften die zijn verbonden aan de omgevingsvergunning voor de ontgrondingsactiviteit na de ontgronding geschikt worden gemaakt voor landbouwdoeleinden, kleinschalige recreatie of de ontwikkeling van natuur, of</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beperkte rechten met betrekking tot de kavels, bedoeld in de onderdelen a en b.</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Een bedrijfsverplaatsing, waarbij de gronden van het achtergelaten bedrijf worden gebruikt om onroerende zaken samen te voegen en de gegeven massa op een bepaalde wijze te verkavelen, kan worden opgenomen in een kavelruilovereenkomst voor kavelruil landelijk gebied.</w:t>
      </w:r>
    </w:p>
    <w:p w:rsidRPr="00E97F6E" w:rsidR="00E97F6E" w:rsidP="00E97F6E" w:rsidRDefault="00E97F6E">
      <w:pPr>
        <w:rPr>
          <w:rFonts w:ascii="Times New Roman" w:hAnsi="Times New Roman" w:eastAsia="Calibri"/>
          <w:sz w:val="24"/>
          <w:lang w:eastAsia="en-US"/>
        </w:rPr>
      </w:pPr>
    </w:p>
    <w:p w:rsidR="00E97F6E" w:rsidP="009B4A81" w:rsidRDefault="00E97F6E">
      <w:pPr>
        <w:rPr>
          <w:rFonts w:ascii="Times New Roman" w:hAnsi="Times New Roman" w:eastAsia="Verdana"/>
          <w:sz w:val="24"/>
        </w:rPr>
      </w:pPr>
      <w:r w:rsidRPr="009B4A81">
        <w:rPr>
          <w:rStyle w:val="Voetnootmarkering"/>
          <w:rFonts w:ascii="Times New Roman" w:hAnsi="Times New Roman" w:eastAsia="Verdana"/>
          <w:sz w:val="24"/>
          <w:vertAlign w:val="baseline"/>
        </w:rPr>
        <w:t>I</w:t>
      </w:r>
    </w:p>
    <w:p w:rsidRPr="009B4A81" w:rsidR="009B4A81" w:rsidP="009B4A81" w:rsidRDefault="009B4A81">
      <w:pPr>
        <w:rPr>
          <w:rStyle w:val="Voetnootmarkering"/>
          <w:rFonts w:ascii="Times New Roman" w:hAnsi="Times New Roman" w:eastAsia="Verdana"/>
          <w:sz w:val="24"/>
          <w:vertAlign w:val="baseline"/>
        </w:rPr>
      </w:pPr>
    </w:p>
    <w:p w:rsidR="00E97F6E" w:rsidP="009B4A81" w:rsidRDefault="00F37C24">
      <w:pPr>
        <w:ind w:firstLine="284"/>
        <w:rPr>
          <w:rFonts w:ascii="Times New Roman" w:hAnsi="Times New Roman" w:eastAsia="Verdana"/>
          <w:sz w:val="24"/>
        </w:rPr>
      </w:pPr>
      <w:r w:rsidRPr="00F37C24">
        <w:rPr>
          <w:rFonts w:ascii="Times New Roman" w:hAnsi="Times New Roman" w:eastAsia="Verdana"/>
          <w:sz w:val="24"/>
        </w:rPr>
        <w:t>Hoofdstuk 13 wordt als volgt gewijzigd:</w:t>
      </w:r>
    </w:p>
    <w:p w:rsidR="009B4A81" w:rsidP="009B4A81" w:rsidRDefault="009B4A81">
      <w:pPr>
        <w:rPr>
          <w:rFonts w:ascii="Times New Roman" w:hAnsi="Times New Roman" w:eastAsia="Verdana"/>
          <w:sz w:val="24"/>
        </w:rPr>
      </w:pPr>
    </w:p>
    <w:p w:rsidRPr="00F37C24" w:rsidR="00F37C24" w:rsidP="00F37C24" w:rsidRDefault="00F37C24">
      <w:pPr>
        <w:ind w:firstLine="284"/>
        <w:rPr>
          <w:rFonts w:ascii="Times New Roman" w:hAnsi="Times New Roman" w:eastAsia="Verdana"/>
          <w:sz w:val="24"/>
        </w:rPr>
      </w:pPr>
      <w:r w:rsidRPr="00F37C24">
        <w:rPr>
          <w:rFonts w:ascii="Times New Roman" w:hAnsi="Times New Roman" w:eastAsia="Verdana"/>
          <w:sz w:val="24"/>
        </w:rPr>
        <w:t>1. Artikel 13.4, eerste lid, onder b, komt te luiden:</w:t>
      </w:r>
    </w:p>
    <w:p w:rsidRPr="00F37C24" w:rsidR="00F37C24" w:rsidP="00F37C24" w:rsidRDefault="00F37C24">
      <w:pPr>
        <w:rPr>
          <w:rFonts w:ascii="Times New Roman" w:hAnsi="Times New Roman" w:eastAsia="Verdana"/>
          <w:sz w:val="24"/>
        </w:rPr>
      </w:pPr>
      <w:r w:rsidRPr="00F37C24">
        <w:rPr>
          <w:rFonts w:ascii="Times New Roman" w:hAnsi="Times New Roman" w:eastAsia="Verdana"/>
          <w:sz w:val="24"/>
        </w:rPr>
        <w:tab/>
        <w:t>b. een omgevingsvergunning als bedoeld in artikel 5.1, eerste lid, aanhef en onder a,.</w:t>
      </w:r>
    </w:p>
    <w:p w:rsidRPr="00F37C24" w:rsidR="00F37C24" w:rsidP="00F37C24" w:rsidRDefault="00F37C24">
      <w:pPr>
        <w:rPr>
          <w:rFonts w:ascii="Times New Roman" w:hAnsi="Times New Roman" w:eastAsia="Verdana"/>
          <w:sz w:val="24"/>
        </w:rPr>
      </w:pPr>
    </w:p>
    <w:p w:rsidR="00F37C24" w:rsidP="00F37C24" w:rsidRDefault="00F37C24">
      <w:pPr>
        <w:rPr>
          <w:rFonts w:ascii="Times New Roman" w:hAnsi="Times New Roman" w:eastAsia="Verdana"/>
          <w:sz w:val="24"/>
        </w:rPr>
      </w:pPr>
      <w:r w:rsidRPr="00F37C24">
        <w:rPr>
          <w:rFonts w:ascii="Times New Roman" w:hAnsi="Times New Roman" w:eastAsia="Verdana"/>
          <w:sz w:val="24"/>
        </w:rPr>
        <w:tab/>
        <w:t>2. Er worden na afdeling 13.4 drie afdelingen toegevoegd, luidende:</w:t>
      </w:r>
    </w:p>
    <w:p w:rsidRPr="009B4A81" w:rsidR="00F37C24" w:rsidP="009B4A81" w:rsidRDefault="00F37C24">
      <w:pPr>
        <w:rPr>
          <w:rFonts w:ascii="Times New Roman" w:hAnsi="Times New Roman" w:eastAsia="Verdana"/>
          <w:sz w:val="24"/>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AFDELING 13.5 FINANCIËLE BEPALINGEN LANDINRICHTING</w:t>
      </w:r>
    </w:p>
    <w:p w:rsidRPr="00E97F6E" w:rsidR="00E97F6E" w:rsidP="00E97F6E" w:rsidRDefault="00E97F6E">
      <w:pPr>
        <w:rPr>
          <w:rFonts w:ascii="Times New Roman" w:hAnsi="Times New Roman" w:eastAsia="Calibri"/>
          <w:sz w:val="24"/>
          <w:lang w:eastAsia="en-US"/>
        </w:rPr>
      </w:pPr>
    </w:p>
    <w:p w:rsidRPr="000D6EA3" w:rsidR="000D6EA3" w:rsidP="000D6EA3" w:rsidRDefault="000D6EA3">
      <w:pPr>
        <w:tabs>
          <w:tab w:val="left" w:pos="284"/>
        </w:tabs>
        <w:rPr>
          <w:rFonts w:ascii="Times New Roman" w:hAnsi="Times New Roman"/>
          <w:b/>
          <w:sz w:val="24"/>
          <w:szCs w:val="20"/>
        </w:rPr>
      </w:pPr>
      <w:r w:rsidRPr="000D6EA3">
        <w:rPr>
          <w:rFonts w:ascii="Times New Roman" w:hAnsi="Times New Roman"/>
          <w:b/>
          <w:sz w:val="24"/>
          <w:szCs w:val="20"/>
        </w:rPr>
        <w:t>Artikel 13.7a (positie zakelijk gerechtigden)</w:t>
      </w:r>
    </w:p>
    <w:p w:rsidRPr="000D6EA3" w:rsidR="000D6EA3" w:rsidP="000D6EA3" w:rsidRDefault="000D6EA3">
      <w:pPr>
        <w:tabs>
          <w:tab w:val="left" w:pos="284"/>
        </w:tabs>
        <w:rPr>
          <w:rFonts w:ascii="Times New Roman" w:hAnsi="Times New Roman"/>
          <w:sz w:val="24"/>
          <w:szCs w:val="20"/>
        </w:rPr>
      </w:pPr>
    </w:p>
    <w:p w:rsidR="000D6EA3" w:rsidP="000D6EA3" w:rsidRDefault="000D6EA3">
      <w:pPr>
        <w:rPr>
          <w:rFonts w:ascii="Times New Roman" w:hAnsi="Times New Roman" w:eastAsia="Calibri"/>
          <w:b/>
          <w:sz w:val="24"/>
          <w:lang w:eastAsia="en-US"/>
        </w:rPr>
      </w:pPr>
      <w:r w:rsidRPr="000D6EA3">
        <w:rPr>
          <w:rFonts w:ascii="Times New Roman" w:hAnsi="Times New Roman"/>
          <w:sz w:val="24"/>
          <w:szCs w:val="20"/>
        </w:rPr>
        <w:tab/>
        <w:t>Artikel 12.2 is van overeenkomstige toepassing.</w:t>
      </w:r>
    </w:p>
    <w:p w:rsidR="000D6EA3" w:rsidP="00E97F6E" w:rsidRDefault="000D6EA3">
      <w:pPr>
        <w:rPr>
          <w:rFonts w:ascii="Times New Roman" w:hAnsi="Times New Roman" w:eastAsia="Calibri"/>
          <w:b/>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13.8 (kosten landinrichting)</w:t>
      </w:r>
    </w:p>
    <w:p w:rsidRPr="00E97F6E" w:rsidR="00E97F6E" w:rsidP="00E97F6E" w:rsidRDefault="00E97F6E">
      <w:pPr>
        <w:rPr>
          <w:rFonts w:ascii="Times New Roman" w:hAnsi="Times New Roman" w:eastAsia="Calibri"/>
          <w:sz w:val="24"/>
          <w:lang w:eastAsia="en-US"/>
        </w:rPr>
      </w:pP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kosten van landinrichting als bedoeld in artikel 12.3 worden gedragen door de provincie, voor zover zij niet op grond van de artikelen 13.9 en 13.10 worden gedragen door andere openbare lichamen of eigenaren.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13.9 (andere openbare lichamen en eigenaren)</w:t>
      </w:r>
    </w:p>
    <w:p w:rsidRPr="00E97F6E" w:rsidR="00E97F6E" w:rsidP="00E97F6E" w:rsidRDefault="00E97F6E">
      <w:pPr>
        <w:rPr>
          <w:rFonts w:ascii="Times New Roman" w:hAnsi="Times New Roman" w:eastAsia="Calibri"/>
          <w:sz w:val="24"/>
          <w:lang w:eastAsia="en-US"/>
        </w:rPr>
      </w:pP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Ten laste van andere openbare lichamen dan de provincie komen de kosten waartoe zij zich op grond van 12.17, tweede lid, of op een andere manier bij overeenkomst hebben verplicht.</w:t>
      </w: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Ten laste van de eigenaren van de in een herverkaveling betrokken onroerende zaken gezamenlijk komen de kosten van herverkaveling die zijn gemaakt voor het herverkavelingsblok.</w:t>
      </w:r>
    </w:p>
    <w:p w:rsidR="00452DFD"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Op de kosten die ten laste van de eigenaren komen, worden in mindering gebracht:</w:t>
      </w:r>
    </w:p>
    <w:p w:rsidR="00452DFD"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kosten van herverkaveling die door een subsidie of andere overheidsbijdrage worden gedekt,</w:t>
      </w:r>
    </w:p>
    <w:p w:rsidR="00452DFD"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kosten van herverkaveling waarvan de betaling bij overeenkomst is verzekerd,</w:t>
      </w: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bedragen die op grond van artikel 12.32 door een openbaar lichaam of andere rechtspersonen zijn betaald voor de toewijzing van percelen voor voorzieningen van openbaar nut met uitzondering van bedragen die zijn betaald als algehele vergoeding in geld als bedoeld in artikel 12.33.</w:t>
      </w: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De kosten die ten laste van de eigenaren gezamenlijk komen, worden over de eigenaren omgeslagen zoals bepaald in het besluit geldelijke regelingen. Iedere eigenaar is schuldplichtig voor de over hem omgeslagen kosten. </w:t>
      </w: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Nadat de beroepstermijn voor het besluit geldelijke regelingen is verstreken, of, als beroep is ingesteld, op het beroep is beslist, worden de kosten die over de eigenaren worden omgeslagen gecorrigeerd met een door gedeputeerde staten vastgestelde correctiefactor. Deze factor is het quotiënt van de definitieve kosten en de kosten die oorspronkelijk in het besluit geldelijke regelingen waren opgenomen.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13.10 (heffing en invordering kosten landinrichting)</w:t>
      </w:r>
    </w:p>
    <w:p w:rsidRPr="00E97F6E" w:rsidR="00E97F6E" w:rsidP="00E97F6E" w:rsidRDefault="00E97F6E">
      <w:pPr>
        <w:rPr>
          <w:rFonts w:ascii="Times New Roman" w:hAnsi="Times New Roman" w:eastAsia="Calibri"/>
          <w:sz w:val="24"/>
          <w:lang w:eastAsia="en-US"/>
        </w:rPr>
      </w:pPr>
    </w:p>
    <w:p w:rsidRPr="00E97F6E" w:rsidR="00E97F6E" w:rsidP="008239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Op de heffing en de invordering van de over de eigenaren omgeslagen kosten zijn de artikelen 227, 227a, 228, 228b, 228c, 232, 232aa, 232b, 232c, 232d, 232e, 232f en 232h van de Provinciewet van overeenkomstige toepassing.</w:t>
      </w:r>
    </w:p>
    <w:p w:rsidRPr="00E97F6E" w:rsidR="00E97F6E" w:rsidP="008239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omgeslagen kosten worden geheven bij wege van aanslag.</w:t>
      </w:r>
    </w:p>
    <w:p w:rsidRPr="00E97F6E" w:rsidR="00E97F6E" w:rsidP="008239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de over een eigenaar omgeslagen kosten geringer zijn dan een bij provinciale verordening vast te stellen bedrag, worden deze kosten niet geheven.</w:t>
      </w:r>
    </w:p>
    <w:p w:rsidRPr="00E97F6E" w:rsidR="00E97F6E" w:rsidP="008239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Als voor eenzelfde onroerende zaak twee of meer eigenaren kostenplichtig zijn en het derde lid op geen van hen van toepassing is, kan de belastingaanslag op naam van een van hen worden gesteld. In dat geval kan:</w:t>
      </w:r>
    </w:p>
    <w:p w:rsidRPr="00E97F6E" w:rsidR="00E97F6E" w:rsidP="003D5A3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ontvanger de aanslag op de gehele onroerende zaak verhalen op degene op wiens naam de belastingaanslag is gesteld, zonder rekening te houden met de rechten van de overige kostenplichtigen,</w:t>
      </w:r>
    </w:p>
    <w:p w:rsidRPr="00E97F6E" w:rsidR="00E97F6E" w:rsidP="003D5A3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de kostenplichtige die de belastingaanslag heeft voldaan, wat hij meer heeft voldaan dan overeenkomt met zijn kostenplicht verhalen op de overige kostenplichtigen naar </w:t>
      </w:r>
      <w:r w:rsidRPr="00E97F6E">
        <w:rPr>
          <w:rFonts w:ascii="Times New Roman" w:hAnsi="Times New Roman" w:eastAsia="Calibri"/>
          <w:sz w:val="24"/>
          <w:lang w:eastAsia="en-US"/>
        </w:rPr>
        <w:lastRenderedPageBreak/>
        <w:t>evenredigheid van ieders kostenplicht, tenzij bij overeenkomst een afwijkende regeling is getroffen.</w:t>
      </w:r>
    </w:p>
    <w:p w:rsidRPr="00E97F6E" w:rsidR="00E97F6E" w:rsidP="003D5A3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Bezwaar en beroep als bedoeld in hoofdstuk V, afdeling 1 of afdeling 2, van de Algemene wet inzake rijksbelastingen, kunnen niet de hoogte van de omgeslagen kosten betreffen.</w:t>
      </w:r>
    </w:p>
    <w:p w:rsidRPr="00E97F6E" w:rsidR="00E97F6E" w:rsidP="003D5A3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6. Artikel 17, tweede lid, tweede zin, van de Invorderingswet 1990 blijft buiten toepassing.</w:t>
      </w:r>
    </w:p>
    <w:p w:rsidRPr="00E97F6E" w:rsidR="00E97F6E" w:rsidP="00E97F6E" w:rsidRDefault="00E97F6E">
      <w:pPr>
        <w:rPr>
          <w:rFonts w:ascii="Times New Roman" w:hAnsi="Times New Roman" w:eastAsia="Calibri"/>
          <w:sz w:val="24"/>
          <w:lang w:eastAsia="en-US"/>
        </w:rPr>
      </w:pPr>
    </w:p>
    <w:p w:rsidR="00E97F6E" w:rsidP="007300E8" w:rsidRDefault="00E97F6E">
      <w:pPr>
        <w:rPr>
          <w:rFonts w:ascii="Times New Roman" w:hAnsi="Times New Roman" w:eastAsia="Calibri"/>
          <w:sz w:val="24"/>
          <w:lang w:eastAsia="en-US"/>
        </w:rPr>
      </w:pPr>
      <w:r w:rsidRPr="007300E8">
        <w:rPr>
          <w:rFonts w:ascii="Times New Roman" w:hAnsi="Times New Roman" w:eastAsia="Calibri"/>
          <w:sz w:val="24"/>
          <w:lang w:eastAsia="en-US"/>
        </w:rPr>
        <w:t>AFDELING 13.6 KOSTENVERHAAL BIJ BOUWACTIVITEITEN EN ACTIVITEITEN VANWEGE GEBRUIKSWIJZIGINGEN</w:t>
      </w:r>
    </w:p>
    <w:p w:rsidRPr="007300E8" w:rsidR="007300E8" w:rsidP="007300E8" w:rsidRDefault="007300E8">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13.6.1 Kostenverhaalsplicht en verbod</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13.11 (verhalen van kosten) </w:t>
      </w:r>
    </w:p>
    <w:p w:rsidRPr="00E97F6E" w:rsidR="00E97F6E" w:rsidP="00E97F6E" w:rsidRDefault="00E97F6E">
      <w:pPr>
        <w:rPr>
          <w:rFonts w:ascii="Times New Roman" w:hAnsi="Times New Roman" w:eastAsia="Calibri"/>
          <w:sz w:val="24"/>
          <w:lang w:eastAsia="en-US"/>
        </w:rPr>
      </w:pP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Op degene die bij algemene maatregel van bestuur aan te wijzen bouwactiviteiten of activiteiten met het oog op het gebruik op grond van een nieuw toegedeelde functie verricht, verhaalt het bestuursorgaan de kosten die het vanwege bij die maatregel aangewezen kostensoorten maakt, voor zover:</w:t>
      </w: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kostensoorten toerekenbaar zijn aan het kostenverhaalsgebied, en</w:t>
      </w: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de kosten proportioneel zijn in verhouding tot het profijt dat het kostenverhaalsgebied van de kostensoorten heeft. </w:t>
      </w: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algemene maatregel van bestuur wordt bepaald in welke gevallen het bestuursorgaan kan besluiten</w:t>
      </w:r>
      <w:r w:rsidR="007300E8">
        <w:rPr>
          <w:rFonts w:ascii="Times New Roman" w:hAnsi="Times New Roman" w:eastAsia="Calibri"/>
          <w:sz w:val="24"/>
          <w:lang w:eastAsia="en-US"/>
        </w:rPr>
        <w:t xml:space="preserve"> om de kosten niet te verhalen.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13.12 (verbod activiteit te verrichten)</w:t>
      </w:r>
    </w:p>
    <w:p w:rsidRPr="00E97F6E" w:rsidR="00E97F6E" w:rsidP="00E97F6E" w:rsidRDefault="00E97F6E">
      <w:pPr>
        <w:rPr>
          <w:rFonts w:ascii="Times New Roman" w:hAnsi="Times New Roman" w:eastAsia="Calibri"/>
          <w:sz w:val="24"/>
          <w:lang w:eastAsia="en-US"/>
        </w:rPr>
      </w:pP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Het is verboden een op grond van artikel 13.11, eerste lid, aangewezen activiteit te verrichten, voordat de op grond van deze afdeling verschuldigde kosten zijn betaald.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13.6.2 Kostenverhaal langs privaatrechtelijke weg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13.13 (kostenverhaal bij overeenkomst)</w:t>
      </w:r>
    </w:p>
    <w:p w:rsidRPr="00E97F6E" w:rsidR="00E97F6E" w:rsidP="00E97F6E" w:rsidRDefault="00E97F6E">
      <w:pPr>
        <w:rPr>
          <w:rFonts w:ascii="Times New Roman" w:hAnsi="Times New Roman" w:eastAsia="Calibri"/>
          <w:sz w:val="24"/>
          <w:lang w:eastAsia="en-US"/>
        </w:rPr>
      </w:pPr>
    </w:p>
    <w:p w:rsidRPr="00E97F6E" w:rsidR="00E97F6E" w:rsidP="005E5A3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rechtspersoon waarvan het bestuursorgaan een orgaan is, kan met degene die kosten is verschuldigd een overeenkomst aangaan over kostenverhaal.</w:t>
      </w:r>
    </w:p>
    <w:p w:rsidRPr="00E97F6E" w:rsidR="00E97F6E" w:rsidP="005E5A3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w:t>
      </w:r>
      <w:r w:rsidRPr="00E97F6E">
        <w:rPr>
          <w:rFonts w:ascii="Times New Roman" w:hAnsi="Times New Roman"/>
          <w:sz w:val="24"/>
        </w:rPr>
        <w:t xml:space="preserve"> </w:t>
      </w:r>
      <w:r w:rsidRPr="00E97F6E">
        <w:rPr>
          <w:rFonts w:ascii="Times New Roman" w:hAnsi="Times New Roman" w:eastAsia="Calibri"/>
          <w:sz w:val="24"/>
          <w:lang w:eastAsia="en-US"/>
        </w:rPr>
        <w:t>Bij de overeenkomst kan worden bepaald dat de betaling geheel of gedeeltelijk na aanvang van de activiteit plaatsvindt, mits aan de overeenkomst voorwaarden worden verbonden over het stellen van aanvullende zekerheden voor de betaling. In dat geval geldt het verbod, bedoeld in artikel 13.12, niet.</w:t>
      </w:r>
    </w:p>
    <w:p w:rsidRPr="00E97F6E" w:rsidR="00E97F6E" w:rsidP="005E5A3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Paragraaf 13.6.3 is niet van toepassing voor zover het verhalen van kosten als bedoeld in artikel 13.11, eerste lid, is verzekerd vanwege een overeenkomst als bedoeld in het eerste lid.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13.6.3 Kostenverhaal langs publiekrechtelijke weg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13.14 (kostenverhaal</w:t>
      </w:r>
      <w:r w:rsidRPr="00E97F6E">
        <w:rPr>
          <w:rFonts w:ascii="Times New Roman" w:hAnsi="Times New Roman"/>
          <w:sz w:val="24"/>
        </w:rPr>
        <w:t xml:space="preserve"> </w:t>
      </w:r>
      <w:r w:rsidRPr="00E97F6E">
        <w:rPr>
          <w:rFonts w:ascii="Times New Roman" w:hAnsi="Times New Roman"/>
          <w:b/>
          <w:sz w:val="24"/>
        </w:rPr>
        <w:t>met tijdvak</w:t>
      </w:r>
      <w:r w:rsidRPr="00E97F6E">
        <w:rPr>
          <w:rFonts w:ascii="Times New Roman" w:hAnsi="Times New Roman" w:eastAsia="Calibri"/>
          <w:b/>
          <w:sz w:val="24"/>
          <w:lang w:eastAsia="en-US"/>
        </w:rPr>
        <w:t xml:space="preserve"> in omgevingsplan, omgevingsvergunning en projectbesluit)</w:t>
      </w:r>
    </w:p>
    <w:p w:rsidRPr="00E97F6E" w:rsidR="00E97F6E" w:rsidP="00E97F6E" w:rsidRDefault="00E97F6E">
      <w:pPr>
        <w:rPr>
          <w:rFonts w:ascii="Times New Roman" w:hAnsi="Times New Roman" w:eastAsia="Calibri"/>
          <w:sz w:val="24"/>
          <w:lang w:eastAsia="en-US"/>
        </w:rPr>
      </w:pP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In het omgevingsplan: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a. worden kostenverhaalsgebieden aangewezen waarvoor de kosten, bedoeld in artikel 13.11, eerste lid, worden gemaakt,</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wordt per kostenverhaalsgebied bepaald welke kostensoorten waarvan het gebied ten dele profijt heeft, naar evenredigheid aan dat kostenverhaalsgebied worden toegerekend,</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wordt per kostenverhaalsgebied een raming van de kosten opgenomen,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 wordt per kostenverhaalsgebied een raming van de opbrengsten van alle daarin gelegen gronden opgenomen, 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 worden per kostenverhaalsgebied regels gesteld over:</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w:t>
      </w:r>
      <w:r w:rsidRPr="00E97F6E">
        <w:rPr>
          <w:rFonts w:ascii="Times New Roman" w:hAnsi="Times New Roman" w:eastAsia="Calibri"/>
          <w:sz w:val="24"/>
          <w:vertAlign w:val="superscript"/>
          <w:lang w:eastAsia="en-US"/>
        </w:rPr>
        <w:t>o</w:t>
      </w:r>
      <w:r w:rsidRPr="00E97F6E">
        <w:rPr>
          <w:rFonts w:ascii="Times New Roman" w:hAnsi="Times New Roman" w:eastAsia="Calibri"/>
          <w:sz w:val="24"/>
          <w:lang w:eastAsia="en-US"/>
        </w:rPr>
        <w:t>. de verdeling van de kosten over de activiteiten, 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w:t>
      </w:r>
      <w:r w:rsidRPr="00E97F6E">
        <w:rPr>
          <w:rFonts w:ascii="Times New Roman" w:hAnsi="Times New Roman" w:eastAsia="Calibri"/>
          <w:sz w:val="24"/>
          <w:vertAlign w:val="superscript"/>
          <w:lang w:eastAsia="en-US"/>
        </w:rPr>
        <w:t>o</w:t>
      </w:r>
      <w:r w:rsidRPr="00E97F6E">
        <w:rPr>
          <w:rFonts w:ascii="Times New Roman" w:hAnsi="Times New Roman" w:eastAsia="Calibri"/>
          <w:sz w:val="24"/>
          <w:lang w:eastAsia="en-US"/>
        </w:rPr>
        <w:t>. de eindafrekening van de kosten.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de te verhalen kosten, verminderd met de door het bestuursorgaan ontvangen of te ontvangen bijdragen en subsidies van derden, hoger zijn dan de opbrengsten van de gronden binnen het kostenverhaalsgebied, kan het bestuursorgaan die kosten slechts verhalen tot ten hoogste het bedrag van die opbrengsten.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Het eerste en tweede lid zijn van overeenkomstige toepassing op:</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omgevingsvergunning voor een buitenplanse omgevingsplanactiviteit</w:t>
      </w:r>
      <w:r w:rsidRPr="00E97F6E">
        <w:rPr>
          <w:rFonts w:ascii="Times New Roman" w:hAnsi="Times New Roman" w:eastAsia="Verdana"/>
          <w:sz w:val="24"/>
        </w:rPr>
        <w:t>, voor zover sprake is van een activiteit die in strijd is met een in het omgevingsplan aan een locatie toegedeelde functie</w:t>
      </w:r>
      <w:r w:rsidRPr="00E97F6E">
        <w:rPr>
          <w:rFonts w:ascii="Times New Roman" w:hAnsi="Times New Roman" w:eastAsia="Calibri"/>
          <w:sz w:val="24"/>
          <w:lang w:eastAsia="en-US"/>
        </w:rPr>
        <w:t>,</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een projectbesluit.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13.15 (kostenverhaal zonder tijdvak in omgevingsplan) </w:t>
      </w:r>
    </w:p>
    <w:p w:rsidRPr="00E97F6E" w:rsidR="00E97F6E" w:rsidP="00E97F6E" w:rsidRDefault="00E97F6E">
      <w:pPr>
        <w:rPr>
          <w:rFonts w:ascii="Times New Roman" w:hAnsi="Times New Roman" w:eastAsia="Calibri"/>
          <w:sz w:val="24"/>
          <w:lang w:eastAsia="en-US"/>
        </w:rPr>
      </w:pP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Als voor een kostenverhaalsgebied in een omgevingsplan geen tijdvak voor de uitvoering van de werken, werkzaamheden en maatregelen en de activiteiten is vastgesteld, is artikel 13.14, eerste lid, van overeenkomstige toepassing, met dien verstande dat: </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in artikel 13.14, eerste lid, onder c, bedoelde raming kan inhouden dat alleen het maximum van de globaal te verhalen kosten als geheel per kostenverhaalsgebied wordt opgenomen, en</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artikel 13.14, onder d, buiten toepassing kan blijven.</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toepassing van het eerste lid:</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houdt de verdeling, bedoeld in artikel 13.14, eerste lid, onder e, onder 1</w:t>
      </w:r>
      <w:r w:rsidRPr="00E97F6E">
        <w:rPr>
          <w:rFonts w:ascii="Times New Roman" w:hAnsi="Times New Roman" w:eastAsia="Calibri"/>
          <w:sz w:val="24"/>
          <w:vertAlign w:val="superscript"/>
          <w:lang w:eastAsia="en-US"/>
        </w:rPr>
        <w:t>o</w:t>
      </w:r>
      <w:r w:rsidRPr="00E97F6E">
        <w:rPr>
          <w:rFonts w:ascii="Times New Roman" w:hAnsi="Times New Roman" w:eastAsia="Calibri"/>
          <w:sz w:val="24"/>
          <w:lang w:eastAsia="en-US"/>
        </w:rPr>
        <w:t xml:space="preserve">, ook in dat per activiteit het maximum van de te verhalen kosten wordt opgenomen, en  </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is artikel 13.14, tweede lid, niet van toepassing en geldt in plaats daarvan dat de kosten worden verhaald tot ten hoogste het bedrag van de waardevermeerdering van de locatie waar de activiteit wordt verricht, die optreedt of zal optreden als gevolg van de activiteit.</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Bij het op grond van artikel 13.11, eerste lid, aanhef, bij algemene maatregel van bestuur aanwijzen van kostensoorten kan onderscheid worden gemaakt tussen kostenverhaalsgebieden waarvoor wel een tijdvak en die waarvoor geen tijdvak voor de uitvoering van de werken, werkzaamheden en maatregelen en de activiteiten is opgenomen.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13.16 (verdeling van de kosten)</w:t>
      </w:r>
    </w:p>
    <w:p w:rsidRPr="00E97F6E" w:rsidR="00E97F6E" w:rsidP="00E97F6E" w:rsidRDefault="00E97F6E">
      <w:pPr>
        <w:rPr>
          <w:rFonts w:ascii="Times New Roman" w:hAnsi="Times New Roman" w:eastAsia="Calibri"/>
          <w:b/>
          <w:sz w:val="24"/>
          <w:lang w:eastAsia="en-US"/>
        </w:rPr>
      </w:pP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verschuldigde geldsom wordt berekend door de kosten over de activiteiten te verdelen naar rato van de opbrengsten van de gronden.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13.17 (opbrengsten, waardevermeerdering en inbrengwaarde van gronden)</w:t>
      </w:r>
    </w:p>
    <w:p w:rsidRPr="00E97F6E" w:rsidR="00E97F6E" w:rsidP="00E97F6E" w:rsidRDefault="00E97F6E">
      <w:pPr>
        <w:rPr>
          <w:rFonts w:ascii="Times New Roman" w:hAnsi="Times New Roman" w:eastAsia="Calibri"/>
          <w:sz w:val="24"/>
          <w:lang w:eastAsia="en-US"/>
        </w:rPr>
      </w:pP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1. De opbrengsten, bedoeld in artikel 13.14, tweede lid, de waardevermeerdering, bedoeld in artikel 13.15, tweede lid, en de inbrengwaarde van de gronden, bedoeld in artikel 13.18, tweede lid, onder a, worden geraamd op basis van objectief bepaalbare maatstaven.</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algemene maatregel van bestuur worden nadere regels gesteld over de in het eerste lid bedoelde ramingen.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w:t>
      </w:r>
      <w:r w:rsidR="004A4FC6">
        <w:rPr>
          <w:rFonts w:ascii="Times New Roman" w:hAnsi="Times New Roman" w:eastAsia="Calibri"/>
          <w:b/>
          <w:sz w:val="24"/>
          <w:lang w:eastAsia="en-US"/>
        </w:rPr>
        <w:t>3.18 (wijze van kostenverhaal)</w:t>
      </w:r>
    </w:p>
    <w:p w:rsidRPr="00E97F6E" w:rsidR="00E97F6E" w:rsidP="00E97F6E" w:rsidRDefault="00E97F6E">
      <w:pPr>
        <w:rPr>
          <w:rFonts w:ascii="Times New Roman" w:hAnsi="Times New Roman" w:eastAsia="Calibri"/>
          <w:sz w:val="24"/>
          <w:lang w:eastAsia="en-US"/>
        </w:rPr>
      </w:pP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Als er geen overeenkomst is aangegaan, wordt de verschuldigde geldsom door het college van burgemeesters en wethouders, gedeputeerde staten of Onze Minister die het aangaat bij beschikking vastgesteld volgens hetgeen daarover is bepaald in of op grond van deze wet en in het omgevingsplan, </w:t>
      </w:r>
      <w:r w:rsidRPr="00EA2CC2" w:rsidR="00EA2CC2">
        <w:rPr>
          <w:rFonts w:ascii="Times New Roman" w:hAnsi="Times New Roman" w:eastAsia="Calibri"/>
          <w:sz w:val="24"/>
          <w:lang w:eastAsia="en-US"/>
        </w:rPr>
        <w:t>de omgevingsvergunning, bedoeld in artikel 13.14, derde lid, onder a,</w:t>
      </w:r>
      <w:r w:rsidRPr="00E97F6E">
        <w:rPr>
          <w:rFonts w:ascii="Times New Roman" w:hAnsi="Times New Roman" w:eastAsia="Calibri"/>
          <w:sz w:val="24"/>
          <w:lang w:eastAsia="en-US"/>
        </w:rPr>
        <w:t xml:space="preserve"> of het projectbesluit.</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toepassing is gegeven aan artikel 13.14 worden in mindering gebracht:</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inbrengwaarde van de gronden waarop de aanvraag betrekking heeft, en</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kosten die door de aanvrager zijn gemaakt, voor zover die kosten gelijk zijn aan of lager zijn dan de raming van de kosten in het</w:t>
      </w:r>
      <w:r w:rsidRPr="00E97F6E">
        <w:rPr>
          <w:rFonts w:ascii="Times New Roman" w:hAnsi="Times New Roman"/>
          <w:sz w:val="24"/>
        </w:rPr>
        <w:t xml:space="preserve"> </w:t>
      </w:r>
      <w:r w:rsidRPr="00E97F6E">
        <w:rPr>
          <w:rFonts w:ascii="Times New Roman" w:hAnsi="Times New Roman" w:eastAsia="Calibri"/>
          <w:sz w:val="24"/>
          <w:lang w:eastAsia="en-US"/>
        </w:rPr>
        <w:t xml:space="preserve">omgevingsplan, de omgevingsvergunning, bedoeld in artikel 13.14, derde lid, </w:t>
      </w:r>
      <w:r w:rsidR="00D27E52">
        <w:rPr>
          <w:rFonts w:ascii="Times New Roman" w:hAnsi="Times New Roman" w:eastAsia="Calibri"/>
          <w:sz w:val="24"/>
          <w:lang w:eastAsia="en-US"/>
        </w:rPr>
        <w:t>onder a, of het projectbesluit.</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toepassing is gegeven aan artikel 13.15 bevat de beschikking een raming van de kosten en van de waardevermeerdering waarop de vers</w:t>
      </w:r>
      <w:r w:rsidR="00D27E52">
        <w:rPr>
          <w:rFonts w:ascii="Times New Roman" w:hAnsi="Times New Roman" w:eastAsia="Calibri"/>
          <w:sz w:val="24"/>
          <w:lang w:eastAsia="en-US"/>
        </w:rPr>
        <w:t>chuldigde geldsom is gebaseerd.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13.19 (</w:t>
      </w:r>
      <w:r w:rsidR="00D27E52">
        <w:rPr>
          <w:rFonts w:ascii="Times New Roman" w:hAnsi="Times New Roman" w:eastAsia="Calibri"/>
          <w:b/>
          <w:sz w:val="24"/>
          <w:lang w:eastAsia="en-US"/>
        </w:rPr>
        <w:t>betaling na aanvang activiteit)</w:t>
      </w:r>
    </w:p>
    <w:p w:rsidRPr="00E97F6E" w:rsidR="00E97F6E" w:rsidP="00E97F6E" w:rsidRDefault="00E97F6E">
      <w:pPr>
        <w:rPr>
          <w:rFonts w:ascii="Times New Roman" w:hAnsi="Times New Roman" w:eastAsia="Calibri"/>
          <w:b/>
          <w:sz w:val="24"/>
          <w:lang w:eastAsia="en-US"/>
        </w:rPr>
      </w:pP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Bij de beschikking kan worden bepaald dat de betaling geheel of gedeeltelijk na aanvang van de activiteit plaatsvindt, mits aan de beschikking voorschriften worden verbonden over het stellen van aanvullende zekerheden voor de betaling van de verschuldigde geldsom. Het verbod, bedoeld in artikel 13.12, geldt dan niet.</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het uitblijven van betaling kan het bestuursorgaan de verschuldigde geldsom invorderen bij dwangbevel.</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13.20 (voorwaarden eindafrekening)</w:t>
      </w:r>
    </w:p>
    <w:p w:rsidRPr="00E97F6E" w:rsidR="00E97F6E" w:rsidP="00E97F6E" w:rsidRDefault="00E97F6E">
      <w:pPr>
        <w:rPr>
          <w:rFonts w:ascii="Times New Roman" w:hAnsi="Times New Roman" w:eastAsia="Calibri"/>
          <w:sz w:val="24"/>
          <w:lang w:eastAsia="en-US"/>
        </w:rPr>
      </w:pPr>
    </w:p>
    <w:p w:rsidRPr="00E97F6E" w:rsidR="00E97F6E" w:rsidP="00D27E5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regeling voor de eindafrekening, bedoeld in artikel 13.14, eerste lid, onderdeel e, onder 2</w:t>
      </w:r>
      <w:r w:rsidRPr="00E97F6E">
        <w:rPr>
          <w:rFonts w:ascii="Times New Roman" w:hAnsi="Times New Roman" w:eastAsia="Calibri"/>
          <w:sz w:val="24"/>
          <w:vertAlign w:val="superscript"/>
          <w:lang w:eastAsia="en-US"/>
        </w:rPr>
        <w:t>o</w:t>
      </w:r>
      <w:r w:rsidRPr="00E97F6E">
        <w:rPr>
          <w:rFonts w:ascii="Times New Roman" w:hAnsi="Times New Roman" w:eastAsia="Calibri"/>
          <w:sz w:val="24"/>
          <w:lang w:eastAsia="en-US"/>
        </w:rPr>
        <w:t>, leidt er niet toe dat er een aanvu</w:t>
      </w:r>
      <w:r w:rsidR="00D27E52">
        <w:rPr>
          <w:rFonts w:ascii="Times New Roman" w:hAnsi="Times New Roman" w:eastAsia="Calibri"/>
          <w:sz w:val="24"/>
          <w:lang w:eastAsia="en-US"/>
        </w:rPr>
        <w:t>llende geldsom is verschuldigd.</w:t>
      </w:r>
    </w:p>
    <w:p w:rsidRPr="00E97F6E" w:rsidR="00E97F6E" w:rsidP="00D27E5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een opnieuw berekende geldsom meer dan vijf procent lager is dan de op grond van de beschikking betaalde geldsom, betaalt het bestuursorgaan binnen vier weken na de eindafrekening het verschil, voor zover het groter is dan vijf procent, naar evenredigheid terug met rente.</w:t>
      </w:r>
    </w:p>
    <w:p w:rsidRPr="00E97F6E" w:rsidR="00E97F6E" w:rsidP="00D27E5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Op verzoek van een belanghebbende heeft eindafrekening van een locatie plaats als dat verzoek ten minste vijf jaar na betaling van de verschuldigde geldsom wordt </w:t>
      </w:r>
      <w:r w:rsidR="00D27E52">
        <w:rPr>
          <w:rFonts w:ascii="Times New Roman" w:hAnsi="Times New Roman" w:eastAsia="Calibri"/>
          <w:sz w:val="24"/>
          <w:lang w:eastAsia="en-US"/>
        </w:rPr>
        <w:t>gedaan.</w:t>
      </w:r>
    </w:p>
    <w:p w:rsidRPr="00E97F6E" w:rsidR="00E97F6E" w:rsidP="00D27E5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Bij algemene maatregel van bestuur worden nadere regels gesteld over een eindafrekening</w:t>
      </w:r>
      <w:r w:rsidR="00D27E52">
        <w:rPr>
          <w:rFonts w:ascii="Times New Roman" w:hAnsi="Times New Roman" w:eastAsia="Calibri"/>
          <w:sz w:val="24"/>
          <w:lang w:eastAsia="en-US"/>
        </w:rPr>
        <w:t xml:space="preserve"> als bedoeld in het derde lid.</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13.21 (hoogte en begrenzing van kostensoorten)</w:t>
      </w:r>
    </w:p>
    <w:p w:rsidRPr="00E97F6E" w:rsidR="00E97F6E" w:rsidP="00E97F6E" w:rsidRDefault="00E97F6E">
      <w:pPr>
        <w:rPr>
          <w:rFonts w:ascii="Times New Roman" w:hAnsi="Times New Roman" w:eastAsia="Calibri"/>
          <w:b/>
          <w:sz w:val="24"/>
          <w:lang w:eastAsia="en-US"/>
        </w:rPr>
      </w:pPr>
    </w:p>
    <w:p w:rsidRPr="00E97F6E" w:rsidR="00E97F6E" w:rsidP="00D27E5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Bij regeling van Onze Minister van Binnenlandse Zaken en Koninkrijksrelaties worden regels gesteld over de hoogte en de begrenzing van een of meer van de kostensoorten. Daarbij kan onderscheid worden gemaakt naar het type locatie en de aard en omvang van de activiteit.</w:t>
      </w:r>
    </w:p>
    <w:p w:rsidRPr="0056683A" w:rsidR="0056683A" w:rsidP="0056683A" w:rsidRDefault="0056683A">
      <w:pPr>
        <w:spacing w:after="200" w:line="276" w:lineRule="auto"/>
        <w:rPr>
          <w:rFonts w:ascii="Times New Roman" w:hAnsi="Times New Roman" w:eastAsia="Verdana" w:cs="Verdana"/>
          <w:sz w:val="24"/>
          <w:szCs w:val="20"/>
        </w:rPr>
      </w:pPr>
      <w:r>
        <w:rPr>
          <w:rFonts w:ascii="Times New Roman" w:hAnsi="Times New Roman" w:eastAsia="Verdana" w:cs="Verdana"/>
          <w:sz w:val="24"/>
          <w:szCs w:val="20"/>
        </w:rPr>
        <w:lastRenderedPageBreak/>
        <w:br/>
      </w:r>
      <w:r w:rsidRPr="0056683A">
        <w:rPr>
          <w:rFonts w:ascii="Times New Roman" w:hAnsi="Times New Roman" w:eastAsia="Verdana" w:cs="Verdana"/>
          <w:sz w:val="24"/>
          <w:szCs w:val="20"/>
        </w:rPr>
        <w:t>AFDELING 13.7 FINANCIËLE BIJDRAGEN VOOR ONTWIKKELINGEN VAN EEN GEBIED</w:t>
      </w:r>
      <w:r>
        <w:rPr>
          <w:rFonts w:ascii="Times New Roman" w:hAnsi="Times New Roman" w:eastAsia="Verdana" w:cs="Verdana"/>
          <w:sz w:val="24"/>
          <w:szCs w:val="20"/>
        </w:rPr>
        <w:br/>
      </w:r>
      <w:r>
        <w:rPr>
          <w:rFonts w:ascii="Times New Roman" w:hAnsi="Times New Roman" w:eastAsia="Verdana" w:cs="Verdana"/>
          <w:sz w:val="24"/>
          <w:szCs w:val="20"/>
        </w:rPr>
        <w:br/>
      </w:r>
      <w:r w:rsidRPr="0056683A">
        <w:rPr>
          <w:rFonts w:ascii="Times New Roman" w:hAnsi="Times New Roman" w:eastAsia="Verdana" w:cs="Verdana"/>
          <w:b/>
          <w:sz w:val="24"/>
          <w:szCs w:val="20"/>
        </w:rPr>
        <w:t>Artikel 13.22 (financiële bijdragen voor ontwikkelingen van een gebied)</w:t>
      </w:r>
      <w:r>
        <w:rPr>
          <w:rFonts w:ascii="Times New Roman" w:hAnsi="Times New Roman" w:eastAsia="Verdana" w:cs="Verdana"/>
          <w:b/>
          <w:sz w:val="24"/>
          <w:szCs w:val="20"/>
        </w:rPr>
        <w:br/>
      </w:r>
      <w:r>
        <w:rPr>
          <w:rFonts w:ascii="Times New Roman" w:hAnsi="Times New Roman" w:eastAsia="Verdana" w:cs="Verdana"/>
          <w:b/>
          <w:sz w:val="24"/>
          <w:szCs w:val="20"/>
        </w:rPr>
        <w:br/>
      </w:r>
      <w:r w:rsidRPr="0056683A">
        <w:rPr>
          <w:rFonts w:ascii="Times New Roman" w:hAnsi="Times New Roman" w:eastAsia="Verdana" w:cs="Verdana"/>
          <w:sz w:val="24"/>
          <w:szCs w:val="20"/>
        </w:rPr>
        <w:tab/>
        <w:t>1. Het college van burgemeester en wethouders, gedeputeerde staten of Onze Minister van Binnenlandse Zaken en Koninkrijksrelaties kunnen in een overeenkomst over bij algemene maatregel van bestuur aangewezen activiteiten bepalingen opnemen over financiële bijdragen voor ontwikkelingen van een gebied op basis van een omgevingsvisie of programma.</w:t>
      </w:r>
    </w:p>
    <w:p w:rsidRPr="0056683A" w:rsidR="0056683A" w:rsidP="0056683A" w:rsidRDefault="0056683A">
      <w:pPr>
        <w:spacing w:line="276" w:lineRule="auto"/>
        <w:rPr>
          <w:rFonts w:ascii="Times New Roman" w:hAnsi="Times New Roman" w:eastAsia="Verdana" w:cs="Verdana"/>
          <w:sz w:val="24"/>
          <w:szCs w:val="20"/>
        </w:rPr>
      </w:pPr>
      <w:r w:rsidRPr="0056683A">
        <w:rPr>
          <w:rFonts w:ascii="Times New Roman" w:hAnsi="Times New Roman" w:eastAsia="Verdana" w:cs="Verdana"/>
          <w:sz w:val="24"/>
          <w:szCs w:val="20"/>
        </w:rPr>
        <w:tab/>
        <w:t>2. Op de overeenkomst is artikel 16.138 van overeenkomstige toepassing.</w:t>
      </w:r>
    </w:p>
    <w:p w:rsidRPr="00E97F6E" w:rsidR="00E97F6E" w:rsidP="00E97F6E" w:rsidRDefault="00E97F6E">
      <w:pPr>
        <w:rPr>
          <w:rFonts w:ascii="Times New Roman" w:hAnsi="Times New Roman" w:eastAsia="Calibri"/>
          <w:b/>
          <w:sz w:val="24"/>
          <w:lang w:eastAsia="en-US"/>
        </w:rPr>
      </w:pPr>
    </w:p>
    <w:p w:rsidR="00E97F6E" w:rsidP="00D27E52" w:rsidRDefault="00E97F6E">
      <w:pPr>
        <w:rPr>
          <w:rFonts w:ascii="Times New Roman" w:hAnsi="Times New Roman" w:eastAsia="Verdana"/>
          <w:sz w:val="24"/>
        </w:rPr>
      </w:pPr>
      <w:r w:rsidRPr="00D27E52">
        <w:rPr>
          <w:rFonts w:ascii="Times New Roman" w:hAnsi="Times New Roman" w:eastAsia="Verdana"/>
          <w:sz w:val="24"/>
        </w:rPr>
        <w:t>J</w:t>
      </w:r>
    </w:p>
    <w:p w:rsidRPr="00D27E52" w:rsidR="00D27E52" w:rsidP="00D27E52" w:rsidRDefault="00D27E52">
      <w:pPr>
        <w:rPr>
          <w:rFonts w:ascii="Times New Roman" w:hAnsi="Times New Roman" w:eastAsia="Verdana"/>
          <w:sz w:val="24"/>
        </w:rPr>
      </w:pPr>
    </w:p>
    <w:p w:rsidR="00E97F6E" w:rsidP="00D27E52" w:rsidRDefault="00E97F6E">
      <w:pPr>
        <w:ind w:firstLine="284"/>
        <w:rPr>
          <w:rFonts w:ascii="Times New Roman" w:hAnsi="Times New Roman" w:eastAsia="Verdana"/>
          <w:sz w:val="24"/>
        </w:rPr>
      </w:pPr>
      <w:r w:rsidRPr="00D27E52">
        <w:rPr>
          <w:rFonts w:ascii="Times New Roman" w:hAnsi="Times New Roman" w:eastAsia="Verdana"/>
          <w:sz w:val="24"/>
        </w:rPr>
        <w:t>Hoofdstuk 15 wordt als volgt gewijzigd:</w:t>
      </w:r>
    </w:p>
    <w:p w:rsidR="00EA2CC2" w:rsidP="00D27E52" w:rsidRDefault="00EA2CC2">
      <w:pPr>
        <w:ind w:firstLine="284"/>
        <w:rPr>
          <w:rFonts w:ascii="Times New Roman" w:hAnsi="Times New Roman" w:eastAsia="Verdana"/>
          <w:sz w:val="24"/>
        </w:rPr>
      </w:pPr>
    </w:p>
    <w:p w:rsidR="00EA2CC2" w:rsidP="00D27E52" w:rsidRDefault="00EA2CC2">
      <w:pPr>
        <w:ind w:firstLine="284"/>
        <w:rPr>
          <w:rFonts w:ascii="Times New Roman" w:hAnsi="Times New Roman" w:eastAsia="Verdana"/>
          <w:sz w:val="24"/>
        </w:rPr>
      </w:pPr>
      <w:r w:rsidRPr="00EA2CC2">
        <w:rPr>
          <w:rFonts w:ascii="Times New Roman" w:hAnsi="Times New Roman" w:eastAsia="Verdana"/>
          <w:sz w:val="24"/>
        </w:rPr>
        <w:t>1. In artikel 15.11 vervalt “op deze afdeling”.</w:t>
      </w:r>
    </w:p>
    <w:p w:rsidRPr="00D27E52" w:rsidR="00D27E52" w:rsidP="00D27E52" w:rsidRDefault="00D27E52">
      <w:pPr>
        <w:rPr>
          <w:rFonts w:ascii="Times New Roman" w:hAnsi="Times New Roman" w:eastAsia="Verdana"/>
          <w:sz w:val="24"/>
        </w:rPr>
      </w:pPr>
    </w:p>
    <w:p w:rsidRPr="00E97F6E" w:rsidR="00E97F6E" w:rsidP="00D27E52" w:rsidRDefault="00EA2CC2">
      <w:pPr>
        <w:spacing w:after="200"/>
        <w:ind w:firstLine="284"/>
        <w:contextualSpacing/>
        <w:rPr>
          <w:rFonts w:ascii="Times New Roman" w:hAnsi="Times New Roman" w:eastAsia="Verdana"/>
          <w:sz w:val="24"/>
        </w:rPr>
      </w:pPr>
      <w:r>
        <w:rPr>
          <w:rFonts w:ascii="Times New Roman" w:hAnsi="Times New Roman" w:eastAsia="Verdana"/>
          <w:sz w:val="24"/>
        </w:rPr>
        <w:t>2</w:t>
      </w:r>
      <w:r w:rsidRPr="00E97F6E" w:rsidR="00E97F6E">
        <w:rPr>
          <w:rFonts w:ascii="Times New Roman" w:hAnsi="Times New Roman" w:eastAsia="Verdana"/>
          <w:sz w:val="24"/>
        </w:rPr>
        <w:t xml:space="preserve">. Afdeling 15.3 komt te luiden: </w:t>
      </w:r>
    </w:p>
    <w:p w:rsidRPr="00E97F6E" w:rsidR="00E97F6E" w:rsidP="00E97F6E" w:rsidRDefault="00E97F6E">
      <w:pPr>
        <w:spacing w:after="200"/>
        <w:contextualSpacing/>
        <w:rPr>
          <w:rFonts w:ascii="Times New Roman" w:hAnsi="Times New Roman" w:eastAsia="Verdana"/>
          <w:sz w:val="24"/>
        </w:rPr>
      </w:pPr>
    </w:p>
    <w:p w:rsidR="00E97F6E" w:rsidP="00D27E52" w:rsidRDefault="00E97F6E">
      <w:pPr>
        <w:rPr>
          <w:rFonts w:ascii="Times New Roman" w:hAnsi="Times New Roman" w:eastAsia="Verdana"/>
          <w:sz w:val="24"/>
        </w:rPr>
      </w:pPr>
      <w:r w:rsidRPr="00D27E52">
        <w:rPr>
          <w:rFonts w:ascii="Times New Roman" w:hAnsi="Times New Roman" w:eastAsia="Verdana"/>
          <w:sz w:val="24"/>
        </w:rPr>
        <w:t>AFDELING 15.3 SCHADELOOSSTELLING BIJ ONTEIGENING</w:t>
      </w:r>
    </w:p>
    <w:p w:rsidRPr="00D27E52" w:rsidR="00D27E52" w:rsidP="00D27E52" w:rsidRDefault="00D27E52">
      <w:pPr>
        <w:rPr>
          <w:rFonts w:ascii="Times New Roman" w:hAnsi="Times New Roman" w:eastAsia="Verdana"/>
          <w:sz w:val="24"/>
        </w:rPr>
      </w:pPr>
    </w:p>
    <w:p w:rsidR="00E97F6E" w:rsidP="00D27E52" w:rsidRDefault="00E97F6E">
      <w:pPr>
        <w:rPr>
          <w:rFonts w:ascii="Times New Roman" w:hAnsi="Times New Roman" w:eastAsia="Verdana"/>
          <w:i/>
          <w:sz w:val="24"/>
        </w:rPr>
      </w:pPr>
      <w:r w:rsidRPr="00D27E52">
        <w:rPr>
          <w:rFonts w:ascii="Times New Roman" w:hAnsi="Times New Roman" w:eastAsia="Verdana"/>
          <w:i/>
          <w:sz w:val="24"/>
        </w:rPr>
        <w:t>§ 15.3.1 Recht op en vaststelling van schadeloosstelling bij onteigening</w:t>
      </w:r>
    </w:p>
    <w:p w:rsidRPr="00D27E52" w:rsidR="00D27E52" w:rsidP="00D27E52" w:rsidRDefault="00D27E52">
      <w:pPr>
        <w:rPr>
          <w:rFonts w:ascii="Times New Roman" w:hAnsi="Times New Roman" w:eastAsia="Verdana"/>
          <w:sz w:val="24"/>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15.17 (recht op schadeloosstelling)</w:t>
      </w:r>
    </w:p>
    <w:p w:rsidRPr="00E97F6E" w:rsidR="00E97F6E" w:rsidP="00E97F6E" w:rsidRDefault="00E97F6E">
      <w:pPr>
        <w:rPr>
          <w:rFonts w:ascii="Times New Roman" w:hAnsi="Times New Roman" w:eastAsia="Calibri"/>
          <w:b/>
          <w:bCs/>
          <w:sz w:val="24"/>
          <w:lang w:eastAsia="en-US"/>
        </w:rPr>
      </w:pPr>
    </w:p>
    <w:p w:rsidRPr="00E97F6E" w:rsidR="00E97F6E" w:rsidP="00EC5671" w:rsidRDefault="00E97F6E">
      <w:pPr>
        <w:ind w:firstLine="284"/>
        <w:rPr>
          <w:rFonts w:ascii="Times New Roman" w:hAnsi="Times New Roman" w:eastAsia="Calibri"/>
          <w:bCs/>
          <w:sz w:val="24"/>
          <w:lang w:eastAsia="en-US"/>
        </w:rPr>
      </w:pPr>
      <w:r w:rsidRPr="00E97F6E">
        <w:rPr>
          <w:rFonts w:ascii="Times New Roman" w:hAnsi="Times New Roman" w:eastAsia="Calibri"/>
          <w:bCs/>
          <w:sz w:val="24"/>
          <w:lang w:eastAsia="en-US"/>
        </w:rPr>
        <w:t>De eigenaar van een zaak die in een onteigeningsbeschikking voor onteigening is aangewezen, heeft recht op schadeloosstelling.</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keepNext/>
        <w:rPr>
          <w:rFonts w:ascii="Times New Roman" w:hAnsi="Times New Roman" w:eastAsia="Calibri"/>
          <w:b/>
          <w:bCs/>
          <w:sz w:val="24"/>
          <w:lang w:eastAsia="en-US"/>
        </w:rPr>
      </w:pPr>
      <w:r w:rsidRPr="00E97F6E">
        <w:rPr>
          <w:rFonts w:ascii="Times New Roman" w:hAnsi="Times New Roman" w:eastAsia="Calibri"/>
          <w:b/>
          <w:bCs/>
          <w:sz w:val="24"/>
          <w:lang w:eastAsia="en-US"/>
        </w:rPr>
        <w:t>Artikel 15.18 (omvang schadeloosstelling)</w:t>
      </w:r>
    </w:p>
    <w:p w:rsidRPr="00E97F6E" w:rsidR="00E97F6E" w:rsidP="00E97F6E" w:rsidRDefault="00E97F6E">
      <w:pPr>
        <w:keepNext/>
        <w:rPr>
          <w:rFonts w:ascii="Times New Roman" w:hAnsi="Times New Roman" w:eastAsia="Calibri"/>
          <w:b/>
          <w:bCs/>
          <w:sz w:val="24"/>
          <w:lang w:eastAsia="en-US"/>
        </w:rPr>
      </w:pPr>
    </w:p>
    <w:p w:rsidRPr="00E97F6E" w:rsidR="00E97F6E" w:rsidP="00EC5671" w:rsidRDefault="00E97F6E">
      <w:pPr>
        <w:keepNext/>
        <w:ind w:firstLine="284"/>
        <w:rPr>
          <w:rFonts w:ascii="Times New Roman" w:hAnsi="Times New Roman" w:eastAsia="Calibri"/>
          <w:sz w:val="24"/>
          <w:lang w:eastAsia="en-US"/>
        </w:rPr>
      </w:pPr>
      <w:r w:rsidRPr="00E97F6E">
        <w:rPr>
          <w:rFonts w:ascii="Times New Roman" w:hAnsi="Times New Roman" w:eastAsia="Calibri"/>
          <w:sz w:val="24"/>
          <w:lang w:eastAsia="en-US"/>
        </w:rPr>
        <w:t>Schade die een eigenaar rechtstreeks en noodzakelijk lijdt door een onteigening op grond van deze wet wordt volledig vergoed.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keepNext/>
        <w:rPr>
          <w:rFonts w:ascii="Times New Roman" w:hAnsi="Times New Roman" w:eastAsia="Calibri"/>
          <w:b/>
          <w:sz w:val="24"/>
          <w:lang w:eastAsia="en-US"/>
        </w:rPr>
      </w:pPr>
      <w:r w:rsidRPr="00E97F6E">
        <w:rPr>
          <w:rFonts w:ascii="Times New Roman" w:hAnsi="Times New Roman" w:eastAsia="Calibri"/>
          <w:b/>
          <w:sz w:val="24"/>
          <w:lang w:eastAsia="en-US"/>
        </w:rPr>
        <w:t>Artikel 15.19 (schadeloosstelling huurverkoper)</w:t>
      </w:r>
    </w:p>
    <w:p w:rsidRPr="00E97F6E" w:rsidR="00E97F6E" w:rsidP="00E97F6E" w:rsidRDefault="00E97F6E">
      <w:pPr>
        <w:keepNext/>
        <w:rPr>
          <w:rFonts w:ascii="Times New Roman" w:hAnsi="Times New Roman" w:eastAsia="Calibri"/>
          <w:sz w:val="24"/>
          <w:lang w:eastAsia="en-US"/>
        </w:rPr>
      </w:pPr>
    </w:p>
    <w:p w:rsidRPr="00E97F6E" w:rsidR="00E97F6E" w:rsidP="00EC5671" w:rsidRDefault="00E97F6E">
      <w:pPr>
        <w:keepNext/>
        <w:ind w:firstLine="284"/>
        <w:rPr>
          <w:rFonts w:ascii="Times New Roman" w:hAnsi="Times New Roman" w:eastAsia="Calibri"/>
          <w:sz w:val="24"/>
          <w:lang w:eastAsia="en-US"/>
        </w:rPr>
      </w:pPr>
      <w:r w:rsidRPr="00E97F6E">
        <w:rPr>
          <w:rFonts w:ascii="Times New Roman" w:hAnsi="Times New Roman" w:eastAsia="Calibri"/>
          <w:sz w:val="24"/>
          <w:lang w:eastAsia="en-US"/>
        </w:rPr>
        <w:t>Bij onteigening van een krachtens huurkoop verkochte zaak wordt uit het bedrag van de werkelijke waarde van de zaak aan de huurverkoper een schadeloosstelling toegekend vanwege de aanspraken uit de huurkoopovereenkomst die hij verliest.</w:t>
      </w:r>
    </w:p>
    <w:p w:rsidRPr="00E97F6E" w:rsidR="00E97F6E" w:rsidP="00E97F6E" w:rsidRDefault="00E97F6E">
      <w:pPr>
        <w:rPr>
          <w:rFonts w:ascii="Times New Roman" w:hAnsi="Times New Roman" w:eastAsia="Calibri"/>
          <w:b/>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15.20 (peildatum)</w:t>
      </w:r>
    </w:p>
    <w:p w:rsidRPr="00E97F6E" w:rsidR="00E97F6E" w:rsidP="00E97F6E" w:rsidRDefault="00E97F6E">
      <w:pPr>
        <w:rPr>
          <w:rFonts w:ascii="Times New Roman" w:hAnsi="Times New Roman" w:eastAsia="Calibri"/>
          <w:b/>
          <w:bCs/>
          <w:sz w:val="24"/>
          <w:lang w:eastAsia="en-US"/>
        </w:rPr>
      </w:pPr>
    </w:p>
    <w:p w:rsidRPr="00E97F6E" w:rsidR="00E97F6E" w:rsidP="00EC567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Bij het vaststellen van de schadeloosstelling wordt uitgegaan van de dag waarop de onteigeningsakte is ingeschreven in de openbare registers.</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15.21 (schadeverhogende veranderingen)</w:t>
      </w:r>
    </w:p>
    <w:p w:rsidRPr="00E97F6E" w:rsidR="00E97F6E" w:rsidP="00E97F6E" w:rsidRDefault="00E97F6E">
      <w:pPr>
        <w:rPr>
          <w:rFonts w:ascii="Times New Roman" w:hAnsi="Times New Roman" w:eastAsia="Calibri"/>
          <w:b/>
          <w:bCs/>
          <w:sz w:val="24"/>
          <w:lang w:eastAsia="en-US"/>
        </w:rPr>
      </w:pP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lastRenderedPageBreak/>
        <w:t>1. Bij het vaststellen van de schadeloosstelling blijven veranderingen die kennelijk tot stand zijn gebracht om de schadeloosstelling te verhogen, buiten beschouwing.</w:t>
      </w: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2. Bij het vaststellen van de schadeloosstelling blijven veranderingen die tot stand zijn gebracht na de terinzagelegging van de ontwerponteigeningsbeschikking, buiten beschouwing, tenzij het normale of noodzakelijke veranderingen betreft die aansluiten bij de aard en het gebruik van de onroerende zaak op het tijdstip van de terinzagelegging.</w:t>
      </w:r>
    </w:p>
    <w:p w:rsidRPr="00E97F6E" w:rsidR="00E97F6E" w:rsidP="00E97F6E" w:rsidRDefault="00E97F6E">
      <w:pPr>
        <w:rPr>
          <w:rFonts w:ascii="Times New Roman" w:hAnsi="Times New Roman" w:eastAsia="Calibri"/>
          <w:bCs/>
          <w:sz w:val="24"/>
          <w:lang w:eastAsia="en-US"/>
        </w:rPr>
      </w:pPr>
    </w:p>
    <w:p w:rsidR="00E97F6E" w:rsidP="00C128EE" w:rsidRDefault="00E97F6E">
      <w:pPr>
        <w:rPr>
          <w:rFonts w:ascii="Times New Roman" w:hAnsi="Times New Roman" w:eastAsia="Verdana"/>
          <w:b/>
          <w:sz w:val="24"/>
        </w:rPr>
      </w:pPr>
      <w:r w:rsidRPr="00C128EE">
        <w:rPr>
          <w:rFonts w:ascii="Times New Roman" w:hAnsi="Times New Roman" w:eastAsia="Verdana"/>
          <w:b/>
          <w:sz w:val="24"/>
        </w:rPr>
        <w:t>Artikel 15.22 (werkelijke waarde)</w:t>
      </w:r>
    </w:p>
    <w:p w:rsidRPr="00C128EE" w:rsidR="00C128EE" w:rsidP="00C128EE" w:rsidRDefault="00C128EE">
      <w:pPr>
        <w:rPr>
          <w:rFonts w:ascii="Times New Roman" w:hAnsi="Times New Roman" w:eastAsia="Verdana"/>
          <w:b/>
          <w:sz w:val="24"/>
        </w:rPr>
      </w:pP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bCs/>
          <w:sz w:val="24"/>
          <w:lang w:eastAsia="en-US"/>
        </w:rPr>
        <w:t>1. De werkelijke waarde van de onteigende zaak wordt vergoed.</w:t>
      </w: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bCs/>
          <w:sz w:val="24"/>
          <w:lang w:eastAsia="en-US"/>
        </w:rPr>
        <w:t>2. Bij het bepalen van de werkelijke waarde wordt uitgegaan van de prijs die tot stand zou zijn gekomen bij een veronderstelde vrije koop in het economische verkeer tussen de onteigende als redelijk handelende verkoper en de onteigenaar als redelijk handelende koper.</w:t>
      </w: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3. In bijzondere gevallen wordt de werkelijke waarde naar een andere maatstaf bepaald.</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15.23 (invloed van werken en plannen voor werken)</w:t>
      </w:r>
    </w:p>
    <w:p w:rsidRPr="00E97F6E" w:rsidR="00E97F6E" w:rsidP="00E97F6E" w:rsidRDefault="00E97F6E">
      <w:pPr>
        <w:rPr>
          <w:rFonts w:ascii="Times New Roman" w:hAnsi="Times New Roman" w:eastAsia="Calibri"/>
          <w:b/>
          <w:bCs/>
          <w:sz w:val="24"/>
          <w:lang w:eastAsia="en-US"/>
        </w:rPr>
      </w:pP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Bij het vaststellen van de schadeloosstelling wordt geen rekening gehouden met voordelen of nadelen die zijn ontstaan door:</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verwezenlijking van het onteigeningsbelang waarvoor wordt onteigend, voor zover dat een overheidswerk betreft,</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overheidswerken die in verband staan met de verwezenlijking van het onteigeningsbelang waarvoor wordt onteigend,</w:t>
      </w:r>
    </w:p>
    <w:p w:rsidRPr="00E97F6E" w:rsidR="00E97F6E" w:rsidP="00C128EE" w:rsidRDefault="00E97F6E">
      <w:pPr>
        <w:ind w:firstLine="284"/>
        <w:rPr>
          <w:rFonts w:ascii="Times New Roman" w:hAnsi="Times New Roman" w:eastAsia="Calibri"/>
          <w:b/>
          <w:bCs/>
          <w:sz w:val="24"/>
          <w:lang w:eastAsia="en-US"/>
        </w:rPr>
      </w:pPr>
      <w:r w:rsidRPr="00E97F6E">
        <w:rPr>
          <w:rFonts w:ascii="Times New Roman" w:hAnsi="Times New Roman" w:eastAsia="Calibri"/>
          <w:sz w:val="24"/>
          <w:lang w:eastAsia="en-US"/>
        </w:rPr>
        <w:t>c. de plannen voor de werken, bedoeld onder a en b.</w:t>
      </w:r>
    </w:p>
    <w:p w:rsidRPr="00E97F6E" w:rsidR="00E97F6E" w:rsidP="00E97F6E" w:rsidRDefault="00E97F6E">
      <w:pPr>
        <w:rPr>
          <w:rFonts w:ascii="Times New Roman" w:hAnsi="Times New Roman" w:eastAsia="Calibri"/>
          <w:b/>
          <w:bCs/>
          <w:sz w:val="24"/>
          <w:lang w:eastAsia="en-US"/>
        </w:rPr>
      </w:pPr>
    </w:p>
    <w:p w:rsidRPr="00E97F6E" w:rsidR="00E97F6E" w:rsidP="00E97F6E" w:rsidRDefault="00E97F6E">
      <w:pPr>
        <w:spacing w:after="200"/>
        <w:rPr>
          <w:rFonts w:ascii="Times New Roman" w:hAnsi="Times New Roman" w:eastAsia="Verdana"/>
          <w:b/>
          <w:bCs/>
          <w:sz w:val="24"/>
        </w:rPr>
      </w:pPr>
      <w:r w:rsidRPr="00E97F6E">
        <w:rPr>
          <w:rFonts w:ascii="Times New Roman" w:hAnsi="Times New Roman" w:eastAsia="Verdana"/>
          <w:b/>
          <w:bCs/>
          <w:sz w:val="24"/>
        </w:rPr>
        <w:t>Artikel 15.24 (bepalen prijs bij complex)</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Bij het bepalen van de prijs van de onteigende zaak wordt rekening gehouden met:</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ter plaatse geldende voorschriften en gebruiken over baten en lasten, die uit de exploitatie van de zaak of van een complex van als één geheel in exploitatie te brengen of gebrachte zaken waarvan zij deel uitmaakt, naar verwachting zullen voortvloeien, en over de omslag van deze baten en lasten, voor zover een redelijk handelende verkoper en koper hiermee rekening plegen te houden, en</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alle functies die in het omgevingsplan zijn toegedeeld aan locaties van zaken die deel uitmaken van het complex, waarbij elke functie de waardering van alle zaken binnen het complex beïnvloedt.</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15.25 (invloed van tot uitvoering gekomen functies)</w:t>
      </w:r>
    </w:p>
    <w:p w:rsidRPr="00E97F6E" w:rsidR="00E97F6E" w:rsidP="00E97F6E" w:rsidRDefault="00E97F6E">
      <w:pPr>
        <w:rPr>
          <w:rFonts w:ascii="Times New Roman" w:hAnsi="Times New Roman" w:eastAsia="Calibri"/>
          <w:b/>
          <w:bCs/>
          <w:sz w:val="24"/>
          <w:lang w:eastAsia="en-US"/>
        </w:rPr>
      </w:pP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1. Bij het bepalen van de werkelijke waarde van de onteigende zaak wordt de prijs van de onteigende zaak verminderd of vermeerderd met voordelen of nadelen als gevolg van functies die voor het eerst of opnieuw tot verwezenlijking komen, of verwezenlijkt blijven, door de verwezenlijking van het onteigeningsbelang waarvoor wordt onteigend, voor zover deze voordelen of nadelen ook na toepassing van artikel</w:t>
      </w:r>
      <w:r w:rsidRPr="00E97F6E" w:rsidDel="00A42FC6">
        <w:rPr>
          <w:rFonts w:ascii="Times New Roman" w:hAnsi="Times New Roman" w:eastAsia="Calibri"/>
          <w:sz w:val="24"/>
          <w:lang w:eastAsia="en-US"/>
        </w:rPr>
        <w:t xml:space="preserve"> </w:t>
      </w:r>
      <w:r w:rsidRPr="00E97F6E">
        <w:rPr>
          <w:rFonts w:ascii="Times New Roman" w:hAnsi="Times New Roman" w:eastAsia="Calibri"/>
          <w:sz w:val="24"/>
          <w:lang w:eastAsia="en-US"/>
        </w:rPr>
        <w:t>15.24 redelijkerwijze niet of niet geheel ten bate of ten laste van de onteigende behoren te blijven.</w:t>
      </w: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2. Een vermeerdering van de prijs op grond van het eerste lid wordt verminderd met de vergoeding die in verband daarmee op grond van artikel 15.1, eerste lid, onder c, e, j of k, is toegekend.</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15.26 (wettelijke rente)</w:t>
      </w:r>
    </w:p>
    <w:p w:rsidRPr="00E97F6E" w:rsidR="00E97F6E" w:rsidP="00E97F6E" w:rsidRDefault="00E97F6E">
      <w:pPr>
        <w:rPr>
          <w:rFonts w:ascii="Times New Roman" w:hAnsi="Times New Roman" w:eastAsia="Calibri"/>
          <w:b/>
          <w:sz w:val="24"/>
          <w:lang w:eastAsia="en-US"/>
        </w:rPr>
      </w:pP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Onder een schadeloosstelling is de wettelijke rente daarvan begrepen. De wettelijke rente wordt gerekend vanaf de dag waarop de rechtbank de schadeloosstelling heeft vastgesteld.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15.27 (schakelbepaling voor rechten)</w:t>
      </w:r>
    </w:p>
    <w:p w:rsidRPr="00E97F6E" w:rsidR="00E97F6E" w:rsidP="00E97F6E" w:rsidRDefault="00E97F6E">
      <w:pPr>
        <w:rPr>
          <w:rFonts w:ascii="Times New Roman" w:hAnsi="Times New Roman" w:eastAsia="Calibri"/>
          <w:bCs/>
          <w:sz w:val="24"/>
          <w:lang w:eastAsia="en-US"/>
        </w:rPr>
      </w:pPr>
    </w:p>
    <w:p w:rsidR="00C128EE" w:rsidP="00C128EE" w:rsidRDefault="00E97F6E">
      <w:pPr>
        <w:ind w:firstLine="284"/>
        <w:rPr>
          <w:rFonts w:ascii="Times New Roman" w:hAnsi="Times New Roman" w:eastAsia="Calibri"/>
          <w:bCs/>
          <w:sz w:val="24"/>
          <w:lang w:eastAsia="en-US"/>
        </w:rPr>
      </w:pPr>
      <w:r w:rsidRPr="00E97F6E">
        <w:rPr>
          <w:rFonts w:ascii="Times New Roman" w:hAnsi="Times New Roman" w:eastAsia="Calibri"/>
          <w:iCs/>
          <w:sz w:val="24"/>
          <w:lang w:eastAsia="en-US"/>
        </w:rPr>
        <w:t>1. Ook recht op schadeloosstelling hebben:</w:t>
      </w:r>
    </w:p>
    <w:p w:rsidR="00C128EE" w:rsidP="00C128EE" w:rsidRDefault="00C128EE">
      <w:pPr>
        <w:ind w:firstLine="284"/>
        <w:rPr>
          <w:rFonts w:ascii="Times New Roman" w:hAnsi="Times New Roman" w:eastAsia="Verdana"/>
          <w:iCs/>
          <w:sz w:val="24"/>
        </w:rPr>
      </w:pPr>
      <w:r>
        <w:rPr>
          <w:rFonts w:ascii="Times New Roman" w:hAnsi="Times New Roman" w:eastAsia="Verdana"/>
          <w:iCs/>
          <w:sz w:val="24"/>
        </w:rPr>
        <w:t>a. erfpachters,</w:t>
      </w:r>
    </w:p>
    <w:p w:rsidR="00C128EE" w:rsidP="00C128EE" w:rsidRDefault="00C128EE">
      <w:pPr>
        <w:ind w:firstLine="284"/>
        <w:rPr>
          <w:rFonts w:ascii="Times New Roman" w:hAnsi="Times New Roman" w:eastAsia="Verdana"/>
          <w:iCs/>
          <w:sz w:val="24"/>
        </w:rPr>
      </w:pPr>
      <w:r>
        <w:rPr>
          <w:rFonts w:ascii="Times New Roman" w:hAnsi="Times New Roman" w:eastAsia="Verdana"/>
          <w:iCs/>
          <w:sz w:val="24"/>
        </w:rPr>
        <w:t xml:space="preserve">b. opstallers,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c. e</w:t>
      </w:r>
      <w:r w:rsidR="00C128EE">
        <w:rPr>
          <w:rFonts w:ascii="Times New Roman" w:hAnsi="Times New Roman" w:eastAsia="Verdana"/>
          <w:iCs/>
          <w:sz w:val="24"/>
        </w:rPr>
        <w:t xml:space="preserve">igenaren van een heersend erf,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d. rechthebbenden op re</w:t>
      </w:r>
      <w:r w:rsidR="00C128EE">
        <w:rPr>
          <w:rFonts w:ascii="Times New Roman" w:hAnsi="Times New Roman" w:eastAsia="Verdana"/>
          <w:iCs/>
          <w:sz w:val="24"/>
        </w:rPr>
        <w:t xml:space="preserve">chten van gebruik en bewoning,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e. rechthebbenden op rechten als bedoeld in artikel 150, vijfde lid, van de Overgang</w:t>
      </w:r>
      <w:r w:rsidR="00C128EE">
        <w:rPr>
          <w:rFonts w:ascii="Times New Roman" w:hAnsi="Times New Roman" w:eastAsia="Verdana"/>
          <w:iCs/>
          <w:sz w:val="24"/>
        </w:rPr>
        <w:t xml:space="preserve">swet Nieuw Burgerlijk Wetboek, </w:t>
      </w:r>
    </w:p>
    <w:p w:rsidR="00C128EE" w:rsidP="00C128EE" w:rsidRDefault="00C128EE">
      <w:pPr>
        <w:ind w:firstLine="284"/>
        <w:rPr>
          <w:rFonts w:ascii="Times New Roman" w:hAnsi="Times New Roman" w:eastAsia="Verdana"/>
          <w:iCs/>
          <w:sz w:val="24"/>
        </w:rPr>
      </w:pPr>
      <w:r>
        <w:rPr>
          <w:rFonts w:ascii="Times New Roman" w:hAnsi="Times New Roman" w:eastAsia="Verdana"/>
          <w:iCs/>
          <w:sz w:val="24"/>
        </w:rPr>
        <w:t xml:space="preserve">f. bezitters, </w:t>
      </w:r>
    </w:p>
    <w:p w:rsidR="00C128EE" w:rsidP="00C128EE" w:rsidRDefault="00C128EE">
      <w:pPr>
        <w:ind w:firstLine="284"/>
        <w:rPr>
          <w:rFonts w:ascii="Times New Roman" w:hAnsi="Times New Roman" w:eastAsia="Verdana"/>
          <w:iCs/>
          <w:sz w:val="24"/>
        </w:rPr>
      </w:pPr>
      <w:r>
        <w:rPr>
          <w:rFonts w:ascii="Times New Roman" w:hAnsi="Times New Roman" w:eastAsia="Verdana"/>
          <w:iCs/>
          <w:sz w:val="24"/>
        </w:rPr>
        <w:t xml:space="preserve">g. huurkopers,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h. huurders, waaronder ook onderhuurders aan wie bevoe</w:t>
      </w:r>
      <w:r w:rsidR="00C128EE">
        <w:rPr>
          <w:rFonts w:ascii="Times New Roman" w:hAnsi="Times New Roman" w:eastAsia="Verdana"/>
          <w:iCs/>
          <w:sz w:val="24"/>
        </w:rPr>
        <w:t xml:space="preserve">gdelijk is onderverhuurd,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i. pachters, waaronder ook onderpachters aan wie bev</w:t>
      </w:r>
      <w:r w:rsidR="00C128EE">
        <w:rPr>
          <w:rFonts w:ascii="Times New Roman" w:hAnsi="Times New Roman" w:eastAsia="Verdana"/>
          <w:iCs/>
          <w:sz w:val="24"/>
        </w:rPr>
        <w:t xml:space="preserve">oegdelijk is onderverpacht, en </w:t>
      </w:r>
    </w:p>
    <w:p w:rsidRPr="00C128E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Verdana"/>
          <w:iCs/>
          <w:sz w:val="24"/>
        </w:rPr>
        <w:t>j. schuldeisers die de nakoming van een verplichting als bedoeld in artikel 252 van Boek 6 van het Burgerlijk Wetboek kunnen vorderen.</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artikelen 15.17 tot en met 15.26 zijn overeenkomstige toepassing op het vaststellen van de schadeloosstelling voor deze rechthebbenden, tenzij in de artikelen 15.28 tot en met 15.35 anders is bepaald. </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15.28 (schadeloosstelling huurder)</w:t>
      </w:r>
    </w:p>
    <w:p w:rsidRPr="00E97F6E" w:rsidR="00E97F6E" w:rsidP="00E97F6E" w:rsidRDefault="00E97F6E">
      <w:pPr>
        <w:rPr>
          <w:rFonts w:ascii="Times New Roman" w:hAnsi="Times New Roman" w:eastAsia="Calibri"/>
          <w:b/>
          <w:bCs/>
          <w:sz w:val="24"/>
          <w:lang w:eastAsia="en-US"/>
        </w:rPr>
      </w:pPr>
    </w:p>
    <w:p w:rsidRPr="00E97F6E" w:rsidR="00E97F6E" w:rsidP="00255825" w:rsidRDefault="00E97F6E">
      <w:pPr>
        <w:ind w:firstLine="284"/>
        <w:rPr>
          <w:rFonts w:ascii="Times New Roman" w:hAnsi="Times New Roman" w:eastAsia="Calibri"/>
          <w:iCs/>
          <w:sz w:val="24"/>
          <w:lang w:eastAsia="en-US"/>
        </w:rPr>
      </w:pPr>
      <w:r w:rsidRPr="00E97F6E">
        <w:rPr>
          <w:rFonts w:ascii="Times New Roman" w:hAnsi="Times New Roman" w:eastAsia="Calibri"/>
          <w:iCs/>
          <w:sz w:val="24"/>
          <w:lang w:eastAsia="en-US"/>
        </w:rPr>
        <w:t>1. Bij het vaststellen van de schadeloosstelling voor de huurder wordt rekening gehouden met de kans dat de huurverhouding zonder de onteigening zou hebben voortgeduurd.</w:t>
      </w:r>
    </w:p>
    <w:p w:rsidRPr="00E97F6E" w:rsidR="00E97F6E" w:rsidP="00255825" w:rsidRDefault="00E97F6E">
      <w:pPr>
        <w:ind w:firstLine="284"/>
        <w:rPr>
          <w:rFonts w:ascii="Times New Roman" w:hAnsi="Times New Roman" w:eastAsia="Calibri"/>
          <w:b/>
          <w:bCs/>
          <w:sz w:val="24"/>
          <w:lang w:eastAsia="en-US"/>
        </w:rPr>
      </w:pPr>
      <w:r w:rsidRPr="00E97F6E">
        <w:rPr>
          <w:rFonts w:ascii="Times New Roman" w:hAnsi="Times New Roman" w:eastAsia="Calibri"/>
          <w:iCs/>
          <w:sz w:val="24"/>
          <w:lang w:eastAsia="en-US"/>
        </w:rPr>
        <w:t>2. Als de huurovereenkomst is aangegaan na de terinzagelegging van de ontwerponteigeningsbeschikking, heeft de huurder geen recht op schadeloosstelling. De huurder heeft dan een vordering tot schadevergoeding tegen de verhuurder, tenzij zij anders zijn overeengekomen.</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15.29 (schadeloosstelling pachter)</w:t>
      </w:r>
    </w:p>
    <w:p w:rsidRPr="00E97F6E" w:rsidR="00E97F6E" w:rsidP="00E97F6E" w:rsidRDefault="00E97F6E">
      <w:pPr>
        <w:rPr>
          <w:rFonts w:ascii="Times New Roman" w:hAnsi="Times New Roman" w:eastAsia="Calibri"/>
          <w:b/>
          <w:bCs/>
          <w:sz w:val="24"/>
          <w:lang w:eastAsia="en-US"/>
        </w:rPr>
      </w:pP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Op het vaststellen van de schadeloosstelling voor de pachter is artikel 377, vierde tot en met zevende lid, van Boek 7 van het Burgerlijk Wetboek van overeenkomstige toepassing. Voor de toepassing van het zevende lid van dat artikel geldt de terinzagelegging van de ontwerponteigeningsbeschikking als peildatum.</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de pachtovereenkomst na de terinzagelegging van de ontwerponteigeningsbeschikking is aangegaan, heeft de pachter geen recht op schadeloosstelling. De pachter heeft dan een vordering tot schadevergoeding tegen de verpachter, tenzij zij anders zijn overeengekomen.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15.30 (positie hypotheekhouder en ingeschreven beslaglegger - schadeloosstelling)</w:t>
      </w:r>
    </w:p>
    <w:p w:rsidRPr="00E97F6E" w:rsidR="00E97F6E" w:rsidP="00E97F6E" w:rsidRDefault="00E97F6E">
      <w:pPr>
        <w:rPr>
          <w:rFonts w:ascii="Times New Roman" w:hAnsi="Times New Roman" w:eastAsia="Calibri"/>
          <w:b/>
          <w:bCs/>
          <w:sz w:val="24"/>
          <w:lang w:eastAsia="en-US"/>
        </w:rPr>
      </w:pP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De hypotheekhouder en de ingeschreven beslaglegger hebben geen recht op afzonderlijke schadeloosstelling. Alleen wanneer zij een verweerschrift hebben ingediend in de procedure tot vaststelling van de schadeloosstelling, kunnen zij zich tegenover de </w:t>
      </w:r>
      <w:r w:rsidRPr="00E97F6E">
        <w:rPr>
          <w:rFonts w:ascii="Times New Roman" w:hAnsi="Times New Roman" w:eastAsia="Calibri"/>
          <w:sz w:val="24"/>
          <w:lang w:eastAsia="en-US"/>
        </w:rPr>
        <w:lastRenderedPageBreak/>
        <w:t>onteigenaar beroepen op hun rechten krachtens artikel 229 van Boek 3 van het Burgerlijk Wetboek en artikel 507a van het Wetboek van Burgerlijke Rechtsvordering. Zij oefenen die rechten uit op het bedrag van de werkelijke waarde en de waardevermindering van het overblijvende, zoals dat bedrag toekomt aan de hypotheekgever, de beslagene en de beperkt gerechtigde, wier recht niet tegen hen kan worden ingeroepen.</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alle in het eerste lid vermelde belanghebbenden overeenstemming hebben bereikt over de verdeling, bepaalt de rechter wat aan ieder van hen moet worden betaald. Wanneer geen overeenstemming is bereikt, worden de bedragen in hun geheel toegewezen aan de hypotheekhouder, hoogste in rang, die een verweerschrift heeft ingediend of, als geen hypotheekhouder een verweerschrift heeft ingediend, aan de daarvoor door de eerst ingeschreven beslaglegger aangewezen notaris of deurwaarder, en vindt verdeling plaats met toepassing van de regels voor de verdeling van de opbrengst, bedoeld in het Tweede Boek, tweede titel, derde afdeling, respectievelijk in het Tweede Boek, derde titel, vijfde afdeling, van het Wetboek van Burgerlijke Rechtsvordering.</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Voor de toepassing van het tweede lid hoeft de beslaglegger geen verweerschrift in te dienen, als hij aan de onteigenaar bij exploot meedeelt zijn rechten uit artikel 507a van het Wetboek van Burgerlijke Rechtsvordering te bepalen tot het deel van de in het eerste lid bedoelde bedragen, dat voor de beslagene is bestemd.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15.31 (positie hypotheekhouder en ingeschreven beslaglegger – voorlopige schadeloosstelling)</w:t>
      </w:r>
    </w:p>
    <w:p w:rsidRPr="00E97F6E" w:rsidR="00E97F6E" w:rsidP="00E97F6E" w:rsidRDefault="00E97F6E">
      <w:pPr>
        <w:rPr>
          <w:rFonts w:ascii="Times New Roman" w:hAnsi="Times New Roman" w:eastAsia="Calibri"/>
          <w:b/>
          <w:bCs/>
          <w:sz w:val="24"/>
          <w:lang w:eastAsia="en-US"/>
        </w:rPr>
      </w:pP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Op de voorlopige schadeloosstelling, bedoeld in artikel 15.43, en de verhogingen daarvan is artikel 15.30 van overeenkomstige toepassing. </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Bij de verdeling tussen de belanghebbenden onderling oefenen de hypotheekhouder en de beslagleggers hun rechten op de voorlopige schadeloosstelling en de verhogingen daarvan uit voor zover zij kunnen worden beschouwd als een voorschot op het in artikel 15.30, eerste lid, derde zin, bedoelde bedrag. </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Op verzoek van elk van de belanghebbenden kan de rechter-commissaris in een rangregeling bepalen dat deze niet zal worden gesloten voordat de beschikking waarbij de schadeloosstelling is vastgesteld, kracht van gewijsde heeft gekregen. </w:t>
      </w:r>
    </w:p>
    <w:p w:rsidR="00E97F6E" w:rsidP="00255825" w:rsidRDefault="00E97F6E">
      <w:pPr>
        <w:pStyle w:val="Geenafstand"/>
        <w:ind w:firstLine="284"/>
        <w:rPr>
          <w:rFonts w:ascii="Times New Roman" w:hAnsi="Times New Roman" w:cs="Times New Roman"/>
          <w:sz w:val="24"/>
          <w:szCs w:val="24"/>
        </w:rPr>
      </w:pPr>
      <w:r w:rsidRPr="00255825">
        <w:rPr>
          <w:rFonts w:ascii="Times New Roman" w:hAnsi="Times New Roman" w:cs="Times New Roman"/>
          <w:sz w:val="24"/>
          <w:szCs w:val="24"/>
        </w:rPr>
        <w:t>4. Als de verrekening, bedoeld in artikel 15.45, tot gevolg heeft dat een belanghebbende wordt veroordeeld het te veel ontvangen bedrag aan de onteigenaar terug te betalen, kan elk van de belanghebbenden bij de rangregeling binnen een jaar nadat de beschikking waarin de rechtbank de schadeloosstelling heeft vastgesteld, kracht van gewijsde heeft gekregen, heropening van een gesloten rangregeling vragen en kan de rechter-commissaris hen die teveel hebben ontvangen bij bevelschrift gelasten dit terug te betalen.</w:t>
      </w:r>
    </w:p>
    <w:p w:rsidRPr="00255825" w:rsidR="00255825" w:rsidP="00255825" w:rsidRDefault="00255825">
      <w:pPr>
        <w:pStyle w:val="Geenafstand"/>
        <w:rPr>
          <w:rFonts w:ascii="Times New Roman" w:hAnsi="Times New Roman" w:cs="Times New Roman"/>
          <w:sz w:val="24"/>
          <w:szCs w:val="24"/>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15.32 (vervallen erfdienstbaarheid en kwalitatieve verplichting)</w:t>
      </w:r>
    </w:p>
    <w:p w:rsidRPr="00E97F6E" w:rsidR="00E97F6E" w:rsidP="00E97F6E" w:rsidRDefault="00E97F6E">
      <w:pPr>
        <w:rPr>
          <w:rFonts w:ascii="Times New Roman" w:hAnsi="Times New Roman" w:eastAsia="Calibri"/>
          <w:sz w:val="24"/>
          <w:lang w:eastAsia="en-US"/>
        </w:rPr>
      </w:pPr>
    </w:p>
    <w:p w:rsidRPr="00E97F6E" w:rsidR="00E97F6E" w:rsidP="00DA514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Bij het vaststellen van de schadeloosstelling vanwege het vervallen van een erfdienstbaarheid of een recht als bedoeld in artikel 252 van Boek 6 van het Burgerlijk Wetboek wordt rekening gehouden met dat wat te verwachten is over de wijziging of de opheffing op grond van de artikelen 78 en 79 van Boek 5, of de artikelen 258 en 259 van Boek 6 van dat wetboek en de daaraan te verbinden voorwaarden. </w:t>
      </w:r>
    </w:p>
    <w:p w:rsidRPr="00E97F6E" w:rsidR="00E97F6E" w:rsidP="00DA514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Ook wordt rekening gehouden met de mogelijkheid de erfdienstbaarheid of het recht, bedoeld in artikel 252 van Boek 6 van het Burgerlijk Wetboek, door een andere erfdienstbaarheid of een ander recht te vervangen. </w:t>
      </w:r>
    </w:p>
    <w:p w:rsidRPr="00E97F6E" w:rsidR="00E97F6E" w:rsidP="00DA514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Artikel 15.23</w:t>
      </w:r>
      <w:r w:rsidRPr="00E97F6E">
        <w:rPr>
          <w:rFonts w:ascii="Times New Roman" w:hAnsi="Times New Roman" w:eastAsia="Calibri"/>
          <w:b/>
          <w:sz w:val="24"/>
          <w:lang w:eastAsia="en-US"/>
        </w:rPr>
        <w:t xml:space="preserve"> </w:t>
      </w:r>
      <w:r w:rsidRPr="00E97F6E">
        <w:rPr>
          <w:rFonts w:ascii="Times New Roman" w:hAnsi="Times New Roman" w:eastAsia="Calibri"/>
          <w:sz w:val="24"/>
          <w:lang w:eastAsia="en-US"/>
        </w:rPr>
        <w:t xml:space="preserve">is niet van toepassing. </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15.33 (positie vruchtgebruiker)</w:t>
      </w:r>
    </w:p>
    <w:p w:rsidRPr="00E97F6E" w:rsidR="00E97F6E" w:rsidP="00E97F6E" w:rsidRDefault="00E97F6E">
      <w:pPr>
        <w:rPr>
          <w:rFonts w:ascii="Times New Roman" w:hAnsi="Times New Roman" w:eastAsia="Calibri"/>
          <w:sz w:val="24"/>
          <w:lang w:eastAsia="en-US"/>
        </w:rPr>
      </w:pPr>
    </w:p>
    <w:p w:rsidRPr="00E97F6E" w:rsidR="00E97F6E" w:rsidP="00DA514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vruchtgebruiker kan zich tegenover de onteigenaar op grond van artikel 213 van Boek 3 van het Burgerlijk Wetboek alleen beroepen op verkrijging van een vruchtgebruik op de vordering tot schadeloosstelling voor de hoofdgerechtigde wanneer hij een verweerschrift heeft ingediend in de procedure tot vaststelling van de schadeloosstelling.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15.34 (positie bezwaarde erfgenaam)</w:t>
      </w:r>
    </w:p>
    <w:p w:rsidRPr="00E97F6E" w:rsidR="00E97F6E" w:rsidP="00E97F6E" w:rsidRDefault="00E97F6E">
      <w:pPr>
        <w:rPr>
          <w:rFonts w:ascii="Times New Roman" w:hAnsi="Times New Roman" w:eastAsia="Calibri"/>
          <w:sz w:val="24"/>
          <w:lang w:eastAsia="en-US"/>
        </w:rPr>
      </w:pPr>
    </w:p>
    <w:p w:rsidRPr="00E97F6E" w:rsidR="00E97F6E" w:rsidP="005B69E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Bij onteigening van zaken die zijn vermaakt onder een voorwaarde laat degene aan wie het vermaakte tot de vervulling van de voorwaarde toekomt, de schadeloosstelling in een van de schuldregisters voor geldleningen ten laste van het Rijk inschrijven.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15.35 (schadeloosstelling huurkoper)</w:t>
      </w:r>
    </w:p>
    <w:p w:rsidRPr="00E97F6E" w:rsidR="00E97F6E" w:rsidP="00E97F6E" w:rsidRDefault="00E97F6E">
      <w:pPr>
        <w:rPr>
          <w:rFonts w:ascii="Times New Roman" w:hAnsi="Times New Roman" w:eastAsia="Calibri"/>
          <w:sz w:val="24"/>
          <w:lang w:eastAsia="en-US"/>
        </w:rPr>
      </w:pPr>
    </w:p>
    <w:p w:rsidRPr="00E97F6E" w:rsidR="00E97F6E" w:rsidP="005B69E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Bij onteigening van een krachtens huurkoop verkochte zaak komt aan de huurkoper toe wat overblijft nadat uit het bedrag van de werkelijke waarde van de zaak aan de huurverkoper een schadeloosstelling is toegekend vanwege de aanspraken uit de huurkoopovereenkomst die hij verliest.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i/>
          <w:sz w:val="24"/>
        </w:rPr>
        <w:t>§ 15.3.2 De gerechtelijke procedure tot vaststelling van de schadeloosstelling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15.36 (toepasselijkheid Wetboek van Burgerlijke Rechtsvordering)</w:t>
      </w:r>
    </w:p>
    <w:p w:rsidRPr="00E97F6E" w:rsidR="00E97F6E" w:rsidP="00E97F6E" w:rsidRDefault="00E97F6E">
      <w:pPr>
        <w:rPr>
          <w:rFonts w:ascii="Times New Roman" w:hAnsi="Times New Roman" w:eastAsia="Verdana"/>
          <w:sz w:val="24"/>
        </w:rPr>
      </w:pPr>
    </w:p>
    <w:p w:rsidRPr="00E97F6E" w:rsidR="00E97F6E" w:rsidP="0007205D" w:rsidRDefault="00E97F6E">
      <w:pPr>
        <w:ind w:firstLine="284"/>
        <w:rPr>
          <w:rFonts w:ascii="Times New Roman" w:hAnsi="Times New Roman" w:eastAsia="Verdana"/>
          <w:sz w:val="24"/>
        </w:rPr>
      </w:pPr>
      <w:r w:rsidRPr="00E97F6E">
        <w:rPr>
          <w:rFonts w:ascii="Times New Roman" w:hAnsi="Times New Roman" w:eastAsia="Verdana"/>
          <w:sz w:val="24"/>
        </w:rPr>
        <w:t xml:space="preserve">Het Wetboek van Burgerlijke Rechtsvordering is van toepassing op het verzoek tot het vaststellen van de schadeloosstelling en de behandeling van dat verzoek, tenzij de aard van de vaststelling van schadeloosstelling in onteigeningszaken zich hiertegen verzet.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15.37 (aanbod </w:t>
      </w:r>
      <w:r w:rsidRPr="00F37C24" w:rsidR="00F37C24">
        <w:rPr>
          <w:rFonts w:ascii="Times New Roman" w:hAnsi="Times New Roman" w:eastAsia="Verdana"/>
          <w:b/>
          <w:sz w:val="24"/>
        </w:rPr>
        <w:t>in verzoekschrift</w:t>
      </w:r>
      <w:r w:rsidRPr="00E97F6E">
        <w:rPr>
          <w:rFonts w:ascii="Times New Roman" w:hAnsi="Times New Roman" w:eastAsia="Verdana"/>
          <w:b/>
          <w:sz w:val="24"/>
        </w:rPr>
        <w:t>)</w:t>
      </w:r>
    </w:p>
    <w:p w:rsidRPr="00E97F6E" w:rsidR="00E97F6E" w:rsidP="00E97F6E" w:rsidRDefault="00E97F6E">
      <w:pPr>
        <w:rPr>
          <w:rFonts w:ascii="Times New Roman" w:hAnsi="Times New Roman" w:eastAsia="Verdana"/>
          <w:sz w:val="24"/>
        </w:rPr>
      </w:pPr>
    </w:p>
    <w:p w:rsidRPr="00E97F6E" w:rsidR="00E97F6E" w:rsidP="001257B8" w:rsidRDefault="00E97F6E">
      <w:pPr>
        <w:ind w:firstLine="284"/>
        <w:rPr>
          <w:rFonts w:ascii="Times New Roman" w:hAnsi="Times New Roman" w:eastAsia="Verdana"/>
          <w:sz w:val="24"/>
        </w:rPr>
      </w:pPr>
      <w:r w:rsidRPr="00E97F6E">
        <w:rPr>
          <w:rFonts w:ascii="Times New Roman" w:hAnsi="Times New Roman" w:eastAsia="Verdana"/>
          <w:sz w:val="24"/>
        </w:rPr>
        <w:t xml:space="preserve">Onverminderd de eisen die artikel 30a, derde lid, van het Wetboek van Burgerlijke Rechtsvordering stelt aan </w:t>
      </w:r>
      <w:r w:rsidRPr="00F37C24" w:rsidR="00F37C24">
        <w:rPr>
          <w:rFonts w:ascii="Times New Roman" w:hAnsi="Times New Roman" w:eastAsia="Verdana"/>
          <w:sz w:val="24"/>
        </w:rPr>
        <w:t>een verzoekschrift</w:t>
      </w:r>
      <w:r w:rsidRPr="00E97F6E">
        <w:rPr>
          <w:rFonts w:ascii="Times New Roman" w:hAnsi="Times New Roman" w:eastAsia="Verdana"/>
          <w:sz w:val="24"/>
        </w:rPr>
        <w:t xml:space="preserve"> voor een verzoekprocedure, vermeldt </w:t>
      </w:r>
      <w:r w:rsidRPr="009377F5" w:rsidR="009377F5">
        <w:rPr>
          <w:rFonts w:ascii="Times New Roman" w:hAnsi="Times New Roman" w:eastAsia="Verdana"/>
          <w:sz w:val="24"/>
        </w:rPr>
        <w:t>het verzoekschrift</w:t>
      </w:r>
      <w:r w:rsidRPr="00E97F6E">
        <w:rPr>
          <w:rFonts w:ascii="Times New Roman" w:hAnsi="Times New Roman" w:eastAsia="Verdana"/>
          <w:sz w:val="24"/>
        </w:rPr>
        <w:t xml:space="preserve"> de schadeloosstelling die door de onteigenaar aan elk van de belanghebbenden wordt aangeboden.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15.38 (gevolmachtigde, bewindvoerder of benoemen van derde)</w:t>
      </w:r>
    </w:p>
    <w:p w:rsidRPr="00E97F6E" w:rsidR="00E97F6E" w:rsidP="00E97F6E" w:rsidRDefault="00E97F6E">
      <w:pPr>
        <w:rPr>
          <w:rFonts w:ascii="Times New Roman" w:hAnsi="Times New Roman" w:eastAsia="Verdana"/>
          <w:sz w:val="24"/>
        </w:rPr>
      </w:pPr>
    </w:p>
    <w:p w:rsidRPr="00E97F6E" w:rsidR="00E97F6E" w:rsidP="001257B8" w:rsidRDefault="00E97F6E">
      <w:pPr>
        <w:ind w:firstLine="284"/>
        <w:rPr>
          <w:rFonts w:ascii="Times New Roman" w:hAnsi="Times New Roman" w:eastAsia="Verdana"/>
          <w:sz w:val="24"/>
        </w:rPr>
      </w:pPr>
      <w:r w:rsidRPr="00E97F6E">
        <w:rPr>
          <w:rFonts w:ascii="Times New Roman" w:hAnsi="Times New Roman" w:eastAsia="Verdana"/>
          <w:sz w:val="24"/>
        </w:rPr>
        <w:t xml:space="preserve">1. Als een in </w:t>
      </w:r>
      <w:r w:rsidRPr="009377F5" w:rsidR="009377F5">
        <w:rPr>
          <w:rFonts w:ascii="Times New Roman" w:hAnsi="Times New Roman" w:eastAsia="Verdana"/>
          <w:sz w:val="24"/>
        </w:rPr>
        <w:t>het verzoekschrift</w:t>
      </w:r>
      <w:r w:rsidRPr="00E97F6E">
        <w:rPr>
          <w:rFonts w:ascii="Times New Roman" w:hAnsi="Times New Roman" w:eastAsia="Verdana"/>
          <w:sz w:val="24"/>
        </w:rPr>
        <w:t xml:space="preserve"> genoemde eigenaar, beklemde meier, huurkoper of erfpachter met een eeuwigdurende erfpacht buiten het Koninkrijk woont, geen bekende woonplaats heeft of is overleden, is het de gevolmachtigde of bewindvoerder, als die binnen het Koninkrijk bekend is, toegestaan verweer te voeren. Als ook deze onbekend is, wordt een daarvoor op verzoek en op kosten van de onteigenaar te benoemen derde, die binnen het rechtsgebied van de rechtbank woont, toegestaan verweer te voeren. De benoemde kan het loon en de gemaakte onkosten bij de onteigenaar in rekening brengen. </w:t>
      </w:r>
    </w:p>
    <w:p w:rsidRPr="00E97F6E" w:rsidR="00E97F6E" w:rsidP="001257B8" w:rsidRDefault="00E97F6E">
      <w:pPr>
        <w:ind w:firstLine="284"/>
        <w:rPr>
          <w:rFonts w:ascii="Times New Roman" w:hAnsi="Times New Roman" w:eastAsia="Verdana"/>
          <w:sz w:val="24"/>
        </w:rPr>
      </w:pPr>
      <w:r w:rsidRPr="00E97F6E">
        <w:rPr>
          <w:rFonts w:ascii="Times New Roman" w:hAnsi="Times New Roman" w:eastAsia="Verdana"/>
          <w:sz w:val="24"/>
        </w:rPr>
        <w:t xml:space="preserve">2. Als de eigenaar, beklemde meier, huurkoper of erfpachter met een eeuwigdurende erfpacht die buiten het Koninkrijk woont of geen bekende woonplaats heeft, zelf verschijnt, neemt hij verder zelf deel aan de procedure. </w:t>
      </w:r>
    </w:p>
    <w:p w:rsidRPr="00E97F6E" w:rsidR="00E97F6E" w:rsidP="001257B8" w:rsidRDefault="00E97F6E">
      <w:pPr>
        <w:ind w:firstLine="284"/>
        <w:rPr>
          <w:rFonts w:ascii="Times New Roman" w:hAnsi="Times New Roman" w:eastAsia="Verdana"/>
          <w:sz w:val="24"/>
        </w:rPr>
      </w:pPr>
      <w:r w:rsidRPr="00E97F6E">
        <w:rPr>
          <w:rFonts w:ascii="Times New Roman" w:hAnsi="Times New Roman" w:eastAsia="Verdana"/>
          <w:sz w:val="24"/>
        </w:rPr>
        <w:lastRenderedPageBreak/>
        <w:t xml:space="preserve">3. Het tweede lid is van overeenkomstige toepassing op de erfgenaam van de overleden verweerder, mits de erfgenaam een verklaring van erfrecht overlegt. Zijn er meer erfgenamen, dan is vereist dat zij gezamenlijk verschijnen of dat een van hen namens allen verschijnt. </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15.39 (benoeming deskundigen)</w:t>
      </w:r>
    </w:p>
    <w:p w:rsidRPr="00E97F6E" w:rsidR="00E97F6E" w:rsidP="00E97F6E" w:rsidRDefault="00E97F6E">
      <w:pPr>
        <w:rPr>
          <w:rFonts w:ascii="Times New Roman" w:hAnsi="Times New Roman" w:eastAsia="Verdana"/>
          <w:sz w:val="24"/>
        </w:rPr>
      </w:pPr>
    </w:p>
    <w:p w:rsidRPr="00E97F6E" w:rsidR="00E97F6E" w:rsidP="00CB416F" w:rsidRDefault="00E97F6E">
      <w:pPr>
        <w:ind w:firstLine="284"/>
        <w:rPr>
          <w:rFonts w:ascii="Times New Roman" w:hAnsi="Times New Roman" w:eastAsia="Verdana"/>
          <w:sz w:val="24"/>
        </w:rPr>
      </w:pPr>
      <w:r w:rsidRPr="00E97F6E">
        <w:rPr>
          <w:rFonts w:ascii="Times New Roman" w:hAnsi="Times New Roman" w:eastAsia="Verdana"/>
          <w:sz w:val="24"/>
        </w:rPr>
        <w:t>De rechtbank benoemt een oneven aantal deskundigen om over de schadeloosstelling een schriftelijk bericht uit te brengen.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15.40 (eisen aan onderzoek ter plaatse door deskundigen)</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1. Het onderzoek ter plaatse wordt gehouden in aanwezigheid van een rechter vergezeld van de griffier.</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2. De griffier deelt aan de belanghebbenden onverwijld de tijd en de plaats van het onderzoek ter plaatse mede en nodigt hen uit daarbij aanwezig te zijn.</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3. De griffier draagt ervoor zorg dat van de tijd en de plaats van het onderzoek ter plaatse kennis wordt gegeven in een of meer dag-, nieuws- of huis-aan-huisbladen. </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4. De griffier maakt van het onderzoek ter plaatse een proces-verbaal op dat door de rechter en door hem wordt ondertekend.</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15.41 (belanghebbenden die niet zijn opgeroepen)</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1. Belanghebbenden die niet zijn opgeroepen kunnen bij het onderzoek ter plaatse aanwezig zijn om ook hun schade te laten begroten.</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rechter draagt de onteigenaar op om binnen vier weken aan de belanghebbenden die bij het onderzoek ter plaatse bekend worden en die niet in </w:t>
      </w:r>
      <w:r w:rsidRPr="009377F5" w:rsidR="009377F5">
        <w:rPr>
          <w:rFonts w:ascii="Times New Roman" w:hAnsi="Times New Roman" w:eastAsia="Verdana"/>
          <w:sz w:val="24"/>
        </w:rPr>
        <w:t>het verzoekschrift</w:t>
      </w:r>
      <w:r w:rsidRPr="00E97F6E">
        <w:rPr>
          <w:rFonts w:ascii="Times New Roman" w:hAnsi="Times New Roman" w:eastAsia="Verdana"/>
          <w:sz w:val="24"/>
        </w:rPr>
        <w:t xml:space="preserve"> staan een aanbod tot schadeloosstelling te doen, mits de rechten van die belanghebbenden niet worden betwist.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15.42 (deskundigenbericht)</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De deskundigen maken op basis van het onderzoek ter plaatse en op basis van andere beschikbare informatie een deskundigenbericht op. Het deskundigenbericht bevat een begroting van de schadeloosstelling.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15.43 (tussenbeschikking voorlopige schadeloosstelling)</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stelt zo spoedig mogelijk de voorlopige schadeloosstelling voor elke belanghebbende vast. Die schadeloosstelling is gelijk aan het aanbod dat is gedaan bij </w:t>
      </w:r>
      <w:r w:rsidRPr="009377F5" w:rsidR="009377F5">
        <w:rPr>
          <w:rFonts w:ascii="Times New Roman" w:hAnsi="Times New Roman" w:eastAsia="Verdana"/>
          <w:sz w:val="24"/>
        </w:rPr>
        <w:t>het verzoekschrift</w:t>
      </w:r>
      <w:r w:rsidRPr="00E97F6E">
        <w:rPr>
          <w:rFonts w:ascii="Times New Roman" w:hAnsi="Times New Roman" w:eastAsia="Verdana"/>
          <w:sz w:val="24"/>
        </w:rPr>
        <w:t>, tenzij de rechtbank aanleiding ziet de voorlopige schadeloosstelling vast te stellen op een ander bedrag of toe te wijzen aan een andere belanghebbende.</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2. De rechtbank kan bepalen dat de voorlopige schadeloosstelling wordt geconsigneerd volgens de Wet op de consignatie van gelden.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15.44 (mondelinge behandeling na deskundigenbericht) </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1. Onverwijld nadat het deskundigenbericht is ingeleverd, bepaalt de rechtbank het tijdstip waarop een mondelinge behandeling zal plaatsvinden.</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2. De rechtbank beveelt daarbij de oproeping van de onteigenaar en de belanghebbenden.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lastRenderedPageBreak/>
        <w:t>Artikel 15.45 (eindbeschikking schadeloosstelling)</w:t>
      </w:r>
    </w:p>
    <w:p w:rsidRPr="00E97F6E" w:rsidR="00E97F6E" w:rsidP="00E97F6E" w:rsidRDefault="00E97F6E">
      <w:pPr>
        <w:rPr>
          <w:rFonts w:ascii="Times New Roman" w:hAnsi="Times New Roman" w:eastAsia="Verdana"/>
          <w:sz w:val="24"/>
        </w:rPr>
      </w:pPr>
    </w:p>
    <w:p w:rsidRPr="00E97F6E" w:rsidR="00E97F6E" w:rsidP="004D627B" w:rsidRDefault="00E97F6E">
      <w:pPr>
        <w:ind w:firstLine="284"/>
        <w:rPr>
          <w:rFonts w:ascii="Times New Roman" w:hAnsi="Times New Roman" w:eastAsia="Verdana"/>
          <w:sz w:val="24"/>
        </w:rPr>
      </w:pPr>
      <w:r w:rsidRPr="00E97F6E">
        <w:rPr>
          <w:rFonts w:ascii="Times New Roman" w:hAnsi="Times New Roman" w:eastAsia="Verdana"/>
          <w:sz w:val="24"/>
        </w:rPr>
        <w:t>1. De eindbeschikking waarbij de rechtbank de schadeloosstelling vaststelt, houdt ook een veroordeling in tot verrekening van de door de rechter vastgestelde schadeloosstelling met de door de belanghebbende ontvangen voorlopige schadeloosstelling.</w:t>
      </w:r>
    </w:p>
    <w:p w:rsidRPr="00E97F6E" w:rsidR="00E97F6E" w:rsidP="004D627B" w:rsidRDefault="00E97F6E">
      <w:pPr>
        <w:ind w:firstLine="284"/>
        <w:rPr>
          <w:rFonts w:ascii="Times New Roman" w:hAnsi="Times New Roman" w:eastAsia="Verdana"/>
          <w:sz w:val="24"/>
        </w:rPr>
      </w:pPr>
      <w:r w:rsidRPr="00E97F6E">
        <w:rPr>
          <w:rFonts w:ascii="Times New Roman" w:hAnsi="Times New Roman" w:eastAsia="Verdana"/>
          <w:sz w:val="24"/>
        </w:rPr>
        <w:t>2. De rechtbank kan bepalen dat het te verrekenen bedrag wordt geconsigneerd volgens de Wet op de consignatie van gelden.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15.46 (kosten schadeloosstellingsprocedure) </w:t>
      </w:r>
    </w:p>
    <w:p w:rsidRPr="00E97F6E" w:rsidR="00E97F6E" w:rsidP="00E97F6E" w:rsidRDefault="00E97F6E">
      <w:pPr>
        <w:rPr>
          <w:rFonts w:ascii="Times New Roman" w:hAnsi="Times New Roman" w:eastAsia="Verdana"/>
          <w:sz w:val="24"/>
        </w:rPr>
      </w:pPr>
    </w:p>
    <w:p w:rsidRPr="00E97F6E" w:rsidR="00E97F6E" w:rsidP="004D627B" w:rsidRDefault="00E97F6E">
      <w:pPr>
        <w:ind w:firstLine="284"/>
        <w:rPr>
          <w:rFonts w:ascii="Times New Roman" w:hAnsi="Times New Roman" w:eastAsia="Verdana"/>
          <w:sz w:val="24"/>
        </w:rPr>
      </w:pPr>
      <w:r w:rsidRPr="00E97F6E">
        <w:rPr>
          <w:rFonts w:ascii="Times New Roman" w:hAnsi="Times New Roman" w:eastAsia="Verdana"/>
          <w:sz w:val="24"/>
        </w:rPr>
        <w:t>1. De kosten van de schadeloosstellingsprocedure komen voor rekening van de onteigenaar.</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 xml:space="preserve">2. Als een belanghebbende, die het aan hem in </w:t>
      </w:r>
      <w:r w:rsidRPr="009377F5" w:rsidR="009377F5">
        <w:rPr>
          <w:rFonts w:ascii="Times New Roman" w:hAnsi="Times New Roman" w:eastAsia="Verdana"/>
          <w:sz w:val="24"/>
        </w:rPr>
        <w:t>het verzoekschrift</w:t>
      </w:r>
      <w:r w:rsidRPr="00E97F6E">
        <w:rPr>
          <w:rFonts w:ascii="Times New Roman" w:hAnsi="Times New Roman" w:eastAsia="Verdana"/>
          <w:sz w:val="24"/>
        </w:rPr>
        <w:t xml:space="preserve"> gedane aanbod of het aan hem gedane aanbod als bedoeld in artikel 15.41, tweede lid, niet heeft aanvaard, niet meer wordt toegewezen dan hem werd aangeboden, of wanneer de rechtbank daarvoor aanleiding ziet in de omstandigheden van de procedure, kan de rechtbank de betrokkene veroordelen om de kosten van de procedure of van een door haar naar billijkheid te bepalen gedeelte van die kosten te betalen. </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 xml:space="preserve">3. Als de som van de kosten waarin een belanghebbende is veroordeeld, hoger is dan die van de aan hem toegekende schadeloosstelling, kan de rechtbank de betrokkene veroordelen tot betaling van het verschil van die sommen. </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4. Onder de kosten van de schadeloosstellingsprocedure vallen ook kosten van rechtsbijstand en van andere deskundige bijstand, die naar het oordeel van de rechtbank redelijkerwijs door belanghebbenden zijn gemaakt.</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5. De kosten van de kennisgeving, bedoeld in artikel 15.40, derde lid, komen voor rekening van de onteigenaar.</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15.47 (kosten minnelijk overleg en voorbereidingsprocedure onteigeningsprocedure)</w:t>
      </w:r>
    </w:p>
    <w:p w:rsidRPr="00E97F6E" w:rsidR="00E97F6E" w:rsidP="00E97F6E" w:rsidRDefault="00E97F6E">
      <w:pPr>
        <w:rPr>
          <w:rFonts w:ascii="Times New Roman" w:hAnsi="Times New Roman" w:eastAsia="Verdana"/>
          <w:sz w:val="24"/>
        </w:rPr>
      </w:pPr>
    </w:p>
    <w:p w:rsidRPr="00E97F6E" w:rsidR="00E97F6E" w:rsidP="0053075C" w:rsidRDefault="00E97F6E">
      <w:pPr>
        <w:ind w:firstLine="284"/>
        <w:rPr>
          <w:rFonts w:ascii="Times New Roman" w:hAnsi="Times New Roman" w:eastAsia="Verdana"/>
          <w:b/>
          <w:sz w:val="24"/>
        </w:rPr>
      </w:pPr>
      <w:r w:rsidRPr="00E97F6E">
        <w:rPr>
          <w:rFonts w:ascii="Times New Roman" w:hAnsi="Times New Roman" w:eastAsia="Verdana"/>
          <w:sz w:val="24"/>
        </w:rPr>
        <w:t xml:space="preserve">Als de belanghebbende bij de rechtbank geen bedenkingen, als bedoeld in artikel 16.97, heeft ingebracht tegen de onteigeningsbeschikking, veroordeelt de rechtbank de onteigenaar ook in de kosten die de belanghebbende redelijkerwijs heeft gemaakt voor: </w:t>
      </w:r>
    </w:p>
    <w:p w:rsidR="0053075C" w:rsidP="0053075C" w:rsidRDefault="00E97F6E">
      <w:pPr>
        <w:ind w:firstLine="284"/>
        <w:rPr>
          <w:rFonts w:ascii="Times New Roman" w:hAnsi="Times New Roman" w:eastAsia="Verdana"/>
          <w:sz w:val="24"/>
        </w:rPr>
      </w:pPr>
      <w:r w:rsidRPr="00E97F6E">
        <w:rPr>
          <w:rFonts w:ascii="Times New Roman" w:hAnsi="Times New Roman" w:eastAsia="Verdana"/>
          <w:sz w:val="24"/>
        </w:rPr>
        <w:t xml:space="preserve">a. door een derde beroepsmatig verleende rechtsbijstand of andere deskundige bijstand in verband met het overleg over de minnelijke verwerving, bedoeld </w:t>
      </w:r>
      <w:r w:rsidR="0053075C">
        <w:rPr>
          <w:rFonts w:ascii="Times New Roman" w:hAnsi="Times New Roman" w:eastAsia="Verdana"/>
          <w:sz w:val="24"/>
        </w:rPr>
        <w:t>in artikel 11.7, eerste lid, en</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b. door een derde beroepsmatig verleende rechtsbijstand of andere deskundige bijstand in verband met het naar voren brengen van een zienswijze en de behartiging van de belangen van de belanghebbende bij de behandeling daarvan bij de voorbereiding van de onteigeningsbeschikking.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15.48 (beroep in cassatie)</w:t>
      </w:r>
    </w:p>
    <w:p w:rsidRPr="00E97F6E" w:rsidR="00E97F6E" w:rsidP="00E97F6E" w:rsidRDefault="00E97F6E">
      <w:pPr>
        <w:rPr>
          <w:rFonts w:ascii="Times New Roman" w:hAnsi="Times New Roman" w:eastAsia="Verdana"/>
          <w:sz w:val="24"/>
        </w:rPr>
      </w:pPr>
    </w:p>
    <w:p w:rsidRPr="00E97F6E" w:rsidR="00E97F6E" w:rsidP="00FE0A25" w:rsidRDefault="00E97F6E">
      <w:pPr>
        <w:ind w:firstLine="284"/>
        <w:rPr>
          <w:rFonts w:ascii="Times New Roman" w:hAnsi="Times New Roman" w:eastAsia="Verdana"/>
          <w:sz w:val="24"/>
        </w:rPr>
      </w:pPr>
      <w:r w:rsidRPr="00E97F6E">
        <w:rPr>
          <w:rFonts w:ascii="Times New Roman" w:hAnsi="Times New Roman" w:eastAsia="Verdana"/>
          <w:sz w:val="24"/>
        </w:rPr>
        <w:t xml:space="preserve">Tegen de uitspraak van de rechtbank staat alleen beroep in cassatie open. </w:t>
      </w:r>
    </w:p>
    <w:p w:rsidRPr="00D879CB" w:rsidR="00E97F6E" w:rsidP="00E97F6E" w:rsidRDefault="00E97F6E">
      <w:pPr>
        <w:rPr>
          <w:rFonts w:ascii="Times New Roman" w:hAnsi="Times New Roman" w:eastAsia="Verdana"/>
          <w:sz w:val="24"/>
        </w:rPr>
      </w:pPr>
    </w:p>
    <w:p w:rsidR="00E97F6E" w:rsidP="00FE0A25" w:rsidRDefault="00E97F6E">
      <w:pPr>
        <w:rPr>
          <w:rFonts w:ascii="Times New Roman" w:hAnsi="Times New Roman" w:eastAsia="Verdana"/>
          <w:i/>
          <w:sz w:val="24"/>
        </w:rPr>
      </w:pPr>
      <w:r w:rsidRPr="00FE0A25">
        <w:rPr>
          <w:rFonts w:ascii="Times New Roman" w:hAnsi="Times New Roman" w:eastAsia="Verdana"/>
          <w:i/>
          <w:sz w:val="24"/>
        </w:rPr>
        <w:t>§ 15.3.3 Overige bepalingen</w:t>
      </w:r>
    </w:p>
    <w:p w:rsidRPr="00FE0A25" w:rsidR="00FE0A25" w:rsidP="00FE0A25" w:rsidRDefault="00FE0A25">
      <w:pPr>
        <w:rPr>
          <w:rFonts w:ascii="Times New Roman" w:hAnsi="Times New Roman" w:eastAsia="Verdana"/>
          <w:b/>
          <w:i/>
          <w:sz w:val="24"/>
        </w:rPr>
      </w:pPr>
    </w:p>
    <w:p w:rsidR="00E97F6E" w:rsidP="00FE0A25" w:rsidRDefault="00E97F6E">
      <w:pPr>
        <w:rPr>
          <w:rFonts w:ascii="Times New Roman" w:hAnsi="Times New Roman" w:eastAsia="Verdana"/>
          <w:b/>
          <w:sz w:val="24"/>
        </w:rPr>
      </w:pPr>
      <w:r w:rsidRPr="00FE0A25">
        <w:rPr>
          <w:rFonts w:ascii="Times New Roman" w:hAnsi="Times New Roman" w:eastAsia="Verdana"/>
          <w:b/>
          <w:sz w:val="24"/>
        </w:rPr>
        <w:t xml:space="preserve">Artikel 15.49 (consignatie na weigering ontvangst schadeloosstelling) </w:t>
      </w:r>
    </w:p>
    <w:p w:rsidRPr="00FE0A25" w:rsidR="00FE0A25" w:rsidP="00FE0A25" w:rsidRDefault="00FE0A25">
      <w:pPr>
        <w:rPr>
          <w:rFonts w:ascii="Times New Roman" w:hAnsi="Times New Roman" w:eastAsia="Verdana"/>
          <w:b/>
          <w:sz w:val="24"/>
        </w:rPr>
      </w:pPr>
    </w:p>
    <w:p w:rsidR="00E97F6E" w:rsidP="00FE0A25" w:rsidRDefault="00E97F6E">
      <w:pPr>
        <w:ind w:firstLine="284"/>
        <w:rPr>
          <w:rFonts w:ascii="Times New Roman" w:hAnsi="Times New Roman" w:eastAsia="Verdana"/>
          <w:sz w:val="24"/>
        </w:rPr>
      </w:pPr>
      <w:r w:rsidRPr="00FE0A25">
        <w:rPr>
          <w:rFonts w:ascii="Times New Roman" w:hAnsi="Times New Roman" w:eastAsia="Verdana"/>
          <w:sz w:val="24"/>
        </w:rPr>
        <w:lastRenderedPageBreak/>
        <w:t>Als degene aan wie de schadeloosstelling is toegewezen weigert haar te ontvangen en daarom bij deurwaardersexploot in gebreke is gesteld, kan de onteigenaar tien dagen na de ingebrekestelling overgaan tot consignatie in overeenstemming met de Wet op de consignatie van gelden.</w:t>
      </w:r>
    </w:p>
    <w:p w:rsidRPr="00FE0A25" w:rsidR="00FE0A25" w:rsidP="00FE0A25" w:rsidRDefault="00FE0A25">
      <w:pPr>
        <w:rPr>
          <w:rFonts w:ascii="Times New Roman" w:hAnsi="Times New Roman" w:eastAsia="Verdana"/>
          <w:sz w:val="24"/>
        </w:rPr>
      </w:pPr>
    </w:p>
    <w:p w:rsidRPr="00FE0A25" w:rsidR="00E97F6E" w:rsidP="00FE0A25" w:rsidRDefault="00E97F6E">
      <w:pPr>
        <w:rPr>
          <w:rFonts w:ascii="Times New Roman" w:hAnsi="Times New Roman" w:eastAsia="Verdana"/>
          <w:b/>
          <w:sz w:val="24"/>
        </w:rPr>
      </w:pPr>
      <w:r w:rsidRPr="00FE0A25">
        <w:rPr>
          <w:rFonts w:ascii="Times New Roman" w:hAnsi="Times New Roman" w:eastAsia="Verdana"/>
          <w:b/>
          <w:sz w:val="24"/>
        </w:rPr>
        <w:t>Artikel 15.50 (beslag op schadeloosstelling of voorlopige schadeloosstelling)</w:t>
      </w:r>
    </w:p>
    <w:p w:rsidRPr="00FE0A25" w:rsidR="00FE0A25" w:rsidP="00FE0A25" w:rsidRDefault="00FE0A25">
      <w:pPr>
        <w:rPr>
          <w:rFonts w:ascii="Times New Roman" w:hAnsi="Times New Roman" w:eastAsia="Verdana"/>
          <w:sz w:val="24"/>
        </w:rPr>
      </w:pPr>
    </w:p>
    <w:p w:rsidR="00E97F6E" w:rsidP="00FE0A25" w:rsidRDefault="00E97F6E">
      <w:pPr>
        <w:ind w:firstLine="284"/>
        <w:rPr>
          <w:rFonts w:ascii="Times New Roman" w:hAnsi="Times New Roman" w:eastAsia="Verdana"/>
          <w:sz w:val="24"/>
        </w:rPr>
      </w:pPr>
      <w:r w:rsidRPr="00FE0A25">
        <w:rPr>
          <w:rFonts w:ascii="Times New Roman" w:hAnsi="Times New Roman" w:eastAsia="Verdana"/>
          <w:sz w:val="24"/>
        </w:rPr>
        <w:t>Als onder de onteigenaar beslag op de schadeloosstelling of de voorlopige schadeloosstelling is gelegd, laat hij het bedrag dat hij zonder het beslag aan de beslagene had moeten uitbetalen consigneren in overeenstemming met de Wet op de consignatie van gelden.</w:t>
      </w:r>
    </w:p>
    <w:p w:rsidRPr="00FE0A25" w:rsidR="00FE0A25" w:rsidP="00FE0A25" w:rsidRDefault="00FE0A25">
      <w:pPr>
        <w:rPr>
          <w:rFonts w:ascii="Times New Roman" w:hAnsi="Times New Roman" w:eastAsia="Verdana"/>
          <w:sz w:val="24"/>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15.51 (schadeloosstelling bij niet-tijdige inschrijving onteigeningsakte)</w:t>
      </w:r>
    </w:p>
    <w:p w:rsidRPr="00E97F6E" w:rsidR="00E97F6E" w:rsidP="00E97F6E" w:rsidRDefault="00E97F6E">
      <w:pPr>
        <w:rPr>
          <w:rFonts w:ascii="Times New Roman" w:hAnsi="Times New Roman" w:eastAsia="Calibri"/>
          <w:b/>
          <w:sz w:val="24"/>
          <w:lang w:eastAsia="en-US"/>
        </w:rPr>
      </w:pPr>
    </w:p>
    <w:p w:rsidR="00D879CB" w:rsidP="00D879CB" w:rsidRDefault="00E97F6E">
      <w:pPr>
        <w:ind w:firstLine="284"/>
        <w:rPr>
          <w:rFonts w:ascii="Times New Roman" w:hAnsi="Times New Roman" w:eastAsia="Verdana"/>
          <w:sz w:val="24"/>
        </w:rPr>
      </w:pPr>
      <w:r w:rsidRPr="00D879CB">
        <w:rPr>
          <w:rFonts w:ascii="Times New Roman" w:hAnsi="Times New Roman" w:eastAsia="Verdana"/>
          <w:sz w:val="24"/>
        </w:rPr>
        <w:t>1. Als het verzoek tot het opmaken van de onteigeningsakte niet binnen de in artikel 11.15 bedoelde termijn is gedaan, is de onteigenende partij schadeplichtig en hebben de belanghebbenden de keuze een vaste schadeloosstelling of volledig</w:t>
      </w:r>
      <w:r w:rsidRPr="00D879CB" w:rsidR="00D879CB">
        <w:rPr>
          <w:rFonts w:ascii="Times New Roman" w:hAnsi="Times New Roman" w:eastAsia="Verdana"/>
          <w:sz w:val="24"/>
        </w:rPr>
        <w:t>e schadevergoeding te vorderen.</w:t>
      </w:r>
    </w:p>
    <w:p w:rsidR="00D879CB" w:rsidP="00D879CB" w:rsidRDefault="00E97F6E">
      <w:pPr>
        <w:ind w:firstLine="284"/>
        <w:rPr>
          <w:rFonts w:ascii="Times New Roman" w:hAnsi="Times New Roman" w:eastAsia="Verdana"/>
          <w:sz w:val="24"/>
        </w:rPr>
      </w:pPr>
      <w:r w:rsidRPr="00D879CB">
        <w:rPr>
          <w:rFonts w:ascii="Times New Roman" w:hAnsi="Times New Roman" w:eastAsia="Verdana"/>
          <w:sz w:val="24"/>
        </w:rPr>
        <w:t>2. De vaste schadeloosstelling bedraagt tien procent van de voor elk van de door de rechtbank bij beschikking vastgestelde of</w:t>
      </w:r>
      <w:r w:rsidR="00D879CB">
        <w:rPr>
          <w:rFonts w:ascii="Times New Roman" w:hAnsi="Times New Roman" w:eastAsia="Verdana"/>
          <w:sz w:val="24"/>
        </w:rPr>
        <w:t xml:space="preserve"> vermelde schadeloosstellingen.</w:t>
      </w:r>
    </w:p>
    <w:p w:rsidR="00D879CB" w:rsidP="00D879CB" w:rsidRDefault="00E97F6E">
      <w:pPr>
        <w:ind w:firstLine="284"/>
        <w:rPr>
          <w:rFonts w:ascii="Times New Roman" w:hAnsi="Times New Roman" w:eastAsia="Verdana"/>
          <w:sz w:val="24"/>
        </w:rPr>
      </w:pPr>
      <w:r w:rsidRPr="00D879CB">
        <w:rPr>
          <w:rFonts w:ascii="Times New Roman" w:hAnsi="Times New Roman" w:eastAsia="Verdana"/>
          <w:sz w:val="24"/>
        </w:rPr>
        <w:t>3. Als volledige schadevergoeding wordt gevorderd, worden onder de schade ook begrepen de redelijkerwijs gemaakte kosten van rechtsbijstand en andere deskundige bijstand, en de wettelijke rente over het bedrag van de schadevergoeding vanaf de dag waarop de rechtbank de schade</w:t>
      </w:r>
      <w:r w:rsidR="00D879CB">
        <w:rPr>
          <w:rFonts w:ascii="Times New Roman" w:hAnsi="Times New Roman" w:eastAsia="Verdana"/>
          <w:sz w:val="24"/>
        </w:rPr>
        <w:t>loosstelling heeft vastgesteld.</w:t>
      </w:r>
    </w:p>
    <w:p w:rsidRPr="00D879CB" w:rsidR="00E97F6E" w:rsidP="00D879CB" w:rsidRDefault="00E97F6E">
      <w:pPr>
        <w:ind w:firstLine="284"/>
        <w:rPr>
          <w:rFonts w:ascii="Times New Roman" w:hAnsi="Times New Roman" w:eastAsia="Verdana"/>
          <w:sz w:val="24"/>
        </w:rPr>
      </w:pPr>
      <w:r w:rsidRPr="00D879CB">
        <w:rPr>
          <w:rFonts w:ascii="Times New Roman" w:hAnsi="Times New Roman" w:eastAsia="Verdana"/>
          <w:sz w:val="24"/>
        </w:rPr>
        <w:t>4. Tot kennisneming van de vordering is de rechtbank bevoegd, waarbij het verzoek om de schadeloosstelling, bedoeld in artikel 11.14, te bepalen is ingediend.</w:t>
      </w:r>
    </w:p>
    <w:p w:rsidR="00D879CB" w:rsidP="00E97F6E" w:rsidRDefault="00D879CB">
      <w:pPr>
        <w:rPr>
          <w:rFonts w:ascii="Times New Roman" w:hAnsi="Times New Roman" w:eastAsia="Verdana"/>
          <w:sz w:val="24"/>
        </w:rPr>
      </w:pPr>
    </w:p>
    <w:p w:rsidRPr="00E97F6E" w:rsidR="00E97F6E" w:rsidP="00D879CB" w:rsidRDefault="00EA2CC2">
      <w:pPr>
        <w:ind w:firstLine="284"/>
        <w:rPr>
          <w:rFonts w:ascii="Times New Roman" w:hAnsi="Times New Roman" w:eastAsia="Verdana"/>
          <w:sz w:val="24"/>
        </w:rPr>
      </w:pPr>
      <w:r>
        <w:rPr>
          <w:rFonts w:ascii="Times New Roman" w:hAnsi="Times New Roman" w:eastAsia="Verdana"/>
          <w:sz w:val="24"/>
        </w:rPr>
        <w:t>3</w:t>
      </w:r>
      <w:r w:rsidRPr="00E97F6E" w:rsidR="00E97F6E">
        <w:rPr>
          <w:rFonts w:ascii="Times New Roman" w:hAnsi="Times New Roman" w:eastAsia="Verdana"/>
          <w:sz w:val="24"/>
        </w:rPr>
        <w:t>. Na afdeling 15.3 (nieuw) wordt een afdeling ingevoegd, luidende:</w:t>
      </w:r>
    </w:p>
    <w:p w:rsidRPr="00D879CB"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AFDELING 15.4 SCHADEVERGOEDING BIJ VOORKEURSRECHTEN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15.52 (schadevergoeding voorkeursrecht)</w:t>
      </w:r>
    </w:p>
    <w:p w:rsidRPr="00E97F6E" w:rsidR="00E97F6E" w:rsidP="00E97F6E" w:rsidRDefault="00E97F6E">
      <w:pPr>
        <w:rPr>
          <w:rFonts w:ascii="Times New Roman" w:hAnsi="Times New Roman" w:eastAsia="Verdana"/>
          <w:sz w:val="24"/>
        </w:rPr>
      </w:pP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1. De vervreemder kan vorderen dat de gemeente, de provincie of de Staat hem de schade zal vergoeden die hij als gevolg van de overdracht van een onroerende zaak of van een beperkt recht aan de gemeente, de provincie of de Staat op grond van afdeling 9.2 mocht hebben geleden, voor zover na de overdracht de functie waarvoor h</w:t>
      </w:r>
      <w:r w:rsidRPr="00EF5E9B" w:rsidR="00EF5E9B">
        <w:rPr>
          <w:rFonts w:ascii="Times New Roman" w:hAnsi="Times New Roman" w:eastAsia="Verdana"/>
          <w:sz w:val="24"/>
        </w:rPr>
        <w:t>et voorkeursrecht is gevestigd:</w:t>
      </w: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a. op grond van artikel 9.1, eerste lid, onder a of b, niet is verwezenlijkt en bij een onherroepelijk omgevingsplan een functie is toegedeeld waarmee de vestiging van het voorkeursrecht in dat geval zou zijn uitgesloten,</w:t>
      </w: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b. op grond van artikel 9.1, eerste lid, onder c, niet uiterlijk op de laatste dag van de geldingsduur van dat voorkeursrecht is toegedeeld in een omgevingsplan of is toegedacht in een gemeentelijke, een provinciale respectievelijk de nationale omgevingsvisie of programma, of</w:t>
      </w:r>
    </w:p>
    <w:p w:rsidRPr="00EF5E9B" w:rsidR="00EF5E9B" w:rsidP="00EF5E9B" w:rsidRDefault="00E97F6E">
      <w:pPr>
        <w:ind w:firstLine="284"/>
        <w:rPr>
          <w:rFonts w:ascii="Times New Roman" w:hAnsi="Times New Roman" w:eastAsia="Verdana"/>
          <w:sz w:val="24"/>
        </w:rPr>
      </w:pPr>
      <w:r w:rsidRPr="00EF5E9B">
        <w:rPr>
          <w:rFonts w:ascii="Times New Roman" w:hAnsi="Times New Roman" w:eastAsia="Verdana"/>
          <w:sz w:val="24"/>
        </w:rPr>
        <w:t>c. op grond van artikel 9.1, tweede lid, niet uiterlijk op de laatste dag van de geldingsduur van dat voorkeursrecht is opgenomen in een voorkeursrechtbeschikking op grond van artikel 9.1</w:t>
      </w:r>
      <w:r w:rsidRPr="00EF5E9B" w:rsidR="00EF5E9B">
        <w:rPr>
          <w:rFonts w:ascii="Times New Roman" w:hAnsi="Times New Roman" w:eastAsia="Verdana"/>
          <w:sz w:val="24"/>
        </w:rPr>
        <w:t xml:space="preserve">, eerste lid, onder a, b of c. </w:t>
      </w:r>
    </w:p>
    <w:p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lastRenderedPageBreak/>
        <w:t>2. Ten aanzien van een vordering tot schadevergoeding als bedoeld in het eerste lid is de burgerlijke rechter bevoegd binnen wiens rechtsgebied de onroerende zaak waarop het voorkeursrecht rustte geheel of grotendeels ligt.</w:t>
      </w:r>
    </w:p>
    <w:p w:rsidRPr="00EF5E9B" w:rsidR="00EF5E9B" w:rsidP="00EF5E9B" w:rsidRDefault="00EF5E9B">
      <w:pPr>
        <w:rPr>
          <w:rFonts w:ascii="Times New Roman" w:hAnsi="Times New Roman" w:eastAsia="Verdana"/>
          <w:sz w:val="24"/>
        </w:rPr>
      </w:pPr>
    </w:p>
    <w:p w:rsidRPr="00EF5E9B" w:rsidR="00E97F6E" w:rsidP="00EF5E9B" w:rsidRDefault="00E97F6E">
      <w:pPr>
        <w:rPr>
          <w:rFonts w:ascii="Times New Roman" w:hAnsi="Times New Roman" w:eastAsia="Verdana"/>
          <w:sz w:val="24"/>
        </w:rPr>
      </w:pPr>
      <w:r w:rsidRPr="00EF5E9B">
        <w:rPr>
          <w:rFonts w:ascii="Times New Roman" w:hAnsi="Times New Roman" w:eastAsia="Verdana"/>
          <w:sz w:val="24"/>
        </w:rPr>
        <w:t>K</w:t>
      </w:r>
    </w:p>
    <w:p w:rsidR="00EF5E9B" w:rsidP="00EF5E9B" w:rsidRDefault="00EF5E9B">
      <w:pPr>
        <w:rPr>
          <w:rFonts w:ascii="Times New Roman" w:hAnsi="Times New Roman" w:eastAsia="Verdana"/>
          <w:sz w:val="24"/>
        </w:rPr>
      </w:pP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Hoofdstuk 16 wordt als volgt gewijzigd:</w:t>
      </w:r>
    </w:p>
    <w:p w:rsidR="00EF5E9B" w:rsidP="00EF5E9B" w:rsidRDefault="00EF5E9B">
      <w:pPr>
        <w:rPr>
          <w:rFonts w:ascii="Times New Roman" w:hAnsi="Times New Roman" w:eastAsia="Verdana"/>
          <w:sz w:val="24"/>
        </w:rPr>
      </w:pPr>
    </w:p>
    <w:p w:rsidRPr="009377F5" w:rsidR="009377F5" w:rsidP="009377F5" w:rsidRDefault="009377F5">
      <w:pPr>
        <w:ind w:firstLine="284"/>
        <w:rPr>
          <w:rFonts w:ascii="Times New Roman" w:hAnsi="Times New Roman" w:eastAsia="Verdana"/>
          <w:sz w:val="24"/>
        </w:rPr>
      </w:pPr>
      <w:r w:rsidRPr="009377F5">
        <w:rPr>
          <w:rFonts w:ascii="Times New Roman" w:hAnsi="Times New Roman" w:eastAsia="Verdana"/>
          <w:sz w:val="24"/>
        </w:rPr>
        <w:t>1. Aan artikel 16.16 wordt een lid toegevoegd, luidende:</w:t>
      </w:r>
    </w:p>
    <w:p w:rsidRPr="009377F5" w:rsidR="009377F5" w:rsidP="009377F5" w:rsidRDefault="009377F5">
      <w:pPr>
        <w:rPr>
          <w:rFonts w:ascii="Times New Roman" w:hAnsi="Times New Roman" w:eastAsia="Verdana"/>
          <w:sz w:val="24"/>
        </w:rPr>
      </w:pPr>
      <w:r w:rsidRPr="009377F5">
        <w:rPr>
          <w:rFonts w:ascii="Times New Roman" w:hAnsi="Times New Roman" w:eastAsia="Verdana"/>
          <w:sz w:val="24"/>
        </w:rPr>
        <w:tab/>
        <w:t>5. In afwijking van artikel 10:3, tweede lid, aanhef en onder c, van de Algemene wet bestuursrecht kan het aangewezen bestuursorgaan mandaat verlenen om te beslissen over de instemming.</w:t>
      </w:r>
    </w:p>
    <w:p w:rsidRPr="009377F5" w:rsidR="009377F5" w:rsidP="009377F5" w:rsidRDefault="009377F5">
      <w:pPr>
        <w:rPr>
          <w:rFonts w:ascii="Times New Roman" w:hAnsi="Times New Roman" w:eastAsia="Verdana"/>
          <w:sz w:val="24"/>
        </w:rPr>
      </w:pPr>
    </w:p>
    <w:p w:rsidRPr="009377F5" w:rsidR="009377F5" w:rsidP="009377F5" w:rsidRDefault="009377F5">
      <w:pPr>
        <w:rPr>
          <w:rFonts w:ascii="Times New Roman" w:hAnsi="Times New Roman" w:eastAsia="Verdana"/>
          <w:sz w:val="24"/>
        </w:rPr>
      </w:pPr>
      <w:r w:rsidRPr="009377F5">
        <w:rPr>
          <w:rFonts w:ascii="Times New Roman" w:hAnsi="Times New Roman" w:eastAsia="Verdana"/>
          <w:sz w:val="24"/>
        </w:rPr>
        <w:tab/>
        <w:t xml:space="preserve">2. Artikel 16.21, eerste lid, aanhef, komt te luiden: </w:t>
      </w:r>
    </w:p>
    <w:p w:rsidR="009377F5" w:rsidP="009377F5" w:rsidRDefault="009377F5">
      <w:pPr>
        <w:rPr>
          <w:rFonts w:ascii="Times New Roman" w:hAnsi="Times New Roman" w:eastAsia="Verdana"/>
          <w:sz w:val="24"/>
        </w:rPr>
      </w:pPr>
      <w:r w:rsidRPr="009377F5">
        <w:rPr>
          <w:rFonts w:ascii="Times New Roman" w:hAnsi="Times New Roman" w:eastAsia="Verdana"/>
          <w:sz w:val="24"/>
        </w:rPr>
        <w:tab/>
        <w:t>Gedeputeerde staten kunnen besluiten dat een onderdeel van een besluit tot vaststelling of wijziging van een omgevingsplan geen deel daarvan uitmaakt als:.</w:t>
      </w:r>
    </w:p>
    <w:p w:rsidR="009377F5" w:rsidP="00EF5E9B" w:rsidRDefault="009377F5">
      <w:pPr>
        <w:rPr>
          <w:rFonts w:ascii="Times New Roman" w:hAnsi="Times New Roman" w:eastAsia="Verdana"/>
          <w:sz w:val="24"/>
        </w:rPr>
      </w:pPr>
    </w:p>
    <w:p w:rsidRPr="00EF5E9B" w:rsidR="00E97F6E" w:rsidP="00EF5E9B" w:rsidRDefault="009377F5">
      <w:pPr>
        <w:ind w:firstLine="284"/>
        <w:rPr>
          <w:rFonts w:ascii="Times New Roman" w:hAnsi="Times New Roman" w:eastAsia="Verdana"/>
          <w:sz w:val="24"/>
        </w:rPr>
      </w:pPr>
      <w:r>
        <w:rPr>
          <w:rFonts w:ascii="Times New Roman" w:hAnsi="Times New Roman" w:eastAsia="Verdana"/>
          <w:sz w:val="24"/>
        </w:rPr>
        <w:t>3</w:t>
      </w:r>
      <w:r w:rsidRPr="00EF5E9B" w:rsidR="00E97F6E">
        <w:rPr>
          <w:rFonts w:ascii="Times New Roman" w:hAnsi="Times New Roman" w:eastAsia="Verdana"/>
          <w:sz w:val="24"/>
        </w:rPr>
        <w:t>. Aan artikel 16.23 wordt een lid toegevoegd, luidende:</w:t>
      </w: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3. In afwijking van het eerste lid kunnen zienswijzen over een onteigeningsbeschikking naar voren worden</w:t>
      </w:r>
      <w:r w:rsidR="0039287A">
        <w:rPr>
          <w:rFonts w:ascii="Times New Roman" w:hAnsi="Times New Roman" w:eastAsia="Verdana"/>
          <w:sz w:val="24"/>
        </w:rPr>
        <w:t xml:space="preserve"> gebracht door belanghebbenden.</w:t>
      </w:r>
    </w:p>
    <w:p w:rsidR="00EF5E9B" w:rsidP="00EF5E9B" w:rsidRDefault="00EF5E9B">
      <w:pPr>
        <w:rPr>
          <w:rFonts w:ascii="Times New Roman" w:hAnsi="Times New Roman" w:eastAsia="Calibri"/>
          <w:sz w:val="24"/>
          <w:lang w:eastAsia="en-US"/>
        </w:rPr>
      </w:pPr>
    </w:p>
    <w:p w:rsidRPr="00EF5E9B" w:rsidR="00E97F6E" w:rsidP="00EF5E9B" w:rsidRDefault="009377F5">
      <w:pPr>
        <w:ind w:firstLine="284"/>
        <w:rPr>
          <w:rFonts w:ascii="Times New Roman" w:hAnsi="Times New Roman" w:eastAsia="Calibri"/>
          <w:sz w:val="24"/>
          <w:lang w:eastAsia="en-US"/>
        </w:rPr>
      </w:pPr>
      <w:r>
        <w:rPr>
          <w:rFonts w:ascii="Times New Roman" w:hAnsi="Times New Roman" w:eastAsia="Calibri"/>
          <w:sz w:val="24"/>
          <w:lang w:eastAsia="en-US"/>
        </w:rPr>
        <w:t>4</w:t>
      </w:r>
      <w:r w:rsidRPr="00EF5E9B" w:rsidR="00E97F6E">
        <w:rPr>
          <w:rFonts w:ascii="Times New Roman" w:hAnsi="Times New Roman" w:eastAsia="Calibri"/>
          <w:sz w:val="24"/>
          <w:lang w:eastAsia="en-US"/>
        </w:rPr>
        <w:t>. In artikel 16.24 wordt “de paragrafen 16.3.2 tot en met 16.3.6” vervangen door “de paragrafen 16.3.2 tot en met 16.3.9”.</w:t>
      </w:r>
    </w:p>
    <w:p w:rsidRPr="00E97F6E" w:rsidR="00E97F6E" w:rsidP="00E97F6E" w:rsidRDefault="00E97F6E">
      <w:pPr>
        <w:rPr>
          <w:rFonts w:ascii="Times New Roman" w:hAnsi="Times New Roman" w:eastAsia="Calibri"/>
          <w:sz w:val="24"/>
          <w:lang w:eastAsia="en-US"/>
        </w:rPr>
      </w:pPr>
    </w:p>
    <w:p w:rsidRPr="00E97F6E" w:rsidR="00E97F6E" w:rsidP="00EF5E9B" w:rsidRDefault="009377F5">
      <w:pPr>
        <w:ind w:firstLine="284"/>
        <w:rPr>
          <w:rFonts w:ascii="Times New Roman" w:hAnsi="Times New Roman" w:eastAsia="Calibri"/>
          <w:sz w:val="24"/>
          <w:lang w:eastAsia="en-US"/>
        </w:rPr>
      </w:pPr>
      <w:r>
        <w:rPr>
          <w:rFonts w:ascii="Times New Roman" w:hAnsi="Times New Roman" w:eastAsia="Calibri"/>
          <w:sz w:val="24"/>
          <w:lang w:eastAsia="en-US"/>
        </w:rPr>
        <w:t>5</w:t>
      </w:r>
      <w:r w:rsidRPr="00E97F6E" w:rsidR="00E97F6E">
        <w:rPr>
          <w:rFonts w:ascii="Times New Roman" w:hAnsi="Times New Roman" w:eastAsia="Calibri"/>
          <w:sz w:val="24"/>
          <w:lang w:eastAsia="en-US"/>
        </w:rPr>
        <w:t xml:space="preserve">. Onder vernummering van paragraaf 16.3.6 tot paragraaf 16.3.7 wordt na artikel 16.32a een paragraaf ingevoegd, luidende: </w:t>
      </w:r>
    </w:p>
    <w:p w:rsidRPr="00EF5E9B"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16.3.6 Voorkeursrechtbeschikking</w:t>
      </w:r>
    </w:p>
    <w:p w:rsidRPr="00E97F6E" w:rsidR="00E97F6E" w:rsidP="00E97F6E" w:rsidRDefault="00E97F6E">
      <w:pPr>
        <w:rPr>
          <w:rFonts w:ascii="Times New Roman" w:hAnsi="Times New Roman" w:eastAsia="Calibri"/>
          <w:b/>
          <w:sz w:val="24"/>
          <w:lang w:eastAsia="en-US"/>
        </w:rPr>
      </w:pPr>
    </w:p>
    <w:p w:rsidR="00E97F6E" w:rsidP="0039287A" w:rsidRDefault="00E97F6E">
      <w:pPr>
        <w:rPr>
          <w:rFonts w:ascii="Times New Roman" w:hAnsi="Times New Roman" w:eastAsia="Verdana"/>
          <w:b/>
          <w:sz w:val="24"/>
        </w:rPr>
      </w:pPr>
      <w:r w:rsidRPr="0039287A">
        <w:rPr>
          <w:rFonts w:ascii="Times New Roman" w:hAnsi="Times New Roman" w:eastAsia="Verdana"/>
          <w:b/>
          <w:sz w:val="24"/>
        </w:rPr>
        <w:t>Artikel 16.32b (terinzageleg</w:t>
      </w:r>
      <w:r w:rsidR="0039287A">
        <w:rPr>
          <w:rFonts w:ascii="Times New Roman" w:hAnsi="Times New Roman" w:eastAsia="Verdana"/>
          <w:b/>
          <w:sz w:val="24"/>
        </w:rPr>
        <w:t>ging voorkeursrechtbeschikking)</w:t>
      </w:r>
    </w:p>
    <w:p w:rsidRPr="0039287A" w:rsidR="0039287A" w:rsidP="0039287A" w:rsidRDefault="0039287A">
      <w:pPr>
        <w:rPr>
          <w:rFonts w:ascii="Times New Roman" w:hAnsi="Times New Roman" w:eastAsia="Verdana"/>
          <w:b/>
          <w:sz w:val="24"/>
        </w:rPr>
      </w:pP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 xml:space="preserve">1. Een voorkeursrechtbeschikking ligt gedurende de bezwaartermijn ter inzage binnen de gemeente of gemeenten waarin de onroerende zaak ligt. </w:t>
      </w: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2. Het bestuursorgaan geeft kennis van de terinzagelegging en de zakelijke inhoud van de voorkeursrechtbeschikking in een of meer dag-, nieuws-, of huis-aan-huisbladen of op een andere geschikte wijze.</w:t>
      </w: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3. Als het een voorkeursrechtbeschikking van Onze Minister van Binnenlandse Zaken en Koninkrijksrelaties betreft, wordt de kennisgeving ook in de Staatscourant geplaatst.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16.32c (bezwaar)</w:t>
      </w:r>
    </w:p>
    <w:p w:rsidRPr="00E97F6E" w:rsidR="00E97F6E" w:rsidP="00E97F6E" w:rsidRDefault="00E97F6E">
      <w:pPr>
        <w:rPr>
          <w:rFonts w:ascii="Times New Roman" w:hAnsi="Times New Roman" w:eastAsia="Verdana"/>
          <w:b/>
          <w:sz w:val="24"/>
        </w:rPr>
      </w:pP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 xml:space="preserve">1. Als bezwaar aanhangig is tegen een voorkeursrechtbeschikking van het college van burgemeester en wethouders en die beschikking vervalt omdat voor de onroerende zaak een voorkeursrechtbeschikking van de gemeenteraad in werking is getreden, wordt het bezwaar geacht te zijn gericht tegen de voorkeursrechtbeschikking van de gemeenteraad. </w:t>
      </w: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2. Het eerste lid is van overeenkomstige toepassing als het bezwaar is gericht tegen een voorkeursrechtbeschikking van gedeputeerde staten en die beschikking vervalt omdat voor de onroerende zaak een voorkeursrechtbeschikking van provinciale staten in werking is getreden.</w:t>
      </w:r>
    </w:p>
    <w:p w:rsidRPr="00E97F6E" w:rsidR="00E97F6E" w:rsidP="00E97F6E" w:rsidRDefault="00E97F6E">
      <w:pPr>
        <w:rPr>
          <w:rFonts w:ascii="Times New Roman" w:hAnsi="Times New Roman" w:eastAsia="Calibri"/>
          <w:sz w:val="24"/>
          <w:lang w:eastAsia="en-US"/>
        </w:rPr>
      </w:pPr>
    </w:p>
    <w:p w:rsidRPr="00E97F6E" w:rsidR="00E97F6E" w:rsidP="00AB0767" w:rsidRDefault="009377F5">
      <w:pPr>
        <w:ind w:firstLine="284"/>
        <w:rPr>
          <w:rFonts w:ascii="Times New Roman" w:hAnsi="Times New Roman" w:eastAsia="Calibri"/>
          <w:sz w:val="24"/>
          <w:lang w:eastAsia="en-US"/>
        </w:rPr>
      </w:pPr>
      <w:r>
        <w:rPr>
          <w:rFonts w:ascii="Times New Roman" w:hAnsi="Times New Roman" w:eastAsia="Calibri"/>
          <w:sz w:val="24"/>
          <w:lang w:eastAsia="en-US"/>
        </w:rPr>
        <w:lastRenderedPageBreak/>
        <w:t>6</w:t>
      </w:r>
      <w:r w:rsidRPr="00E97F6E" w:rsidR="00E97F6E">
        <w:rPr>
          <w:rFonts w:ascii="Times New Roman" w:hAnsi="Times New Roman" w:eastAsia="Calibri"/>
          <w:sz w:val="24"/>
          <w:lang w:eastAsia="en-US"/>
        </w:rPr>
        <w:t>. Na artikel 16.33a worden twee paragrafen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i/>
          <w:sz w:val="24"/>
          <w:lang w:eastAsia="en-US"/>
        </w:rPr>
        <w:t>§ 16.3.8 Onteigeningsbeschikking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16.33b (voorbereiding onteigeningsbeschikking)</w:t>
      </w:r>
    </w:p>
    <w:p w:rsidRPr="00E97F6E" w:rsidR="00E97F6E" w:rsidP="00E97F6E" w:rsidRDefault="00E97F6E">
      <w:pPr>
        <w:rPr>
          <w:rFonts w:ascii="Times New Roman" w:hAnsi="Times New Roman" w:eastAsia="Verdana"/>
          <w:sz w:val="24"/>
        </w:rPr>
      </w:pP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Afdeling 3.4 van de Algemene wet bestuursrecht is van toepassing op de voorbereiding v</w:t>
      </w:r>
      <w:r w:rsidR="00AB0767">
        <w:rPr>
          <w:rFonts w:ascii="Times New Roman" w:hAnsi="Times New Roman" w:eastAsia="Verdana"/>
          <w:sz w:val="24"/>
        </w:rPr>
        <w:t>an een onteigeningsbeschikking.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16.33c (toezending </w:t>
      </w:r>
      <w:r w:rsidR="00AB0767">
        <w:rPr>
          <w:rFonts w:ascii="Times New Roman" w:hAnsi="Times New Roman" w:eastAsia="Verdana"/>
          <w:b/>
          <w:sz w:val="24"/>
        </w:rPr>
        <w:t>ontwerponteigeningsbeschikking)</w:t>
      </w:r>
    </w:p>
    <w:p w:rsidRPr="00E97F6E" w:rsidR="00E97F6E" w:rsidP="00E97F6E" w:rsidRDefault="00E97F6E">
      <w:pPr>
        <w:rPr>
          <w:rFonts w:ascii="Times New Roman" w:hAnsi="Times New Roman" w:eastAsia="Verdana"/>
          <w:sz w:val="24"/>
        </w:rPr>
      </w:pP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Als een belanghebbende is overleden, buiten het Koninkrijk woont of geen bekende woonplaats heeft, wordt het ontwerp van de onteigeningsbeschikking ook toegezonden aan de erfgenaam, gevolmachtigde of bewindvoerder van de belanghebbende, tenzij er redelijkerwijs geen erfgenaam, gevolmachtigde of bewindvoerder bekend ka</w:t>
      </w:r>
      <w:r w:rsidR="00AB0767">
        <w:rPr>
          <w:rFonts w:ascii="Times New Roman" w:hAnsi="Times New Roman" w:eastAsia="Verdana"/>
          <w:sz w:val="24"/>
        </w:rPr>
        <w:t>n zijn voor het bestuursorgaan.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16.33</w:t>
      </w:r>
      <w:r w:rsidR="009377F5">
        <w:rPr>
          <w:rFonts w:ascii="Times New Roman" w:hAnsi="Times New Roman" w:eastAsia="Verdana"/>
          <w:b/>
          <w:sz w:val="24"/>
        </w:rPr>
        <w:t>d</w:t>
      </w:r>
      <w:r w:rsidRPr="00E97F6E">
        <w:rPr>
          <w:rFonts w:ascii="Times New Roman" w:hAnsi="Times New Roman" w:eastAsia="Verdana"/>
          <w:b/>
          <w:sz w:val="24"/>
        </w:rPr>
        <w:t xml:space="preserve"> (terinzagelegging en bekendmaking onteigeningsbeschikking) </w:t>
      </w:r>
    </w:p>
    <w:p w:rsidRPr="00E97F6E" w:rsidR="00E97F6E" w:rsidP="00E97F6E" w:rsidRDefault="00E97F6E">
      <w:pPr>
        <w:rPr>
          <w:rFonts w:ascii="Times New Roman" w:hAnsi="Times New Roman" w:eastAsia="Verdana"/>
          <w:b/>
          <w:sz w:val="24"/>
        </w:rPr>
      </w:pP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 xml:space="preserve">1. De terinzagelegging van de </w:t>
      </w:r>
      <w:r w:rsidRPr="009377F5" w:rsidR="009377F5">
        <w:rPr>
          <w:rFonts w:ascii="Times New Roman" w:hAnsi="Times New Roman" w:eastAsia="Verdana"/>
          <w:sz w:val="24"/>
        </w:rPr>
        <w:t>ontwerponteigeningsbeschikking</w:t>
      </w:r>
      <w:r w:rsidRPr="00E97F6E">
        <w:rPr>
          <w:rFonts w:ascii="Times New Roman" w:hAnsi="Times New Roman" w:eastAsia="Verdana"/>
          <w:sz w:val="24"/>
        </w:rPr>
        <w:t xml:space="preserve"> vindt plaats binnen de gemeente of gemeenten waarin de onroerende zaak ligt. De kosten van de terinzagelegging en de kennisgeving komen voor rekening van de onteigenaar. </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2. Bij de bekendmaking en de mededeling van de onteigeningsbeschikking vermeldt het bestuursorgaan:</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a. welke rechtbank het zal verzoeken de onteigeningsbeschikking te bekrachtigen,</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b. dat belanghebbenden binnen zes weken na de dag waarop de beschikking ter inzage is gelegd, bij die rechtbank schriftelijk bedenkingen kunnen inbrengen tegen de beschikking,</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c. dat de beschikking in werking treedt met ingang van de dag na die waarop de uitspraak waarbij zij is bekrachtigd, op de voorgeschreven wijze is bekendgemaakt.</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3. Als een belanghebbende is overleden, buiten het Koninkrijk woont of geen bekende woonplaats heeft, wordt de onteigeningsbeschikking ook gezonden aan de erfgenaam, gevolmachtigde of bewindvoerder van de belanghebbende, tenzij er redelijkerwijs geen erfgenaam, gevolmachtigde of bewindvoerder bekend ka</w:t>
      </w:r>
      <w:r w:rsidR="00C6757E">
        <w:rPr>
          <w:rFonts w:ascii="Times New Roman" w:hAnsi="Times New Roman" w:eastAsia="Verdana"/>
          <w:sz w:val="24"/>
        </w:rPr>
        <w:t>n zijn voor het bestuursorgaan.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16.33</w:t>
      </w:r>
      <w:r w:rsidR="009377F5">
        <w:rPr>
          <w:rFonts w:ascii="Times New Roman" w:hAnsi="Times New Roman" w:eastAsia="Verdana"/>
          <w:b/>
          <w:sz w:val="24"/>
        </w:rPr>
        <w:t>e</w:t>
      </w:r>
      <w:r w:rsidRPr="00E97F6E">
        <w:rPr>
          <w:rFonts w:ascii="Times New Roman" w:hAnsi="Times New Roman" w:eastAsia="Verdana"/>
          <w:b/>
          <w:sz w:val="24"/>
        </w:rPr>
        <w:t xml:space="preserve"> (inwerkingtreding onteigeningsbeschikking)</w:t>
      </w:r>
    </w:p>
    <w:p w:rsidRPr="00E97F6E" w:rsidR="00E97F6E" w:rsidP="00E97F6E" w:rsidRDefault="00E97F6E">
      <w:pPr>
        <w:rPr>
          <w:rFonts w:ascii="Times New Roman" w:hAnsi="Times New Roman" w:eastAsia="Verdana"/>
          <w:b/>
          <w:sz w:val="24"/>
        </w:rPr>
      </w:pPr>
    </w:p>
    <w:p w:rsidR="00E97F6E" w:rsidP="00C6757E" w:rsidRDefault="00E97F6E">
      <w:pPr>
        <w:ind w:firstLine="284"/>
        <w:rPr>
          <w:rFonts w:ascii="Times New Roman" w:hAnsi="Times New Roman" w:eastAsia="Verdana"/>
          <w:sz w:val="24"/>
        </w:rPr>
      </w:pPr>
      <w:r w:rsidRPr="00C6757E">
        <w:rPr>
          <w:rFonts w:ascii="Times New Roman" w:hAnsi="Times New Roman" w:eastAsia="Verdana"/>
          <w:sz w:val="24"/>
        </w:rPr>
        <w:t>Een onteigeningsbeschikking treedt in werking met ingang van de dag na die waarop de uitspraak waarbij zij is bekrachtigd, ter inzage is gelegd.</w:t>
      </w:r>
    </w:p>
    <w:p w:rsidRPr="00C6757E" w:rsidR="00C6757E" w:rsidP="00C6757E" w:rsidRDefault="00C6757E">
      <w:pPr>
        <w:rPr>
          <w:rFonts w:ascii="Times New Roman" w:hAnsi="Times New Roman" w:eastAsia="Verdana"/>
          <w:sz w:val="24"/>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16.3.9 Landinrichting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f</w:t>
      </w:r>
      <w:r w:rsidRPr="00E97F6E">
        <w:rPr>
          <w:rFonts w:ascii="Times New Roman" w:hAnsi="Times New Roman" w:eastAsia="Calibri"/>
          <w:b/>
          <w:sz w:val="24"/>
          <w:lang w:eastAsia="en-US"/>
        </w:rPr>
        <w:t xml:space="preserve"> (toepassing afdeling 3.4 Algemene wet bestuursrecht op inrichtingsbesluit)</w:t>
      </w:r>
    </w:p>
    <w:p w:rsidRPr="00E97F6E" w:rsidR="00E97F6E" w:rsidP="00E97F6E" w:rsidRDefault="00E97F6E">
      <w:pPr>
        <w:rPr>
          <w:rFonts w:ascii="Times New Roman" w:hAnsi="Times New Roman" w:eastAsia="Calibri"/>
          <w:sz w:val="24"/>
          <w:lang w:eastAsia="en-US"/>
        </w:rPr>
      </w:pP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Afdeling 3.4 van de Algemene wet bestuursrecht is van toepassing op de voorbereid</w:t>
      </w:r>
      <w:r w:rsidR="009159CC">
        <w:rPr>
          <w:rFonts w:ascii="Times New Roman" w:hAnsi="Times New Roman" w:eastAsia="Calibri"/>
          <w:sz w:val="24"/>
          <w:lang w:eastAsia="en-US"/>
        </w:rPr>
        <w:t>ing van een inrichtingsbesluit.</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het inrichtingsbesluit wordt aangegeven hoe de in artikel 12.11 bedoelde openbare lichamen en rechtspersonen, voor zover deze de eigendom, het beheer of het onderhoud hadden voorafgaand aan de landinrichting, bij de voorbereiding van het ontwerp van het inrichtingsbesluit zijn betrokken en wat de resultaten daarvan zijn.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g</w:t>
      </w:r>
      <w:r w:rsidRPr="00E97F6E">
        <w:rPr>
          <w:rFonts w:ascii="Times New Roman" w:hAnsi="Times New Roman" w:eastAsia="Calibri"/>
          <w:b/>
          <w:sz w:val="24"/>
          <w:lang w:eastAsia="en-US"/>
        </w:rPr>
        <w:t xml:space="preserve"> (toepassing afdeling 3.4 Algemene wet bestuursrecht op besluit tot tijdelijk in gebruik geven)</w:t>
      </w:r>
    </w:p>
    <w:p w:rsidRPr="00E97F6E" w:rsidR="00E97F6E" w:rsidP="00E97F6E" w:rsidRDefault="00E97F6E">
      <w:pPr>
        <w:rPr>
          <w:rFonts w:ascii="Times New Roman" w:hAnsi="Times New Roman" w:eastAsia="Calibri"/>
          <w:sz w:val="24"/>
          <w:lang w:eastAsia="en-US"/>
        </w:rPr>
      </w:pP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Afdeling 3.4 van de Algemene wet bestuursrecht is van toepassing op de voorbereiding van een besluit tot het tijdelijk in gebruik geven van tot een herverkavelingsblok behorende percelen als bedoeld in artikel 12.21, eerste lid.</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Tegelijk met de kennisgeving, bedoeld in artikel 3:12, eerste lid, van de Algemene wet bestuursrecht, geven gedeputeerde staten kennis van de terinzagelegging en van de zakelijke inhoud van het ontwerpbesluit aan de bij hen bekende belanghebbenden, waaronder in ieder geval:</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zij die met betrekking tot de percelen, bedoeld in artikel 12.21, eerste lid, voorkomen op de lijst van rechthebbenden, bedoeld in artikel 12.22, die deel uitmaakt van het voor het desbetreffende herverkavelingsblok in voorbereiding zijnde of vastgestelde ruilbesluit,</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zij die in overeenstemming met artikel 16.125, eerste of tweede lid, een pachtovereenkomst met betrekking tot de percelen, bedoeld in artikel 12.21, eerste lid, ter registratie hebben ingezonden, en</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c. de wederpartij, bedoeld in artikel 16.125, vierde lid.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h</w:t>
      </w:r>
      <w:r w:rsidRPr="00E97F6E">
        <w:rPr>
          <w:rFonts w:ascii="Times New Roman" w:hAnsi="Times New Roman" w:eastAsia="Calibri"/>
          <w:b/>
          <w:sz w:val="24"/>
          <w:lang w:eastAsia="en-US"/>
        </w:rPr>
        <w:t xml:space="preserve"> (toepassing afdeling 3.4 Algemene wet bestuursrecht op ruilbesluit)</w:t>
      </w:r>
    </w:p>
    <w:p w:rsidRPr="00E97F6E" w:rsidR="00E97F6E" w:rsidP="00E97F6E" w:rsidRDefault="00E97F6E">
      <w:pPr>
        <w:rPr>
          <w:rFonts w:ascii="Times New Roman" w:hAnsi="Times New Roman" w:eastAsia="Calibri"/>
          <w:sz w:val="24"/>
          <w:lang w:eastAsia="en-US"/>
        </w:rPr>
      </w:pP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Afdeling 3.4 van de Algemene wet bestuursrecht is van toepassing op de voorbereiding van een ruilbesluit.</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het ruilbesluit wordt aangegeven hoe de eigenaren en gebruikers bij de voorbereiding van het ontwerp van het ruilbesluit zijn betrokken en wat de resultaten daarvan zijn.</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Tegelijk met de kennisgeving, bedoeld in artikel 3:12, eerste lid, van de Algemene wet bestuursrecht geven gedeputeerde staten kennis van de terinzagelegging en van de zakelijke inhoud van het ontwerpbesluit aan de bij hen bekende belanghebbenden, onder wie in ieder geval:</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zij die voorkomen op de lijst van rechthebbenden, bedoeld in artikel 12.22, die deel uitmaakt van het ontwerpbesluit,</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zij die op grond van artikel 16.125, eerste of tweede lid, een pachtovereenkomst ter registratie hebben ingezonden, </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wederpartij, bedoeld in artikel 16.125, vierde lid.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i</w:t>
      </w:r>
      <w:r w:rsidRPr="00E97F6E">
        <w:rPr>
          <w:rFonts w:ascii="Times New Roman" w:hAnsi="Times New Roman" w:eastAsia="Calibri"/>
          <w:b/>
          <w:sz w:val="24"/>
          <w:lang w:eastAsia="en-US"/>
        </w:rPr>
        <w:t xml:space="preserve"> (toepassing afdeling 3.4 Algemene wet bestuursrecht op besluit geldelijke regelingen)</w:t>
      </w:r>
    </w:p>
    <w:p w:rsidRPr="00E97F6E" w:rsidR="00E97F6E" w:rsidP="00E97F6E" w:rsidRDefault="00E97F6E">
      <w:pPr>
        <w:rPr>
          <w:rFonts w:ascii="Times New Roman" w:hAnsi="Times New Roman" w:eastAsia="Calibri"/>
          <w:sz w:val="24"/>
          <w:lang w:eastAsia="en-US"/>
        </w:rPr>
      </w:pPr>
    </w:p>
    <w:p w:rsidRPr="00E97F6E" w:rsidR="00E97F6E" w:rsidP="00F41AF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Afdeling 3.4 van de Algemene wet bestuursrecht is van toepassing op de voorbereiding van een besluit geldelijke regelingen.</w:t>
      </w:r>
    </w:p>
    <w:p w:rsidRPr="00E97F6E" w:rsidR="00E97F6E" w:rsidP="00F41AF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Tegelijk met de kennisgeving, bedoeld in artikel 3:12, eerste lid, van de Algemene wet bestuursrecht, geven gedeputeerde staten kennis van de terinzagelegging en van de zakelijke inhoud van het ontwerpbesluit aan de b</w:t>
      </w:r>
      <w:r w:rsidR="00F41AFB">
        <w:rPr>
          <w:rFonts w:ascii="Times New Roman" w:hAnsi="Times New Roman" w:eastAsia="Calibri"/>
          <w:sz w:val="24"/>
          <w:lang w:eastAsia="en-US"/>
        </w:rPr>
        <w:t>ij hen bekende belanghebbenden.</w:t>
      </w:r>
    </w:p>
    <w:p w:rsidRPr="00E97F6E" w:rsidR="00E97F6E" w:rsidP="00E97F6E" w:rsidRDefault="00E97F6E">
      <w:pPr>
        <w:rPr>
          <w:rFonts w:ascii="Times New Roman" w:hAnsi="Times New Roman" w:eastAsia="Calibri"/>
          <w:sz w:val="24"/>
          <w:lang w:eastAsia="en-US"/>
        </w:rPr>
      </w:pPr>
    </w:p>
    <w:p w:rsidRPr="00F41AFB"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j</w:t>
      </w:r>
      <w:r w:rsidRPr="00E97F6E">
        <w:rPr>
          <w:rFonts w:ascii="Times New Roman" w:hAnsi="Times New Roman" w:eastAsia="Calibri"/>
          <w:sz w:val="24"/>
          <w:lang w:eastAsia="en-US"/>
        </w:rPr>
        <w:t xml:space="preserve"> </w:t>
      </w:r>
      <w:r w:rsidRPr="00E97F6E">
        <w:rPr>
          <w:rFonts w:ascii="Times New Roman" w:hAnsi="Times New Roman" w:eastAsia="Calibri"/>
          <w:b/>
          <w:sz w:val="24"/>
          <w:lang w:eastAsia="en-US"/>
        </w:rPr>
        <w:t xml:space="preserve">(vaststelling </w:t>
      </w:r>
      <w:r w:rsidRPr="00E97F6E">
        <w:rPr>
          <w:rFonts w:ascii="Times New Roman" w:hAnsi="Times New Roman" w:eastAsia="Verdana"/>
          <w:b/>
          <w:sz w:val="24"/>
        </w:rPr>
        <w:t>besluit</w:t>
      </w:r>
      <w:r w:rsidRPr="00E97F6E">
        <w:rPr>
          <w:rFonts w:ascii="Times New Roman" w:hAnsi="Times New Roman" w:eastAsia="Verdana"/>
          <w:sz w:val="24"/>
        </w:rPr>
        <w:t xml:space="preserve"> </w:t>
      </w:r>
      <w:r w:rsidRPr="00E97F6E">
        <w:rPr>
          <w:rFonts w:ascii="Times New Roman" w:hAnsi="Times New Roman" w:eastAsia="Calibri"/>
          <w:b/>
          <w:sz w:val="24"/>
          <w:lang w:eastAsia="en-US"/>
        </w:rPr>
        <w:t>geldelijke regelingen na gelijktijdige terinzagelegging met ruilbesluit)</w:t>
      </w:r>
    </w:p>
    <w:p w:rsidRPr="00E97F6E" w:rsidR="00E97F6E" w:rsidP="00E97F6E" w:rsidRDefault="00E97F6E">
      <w:pPr>
        <w:rPr>
          <w:rFonts w:ascii="Times New Roman" w:hAnsi="Times New Roman" w:eastAsia="Calibri"/>
          <w:b/>
          <w:sz w:val="24"/>
          <w:lang w:eastAsia="en-US"/>
        </w:rPr>
      </w:pPr>
    </w:p>
    <w:p w:rsidR="00E97F6E" w:rsidP="00F41AF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Als bij gelijktijdige terinzagelegging van het ontwerp van het ruilbesluit en het ontwerp van het besluit geldelijke regelingen op grond van artikel 12.38, derde lid, zienswijzen naar </w:t>
      </w:r>
      <w:r w:rsidRPr="00E97F6E">
        <w:rPr>
          <w:rFonts w:ascii="Times New Roman" w:hAnsi="Times New Roman" w:eastAsia="Calibri"/>
          <w:sz w:val="24"/>
          <w:lang w:eastAsia="en-US"/>
        </w:rPr>
        <w:lastRenderedPageBreak/>
        <w:t>voren zijn gebracht, stellen gedeputeerde staten het besluit geldelijke regelingen vast nadat het ruilbesluit onherroepelijk is geworden.</w:t>
      </w:r>
    </w:p>
    <w:p w:rsidRPr="00E97F6E" w:rsidR="00F41AFB" w:rsidP="00F41AFB" w:rsidRDefault="00F41AFB">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k</w:t>
      </w:r>
      <w:r w:rsidRPr="00E97F6E">
        <w:rPr>
          <w:rFonts w:ascii="Times New Roman" w:hAnsi="Times New Roman" w:eastAsia="Calibri"/>
          <w:b/>
          <w:sz w:val="24"/>
          <w:lang w:eastAsia="en-US"/>
        </w:rPr>
        <w:t xml:space="preserve"> (gewijzigd ontwerp besluit geldelijke regelingen)</w:t>
      </w:r>
    </w:p>
    <w:p w:rsidRPr="00E97F6E" w:rsidR="00E97F6E" w:rsidP="00E97F6E" w:rsidRDefault="00E97F6E">
      <w:pPr>
        <w:rPr>
          <w:rFonts w:ascii="Times New Roman" w:hAnsi="Times New Roman" w:eastAsia="Calibri"/>
          <w:b/>
          <w:sz w:val="24"/>
          <w:lang w:eastAsia="en-US"/>
        </w:rPr>
      </w:pP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Als na toepassing van artikel 16.33</w:t>
      </w:r>
      <w:r w:rsidR="009377F5">
        <w:rPr>
          <w:rFonts w:ascii="Times New Roman" w:hAnsi="Times New Roman" w:eastAsia="Calibri"/>
          <w:sz w:val="24"/>
          <w:lang w:eastAsia="en-US"/>
        </w:rPr>
        <w:t>j</w:t>
      </w:r>
      <w:r w:rsidRPr="00E97F6E">
        <w:rPr>
          <w:rFonts w:ascii="Times New Roman" w:hAnsi="Times New Roman" w:eastAsia="Calibri"/>
          <w:sz w:val="24"/>
          <w:lang w:eastAsia="en-US"/>
        </w:rPr>
        <w:t xml:space="preserve"> het onherroepelijke ruilbesluit anders luidt dan het ter inzage gelegde ontwerp, stellen gedeputeerde staten een gewijzigd ontwerp op van het besluit geldelijke regelingen, waarin de geldelijke gevolgen van de wijzigingen in het ruilbesluit worden opgenomen.</w:t>
      </w: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Artikel 16.33</w:t>
      </w:r>
      <w:r w:rsidR="009377F5">
        <w:rPr>
          <w:rFonts w:ascii="Times New Roman" w:hAnsi="Times New Roman" w:eastAsia="Calibri"/>
          <w:sz w:val="24"/>
          <w:lang w:eastAsia="en-US"/>
        </w:rPr>
        <w:t>i</w:t>
      </w:r>
      <w:r w:rsidRPr="00E97F6E">
        <w:rPr>
          <w:rFonts w:ascii="Times New Roman" w:hAnsi="Times New Roman" w:eastAsia="Calibri"/>
          <w:sz w:val="24"/>
          <w:lang w:eastAsia="en-US"/>
        </w:rPr>
        <w:t xml:space="preserve"> is van overeenkomstige toepassing.</w:t>
      </w:r>
    </w:p>
    <w:p w:rsidRPr="00E97F6E" w:rsidR="00E97F6E" w:rsidP="00E97F6E" w:rsidRDefault="00E97F6E">
      <w:pPr>
        <w:rPr>
          <w:rFonts w:ascii="Times New Roman" w:hAnsi="Times New Roman" w:eastAsia="Calibri"/>
          <w:strike/>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l</w:t>
      </w:r>
      <w:r w:rsidRPr="00E97F6E">
        <w:rPr>
          <w:rFonts w:ascii="Times New Roman" w:hAnsi="Times New Roman" w:eastAsia="Calibri"/>
          <w:b/>
          <w:sz w:val="24"/>
          <w:lang w:eastAsia="en-US"/>
        </w:rPr>
        <w:t xml:space="preserve"> (beroep inrichtingsbesluit bij toedeling buiten herverkavelingsblok) </w:t>
      </w:r>
    </w:p>
    <w:p w:rsidRPr="00E97F6E" w:rsidR="00E97F6E" w:rsidP="00E97F6E" w:rsidRDefault="00E97F6E">
      <w:pPr>
        <w:rPr>
          <w:rFonts w:ascii="Times New Roman" w:hAnsi="Times New Roman" w:eastAsia="Calibri"/>
          <w:sz w:val="24"/>
          <w:lang w:eastAsia="en-US"/>
        </w:rPr>
      </w:pP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Voor zover het beroep tegen het inrichtingsbesluit betrekking had op de toedeling van eigendom, bedoeld in 12.8, eerste lid, onder a, c en d, en die toedeling betrekking had op onroerende zaken buiten het herverkavelingsblok, doen gedeputeerde staten van de uitspraak in beroep mededeling door toezending, voor inschrijving in de openbare registers, aan de Dienst voor het kadaster en de openbare registers:</w:t>
      </w: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als door de uitspraak de eigendom aan een ander wordt toegedeeld dan in de in artikel 16.124, eerste lid, bedoelde akte is vermeld,</w:t>
      </w: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als de in artikel 16.136 bedoelde herverkavelingsakte is ingeschreven in de openbare registers en door de uitspraak de eigendom aan een ander wordt toegedeeld dan in de herverkavelingsakte is vermeld.</w:t>
      </w:r>
    </w:p>
    <w:p w:rsidRPr="00E97F6E" w:rsidR="00E97F6E" w:rsidP="00E97F6E" w:rsidRDefault="00E97F6E">
      <w:pPr>
        <w:rPr>
          <w:rFonts w:ascii="Times New Roman" w:hAnsi="Times New Roman" w:eastAsia="Calibri"/>
          <w:strike/>
          <w:sz w:val="24"/>
          <w:lang w:eastAsia="en-US"/>
        </w:rPr>
      </w:pPr>
    </w:p>
    <w:p w:rsidRPr="00E97F6E" w:rsidR="00E97F6E" w:rsidP="00A4510A" w:rsidRDefault="009377F5">
      <w:pPr>
        <w:ind w:firstLine="284"/>
        <w:rPr>
          <w:rFonts w:ascii="Times New Roman" w:hAnsi="Times New Roman" w:eastAsia="Calibri"/>
          <w:sz w:val="24"/>
          <w:lang w:eastAsia="en-US"/>
        </w:rPr>
      </w:pPr>
      <w:r>
        <w:rPr>
          <w:rFonts w:ascii="Times New Roman" w:hAnsi="Times New Roman" w:eastAsia="Calibri"/>
          <w:sz w:val="24"/>
          <w:lang w:eastAsia="en-US"/>
        </w:rPr>
        <w:t>7</w:t>
      </w:r>
      <w:r w:rsidRPr="00E97F6E" w:rsidR="00E97F6E">
        <w:rPr>
          <w:rFonts w:ascii="Times New Roman" w:hAnsi="Times New Roman" w:eastAsia="Calibri"/>
          <w:sz w:val="24"/>
          <w:lang w:eastAsia="en-US"/>
        </w:rPr>
        <w:t xml:space="preserve">. </w:t>
      </w:r>
      <w:r w:rsidRPr="009377F5">
        <w:rPr>
          <w:rFonts w:ascii="Times New Roman" w:hAnsi="Times New Roman" w:eastAsia="Calibri"/>
          <w:sz w:val="24"/>
          <w:lang w:eastAsia="en-US"/>
        </w:rPr>
        <w:t>De artikelen 16.59 en 16.60 vervallen.</w:t>
      </w:r>
    </w:p>
    <w:p w:rsidRPr="00E97F6E" w:rsidR="00E97F6E" w:rsidP="00E97F6E" w:rsidRDefault="00E97F6E">
      <w:pPr>
        <w:rPr>
          <w:rFonts w:ascii="Times New Roman" w:hAnsi="Times New Roman" w:eastAsia="Calibri"/>
          <w:sz w:val="24"/>
          <w:lang w:eastAsia="en-US"/>
        </w:rPr>
      </w:pPr>
    </w:p>
    <w:p w:rsidRPr="00E97F6E" w:rsidR="00E97F6E" w:rsidP="00A4510A" w:rsidRDefault="009377F5">
      <w:pPr>
        <w:ind w:firstLine="284"/>
        <w:rPr>
          <w:rFonts w:ascii="Times New Roman" w:hAnsi="Times New Roman" w:eastAsia="Calibri"/>
          <w:sz w:val="24"/>
          <w:lang w:eastAsia="en-US"/>
        </w:rPr>
      </w:pPr>
      <w:r>
        <w:rPr>
          <w:rFonts w:ascii="Times New Roman" w:hAnsi="Times New Roman" w:eastAsia="Calibri"/>
          <w:sz w:val="24"/>
          <w:lang w:eastAsia="en-US"/>
        </w:rPr>
        <w:t>8</w:t>
      </w:r>
      <w:r w:rsidRPr="00E97F6E" w:rsidR="00E97F6E">
        <w:rPr>
          <w:rFonts w:ascii="Times New Roman" w:hAnsi="Times New Roman" w:eastAsia="Calibri"/>
          <w:sz w:val="24"/>
          <w:lang w:eastAsia="en-US"/>
        </w:rPr>
        <w:t>. Paragraaf 16.5.4 vervalt.</w:t>
      </w:r>
    </w:p>
    <w:p w:rsidRPr="00E97F6E" w:rsidR="00E97F6E" w:rsidP="00E97F6E" w:rsidRDefault="00E97F6E">
      <w:pPr>
        <w:rPr>
          <w:rFonts w:ascii="Times New Roman" w:hAnsi="Times New Roman" w:eastAsia="Calibri"/>
          <w:sz w:val="24"/>
          <w:lang w:eastAsia="en-US"/>
        </w:rPr>
      </w:pPr>
    </w:p>
    <w:p w:rsidR="007B3D6B" w:rsidP="00A4510A" w:rsidRDefault="007B3D6B">
      <w:pPr>
        <w:ind w:firstLine="284"/>
        <w:rPr>
          <w:rFonts w:ascii="Times New Roman" w:hAnsi="Times New Roman" w:eastAsia="Calibri"/>
          <w:sz w:val="24"/>
          <w:lang w:eastAsia="en-US"/>
        </w:rPr>
      </w:pPr>
      <w:r w:rsidRPr="007B3D6B">
        <w:rPr>
          <w:rFonts w:ascii="Times New Roman" w:hAnsi="Times New Roman" w:eastAsia="Calibri"/>
          <w:sz w:val="24"/>
          <w:lang w:eastAsia="en-US"/>
        </w:rPr>
        <w:t>9. De artikelen 16.75 en 16.76 vervallen.</w:t>
      </w:r>
    </w:p>
    <w:p w:rsidR="007B3D6B" w:rsidP="00A4510A" w:rsidRDefault="007B3D6B">
      <w:pPr>
        <w:ind w:firstLine="284"/>
        <w:rPr>
          <w:rFonts w:ascii="Times New Roman" w:hAnsi="Times New Roman" w:eastAsia="Calibri"/>
          <w:sz w:val="24"/>
          <w:lang w:eastAsia="en-US"/>
        </w:rPr>
      </w:pPr>
    </w:p>
    <w:p w:rsidRPr="00E97F6E" w:rsidR="00E97F6E" w:rsidP="00A4510A" w:rsidRDefault="007B3D6B">
      <w:pPr>
        <w:ind w:firstLine="284"/>
        <w:rPr>
          <w:rFonts w:ascii="Times New Roman" w:hAnsi="Times New Roman" w:eastAsia="Calibri"/>
          <w:sz w:val="24"/>
          <w:lang w:eastAsia="en-US"/>
        </w:rPr>
      </w:pPr>
      <w:r>
        <w:rPr>
          <w:rFonts w:ascii="Times New Roman" w:hAnsi="Times New Roman" w:eastAsia="Calibri"/>
          <w:sz w:val="24"/>
          <w:lang w:eastAsia="en-US"/>
        </w:rPr>
        <w:t>10</w:t>
      </w:r>
      <w:r w:rsidRPr="00E97F6E" w:rsidR="00E97F6E">
        <w:rPr>
          <w:rFonts w:ascii="Times New Roman" w:hAnsi="Times New Roman" w:eastAsia="Calibri"/>
          <w:sz w:val="24"/>
          <w:lang w:eastAsia="en-US"/>
        </w:rPr>
        <w:t>. Na afdeling 16.6 wordt een afdeling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AFDELING 16.6a KOSTENVERHAALSBESCHIKKING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16.7</w:t>
      </w:r>
      <w:r w:rsidR="007B3D6B">
        <w:rPr>
          <w:rFonts w:ascii="Times New Roman" w:hAnsi="Times New Roman" w:eastAsia="Calibri"/>
          <w:b/>
          <w:sz w:val="24"/>
          <w:lang w:eastAsia="en-US"/>
        </w:rPr>
        <w:t>5</w:t>
      </w:r>
      <w:r w:rsidRPr="00E97F6E">
        <w:rPr>
          <w:rFonts w:ascii="Times New Roman" w:hAnsi="Times New Roman" w:eastAsia="Calibri"/>
          <w:b/>
          <w:sz w:val="24"/>
        </w:rPr>
        <w:t xml:space="preserve"> (aanhoudingsregeling kostenverhaalsbeschikking)</w:t>
      </w:r>
    </w:p>
    <w:p w:rsidRPr="00E97F6E" w:rsidR="00E97F6E" w:rsidP="00E97F6E" w:rsidRDefault="00E97F6E">
      <w:pPr>
        <w:rPr>
          <w:rFonts w:ascii="Times New Roman" w:hAnsi="Times New Roman" w:eastAsia="Calibri"/>
          <w:sz w:val="24"/>
          <w:lang w:eastAsia="en-US"/>
        </w:rPr>
      </w:pP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De beslissing op een aanvraag om een beschikking als bedoeld in artikel 13.18, eerste lid, wordt aangehouden als voor de in de aanvraag bedoelde te verrichten activiteit het omgevingsplan, de omgevingsvergunning voor een buitenplanse omgevingsplanactiviteit, voor zover sprake is van een activiteit die in strijd is met een in het omgevingsplan aan een locatie toegedeelde functie of het projectbesluit nog niet onherroepelijk is. </w:t>
      </w: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aanhouding duurt totdat het betrokken besluit onherroepelijk is. </w:t>
      </w: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In afwijking van het eerste lid kan het bevoegd gezag de beschikking geven als:</w:t>
      </w: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 een ingesteld beroep tegen de in het eerste lid bedoelde besluiten geen gevolgen kan hebben voor de beoordeling van de kostenverhaalplichtige activiteit of van de aan de omgevingsvergunning voor een omgevingsplanactiviteit voor die activiteit te verbinden voorschriften, of </w:t>
      </w: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deze gevolgen volgens het bestuursorgaan niet opwegen tegen het belang dat met het geven van de beschikking is gediend.</w:t>
      </w:r>
    </w:p>
    <w:p w:rsidRPr="00E97F6E" w:rsidR="00E97F6E" w:rsidP="00E97F6E" w:rsidRDefault="00E97F6E">
      <w:pPr>
        <w:rPr>
          <w:rFonts w:ascii="Times New Roman" w:hAnsi="Times New Roman" w:eastAsia="Calibri"/>
          <w:sz w:val="24"/>
          <w:lang w:eastAsia="en-US"/>
        </w:rPr>
      </w:pPr>
    </w:p>
    <w:p w:rsidRPr="009377F5" w:rsidR="009377F5" w:rsidP="009377F5" w:rsidRDefault="009377F5">
      <w:pPr>
        <w:rPr>
          <w:rFonts w:ascii="Times New Roman" w:hAnsi="Times New Roman" w:eastAsia="Calibri"/>
          <w:b/>
          <w:sz w:val="24"/>
          <w:lang w:eastAsia="en-US"/>
        </w:rPr>
      </w:pPr>
      <w:r w:rsidRPr="009377F5">
        <w:rPr>
          <w:rFonts w:ascii="Times New Roman" w:hAnsi="Times New Roman" w:eastAsia="Calibri"/>
          <w:b/>
          <w:sz w:val="24"/>
          <w:lang w:eastAsia="en-US"/>
        </w:rPr>
        <w:t>Artikel 16.76 (zienswijze kostenverhaalsbeschikking)</w:t>
      </w:r>
    </w:p>
    <w:p w:rsidRPr="009377F5" w:rsidR="009377F5" w:rsidP="009377F5" w:rsidRDefault="009377F5">
      <w:pPr>
        <w:rPr>
          <w:rFonts w:ascii="Times New Roman" w:hAnsi="Times New Roman" w:eastAsia="Calibri"/>
          <w:b/>
          <w:sz w:val="24"/>
          <w:lang w:eastAsia="en-US"/>
        </w:rPr>
      </w:pPr>
    </w:p>
    <w:p w:rsidRPr="00E97F6E" w:rsidR="00E97F6E" w:rsidP="003411DA" w:rsidRDefault="009377F5">
      <w:pPr>
        <w:ind w:firstLine="284"/>
        <w:rPr>
          <w:rFonts w:ascii="Times New Roman" w:hAnsi="Times New Roman" w:eastAsia="Calibri"/>
          <w:sz w:val="24"/>
          <w:lang w:eastAsia="en-US"/>
        </w:rPr>
      </w:pPr>
      <w:r w:rsidRPr="009377F5">
        <w:rPr>
          <w:rFonts w:ascii="Times New Roman" w:hAnsi="Times New Roman" w:eastAsia="Calibri"/>
          <w:sz w:val="24"/>
          <w:lang w:eastAsia="en-US"/>
        </w:rPr>
        <w:tab/>
        <w:t>Voordat het bestuursorgaan een beschikking als bedoeld in artikel 13.18, eerste lid, geeft, stelt het de aanvrager in de gelegenheid zijn zienswijze naar voren te brengen.</w:t>
      </w:r>
    </w:p>
    <w:p w:rsidRPr="00E97F6E" w:rsidR="00E97F6E" w:rsidP="00E97F6E" w:rsidRDefault="00E97F6E">
      <w:pPr>
        <w:rPr>
          <w:rFonts w:ascii="Times New Roman" w:hAnsi="Times New Roman" w:eastAsia="Calibri"/>
          <w:sz w:val="24"/>
          <w:lang w:eastAsia="en-US"/>
        </w:rPr>
      </w:pPr>
    </w:p>
    <w:p w:rsidRPr="00E97F6E" w:rsidR="00E97F6E" w:rsidP="00B7609B" w:rsidRDefault="009377F5">
      <w:pPr>
        <w:ind w:firstLine="284"/>
        <w:rPr>
          <w:rFonts w:ascii="Times New Roman" w:hAnsi="Times New Roman" w:eastAsia="Calibri"/>
          <w:sz w:val="24"/>
          <w:lang w:eastAsia="en-US"/>
        </w:rPr>
      </w:pPr>
      <w:r>
        <w:rPr>
          <w:rFonts w:ascii="Times New Roman" w:hAnsi="Times New Roman" w:eastAsia="Calibri"/>
          <w:sz w:val="24"/>
          <w:lang w:eastAsia="en-US"/>
        </w:rPr>
        <w:t>11</w:t>
      </w:r>
      <w:r w:rsidRPr="00E97F6E" w:rsidR="00E97F6E">
        <w:rPr>
          <w:rFonts w:ascii="Times New Roman" w:hAnsi="Times New Roman" w:eastAsia="Calibri"/>
          <w:sz w:val="24"/>
          <w:lang w:eastAsia="en-US"/>
        </w:rPr>
        <w:t>. In paragraaf 16.7.2 worden na artikel 16.82 drie artikelen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16.82a (inschrijving en ingaan voorkeursrecht)</w:t>
      </w:r>
    </w:p>
    <w:p w:rsidRPr="00E97F6E" w:rsidR="00E97F6E" w:rsidP="00E97F6E" w:rsidRDefault="00E97F6E">
      <w:pPr>
        <w:rPr>
          <w:rFonts w:ascii="Times New Roman" w:hAnsi="Times New Roman" w:eastAsia="Calibri"/>
          <w:b/>
          <w:sz w:val="24"/>
          <w:lang w:eastAsia="en-US"/>
        </w:rPr>
      </w:pPr>
    </w:p>
    <w:p w:rsidRPr="00E97F6E" w:rsidR="00E97F6E" w:rsidP="00AC0C9E" w:rsidRDefault="00E97F6E">
      <w:pPr>
        <w:ind w:firstLine="284"/>
        <w:rPr>
          <w:rFonts w:ascii="Times New Roman" w:hAnsi="Times New Roman" w:eastAsia="Verdana"/>
          <w:sz w:val="24"/>
        </w:rPr>
      </w:pPr>
      <w:r w:rsidRPr="00E97F6E">
        <w:rPr>
          <w:rFonts w:ascii="Times New Roman" w:hAnsi="Times New Roman" w:eastAsia="Verdana"/>
          <w:sz w:val="24"/>
        </w:rPr>
        <w:t>1. Nadat een voorkeursrechtbeschikking is bekendgemaakt, kan de beschikking binnen vier dagen worden ingeschreven in de openbare registers.</w:t>
      </w:r>
    </w:p>
    <w:p w:rsidRPr="00E97F6E" w:rsidR="00E97F6E" w:rsidP="00AC0C9E" w:rsidRDefault="00E97F6E">
      <w:pPr>
        <w:ind w:firstLine="284"/>
        <w:rPr>
          <w:rFonts w:ascii="Times New Roman" w:hAnsi="Times New Roman" w:eastAsia="Verdana"/>
          <w:sz w:val="24"/>
        </w:rPr>
      </w:pPr>
      <w:r w:rsidRPr="00E97F6E">
        <w:rPr>
          <w:rFonts w:ascii="Times New Roman" w:hAnsi="Times New Roman" w:eastAsia="Verdana"/>
          <w:sz w:val="24"/>
        </w:rPr>
        <w:t>2. Het voorkeursrecht gaat in op het tijdstip waarop de beschikking is ingeschreven.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16.82b (bekendmaking inrichtingsbesluit)</w:t>
      </w:r>
    </w:p>
    <w:p w:rsidRPr="00E97F6E" w:rsidR="00E97F6E" w:rsidP="00E97F6E" w:rsidRDefault="00E97F6E">
      <w:pPr>
        <w:rPr>
          <w:rFonts w:ascii="Times New Roman" w:hAnsi="Times New Roman" w:eastAsia="Verdana"/>
          <w:b/>
          <w:sz w:val="24"/>
        </w:rPr>
      </w:pPr>
    </w:p>
    <w:p w:rsidRPr="00E97F6E" w:rsidR="00E97F6E" w:rsidP="00AC0C9E" w:rsidRDefault="00E97F6E">
      <w:pPr>
        <w:ind w:firstLine="284"/>
        <w:rPr>
          <w:rFonts w:ascii="Times New Roman" w:hAnsi="Times New Roman" w:eastAsia="Verdana"/>
          <w:sz w:val="24"/>
        </w:rPr>
      </w:pPr>
      <w:r w:rsidRPr="00E97F6E">
        <w:rPr>
          <w:rFonts w:ascii="Times New Roman" w:hAnsi="Times New Roman" w:eastAsia="Verdana"/>
          <w:sz w:val="24"/>
        </w:rPr>
        <w:t>1. De bekendmaking van een inrichtingsbesluit vindt plaats met toepassing van artikel 3:42, tweede lid, van de Algemene wet bestuursrecht.</w:t>
      </w:r>
    </w:p>
    <w:p w:rsidRPr="00E97F6E" w:rsidR="00E97F6E" w:rsidP="00AC0C9E" w:rsidRDefault="00E97F6E">
      <w:pPr>
        <w:ind w:firstLine="284"/>
        <w:rPr>
          <w:rFonts w:ascii="Times New Roman" w:hAnsi="Times New Roman" w:eastAsia="Verdana"/>
          <w:sz w:val="24"/>
        </w:rPr>
      </w:pPr>
      <w:r w:rsidRPr="00E97F6E">
        <w:rPr>
          <w:rFonts w:ascii="Times New Roman" w:hAnsi="Times New Roman" w:eastAsia="Verdana"/>
          <w:sz w:val="24"/>
        </w:rPr>
        <w:t>2. Als het inrichtingsbesluit voorziet in de toedeling van eigendom, bedoeld in artikel 12.8, eerste lid, onder a, c of d, of in de toedeling van beheer en onderhoud, bedoeld in artikel 12.8, eerste lid, onder b, c of d, wordt het inrichtingsbesluit ook toegezonden of uitgereikt aan de belanghebbenden tot wie het is gericht.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16.82c (inwerkingtreding besluiten in verband met inrichten gebieden)</w:t>
      </w:r>
    </w:p>
    <w:p w:rsidRPr="00E97F6E" w:rsidR="00E97F6E" w:rsidP="00E97F6E" w:rsidRDefault="00E97F6E">
      <w:pPr>
        <w:rPr>
          <w:rFonts w:ascii="Times New Roman" w:hAnsi="Times New Roman" w:eastAsia="Calibri"/>
          <w:b/>
          <w:sz w:val="24"/>
          <w:lang w:eastAsia="en-US"/>
        </w:rPr>
      </w:pP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besluit tot het tijdelijk in gebruik geven als bedoeld in artikel 12.21, eerste lid, en een ruilbesluit treden in werking met ingang van de dag waarop:</w:t>
      </w: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beroepstermijn is verstreken,</w:t>
      </w: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als beroep is ingesteld: op het beroep is beslist en, voor zover het beroep een ruilbesluit betreft, de termijn voor het instellen van beroep in cassatie is verstreken, of</w:t>
      </w: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als beroep in cassatie is ingesteld: op het beroep in cassatie is beslist en, als de Hoge Raad het geding heeft verwezen, de rechter waarnaar is verwezen, uitspraak heeft gedaan.</w:t>
      </w: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Een besluit geldelijke regelingen treedt in werking met ingang van de dag waarop de beroepstermijn is verstreken of, als beroep is ingesteld, waarop op het beroep is beslist. </w:t>
      </w:r>
    </w:p>
    <w:p w:rsidRPr="00E97F6E" w:rsidR="00E97F6E" w:rsidP="00E97F6E" w:rsidRDefault="00E97F6E">
      <w:pPr>
        <w:rPr>
          <w:rFonts w:ascii="Times New Roman" w:hAnsi="Times New Roman" w:eastAsia="Calibri"/>
          <w:sz w:val="24"/>
          <w:lang w:eastAsia="en-US"/>
        </w:rPr>
      </w:pPr>
    </w:p>
    <w:p w:rsidRPr="00E97F6E" w:rsidR="00E97F6E" w:rsidP="00AC0C9E" w:rsidRDefault="009377F5">
      <w:pPr>
        <w:ind w:firstLine="284"/>
        <w:rPr>
          <w:rFonts w:ascii="Times New Roman" w:hAnsi="Times New Roman" w:eastAsia="Calibri"/>
          <w:sz w:val="24"/>
          <w:lang w:eastAsia="en-US"/>
        </w:rPr>
      </w:pPr>
      <w:r>
        <w:rPr>
          <w:rFonts w:ascii="Times New Roman" w:hAnsi="Times New Roman" w:eastAsia="Calibri"/>
          <w:sz w:val="24"/>
          <w:lang w:eastAsia="en-US"/>
        </w:rPr>
        <w:t>12</w:t>
      </w:r>
      <w:r w:rsidRPr="00E97F6E" w:rsidR="00E97F6E">
        <w:rPr>
          <w:rFonts w:ascii="Times New Roman" w:hAnsi="Times New Roman" w:eastAsia="Calibri"/>
          <w:sz w:val="24"/>
          <w:lang w:eastAsia="en-US"/>
        </w:rPr>
        <w:t>. In paragraaf 16.7.3 worden na artikel 16.87 drie artikelen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16.88 (beroep tegen besluit tot tijdelijk in gebruik geven, ruilbesluit en besluit geldelijke regelingen)</w:t>
      </w:r>
      <w:r w:rsidRPr="00E97F6E">
        <w:rPr>
          <w:rFonts w:ascii="Times New Roman" w:hAnsi="Times New Roman" w:eastAsia="Calibri"/>
          <w:i/>
          <w:sz w:val="24"/>
          <w:lang w:eastAsia="en-US"/>
        </w:rPr>
        <w:t xml:space="preserve"> </w:t>
      </w:r>
    </w:p>
    <w:p w:rsidRPr="00E97F6E" w:rsidR="00E97F6E" w:rsidP="00E97F6E" w:rsidRDefault="00E97F6E">
      <w:pPr>
        <w:rPr>
          <w:rFonts w:ascii="Times New Roman" w:hAnsi="Times New Roman" w:eastAsia="Calibri"/>
          <w:b/>
          <w:sz w:val="24"/>
          <w:lang w:eastAsia="en-US"/>
        </w:rPr>
      </w:pP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Tegen een besluit tot het tijdelijk in gebruik geven als bedoeld in artikel 12.21</w:t>
      </w:r>
      <w:r w:rsidRPr="00E97F6E">
        <w:rPr>
          <w:rFonts w:ascii="Times New Roman" w:hAnsi="Times New Roman" w:eastAsia="Calibri"/>
          <w:i/>
          <w:sz w:val="24"/>
          <w:lang w:eastAsia="en-US"/>
        </w:rPr>
        <w:t>,</w:t>
      </w:r>
      <w:r w:rsidRPr="00E97F6E">
        <w:rPr>
          <w:rFonts w:ascii="Times New Roman" w:hAnsi="Times New Roman" w:eastAsia="Calibri"/>
          <w:sz w:val="24"/>
          <w:lang w:eastAsia="en-US"/>
        </w:rPr>
        <w:t xml:space="preserve"> eerste lid, een ruilbesluit en een besluit geldelijke regelingen kunnen belanghebbenden door indiening van een verzoek als bedoeld in artikel 261 van het Wetboek van Burgerlijke rechtsvordering in beroep komen bij de rechtbank binnen het rechtsgebied waarvan gedeputeerde staten hun zetel hebben. De artikelen 6:2, 6:7 tot en met 6:20 en 6:22 van de Algemene wet bestuursrecht zijn van overeenkomstige toepassing.</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w:t>
      </w:r>
      <w:r w:rsidRPr="00C50A0A" w:rsidR="00C50A0A">
        <w:rPr>
          <w:rFonts w:ascii="Times New Roman" w:hAnsi="Times New Roman" w:eastAsia="Calibri"/>
          <w:sz w:val="24"/>
          <w:lang w:eastAsia="en-US"/>
        </w:rPr>
        <w:t>Het verzoekschrift wordt door de belanghebbende of zijn gemachtigde ondertekend.</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 xml:space="preserve">3. Zodra </w:t>
      </w:r>
      <w:r w:rsidRPr="00C50A0A" w:rsidR="00C50A0A">
        <w:rPr>
          <w:rFonts w:ascii="Times New Roman" w:hAnsi="Times New Roman" w:eastAsia="Calibri"/>
          <w:sz w:val="24"/>
          <w:lang w:eastAsia="en-US"/>
        </w:rPr>
        <w:t>het verzoekschrift</w:t>
      </w:r>
      <w:r w:rsidRPr="00E97F6E">
        <w:rPr>
          <w:rFonts w:ascii="Times New Roman" w:hAnsi="Times New Roman" w:eastAsia="Calibri"/>
          <w:sz w:val="24"/>
          <w:lang w:eastAsia="en-US"/>
        </w:rPr>
        <w:t xml:space="preserve"> is ingediend, zendt de griffier een afschrift daarvan aan gedeputeerde staten. Bij beroep tegen een ruilbesluit of een besluit geldelijke regelingen zenden gedeputeerde staten onverwijld aan de griffier:</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lijst van de belanghebbenden voor wie het ruilbesluit of het besluit geldelijke regelingen wordt gewijzigd als het beroep gegrond is,</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een afschrift van de stukken waarop het ruilbesluit of het besluit geldelijke regelingen voor de indiener van het beroep is gebaseerd,</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een afschrift van de over het ruilbesluit of het besluit geldelijke regelingen naar voren gebrachte zienswijzen, voor zover samenhangend met het beroep, en</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 afschriften van de overige op het ruilbesluit of het besluit geldelijke regelingen betrekking hebbende bescheiden die van belang zijn voor de beoordeling van het beroep.</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 xml:space="preserve">Artikel 16.89 (wijziging ruilbesluit en besluit geldelijke regelingen na oproeping) </w:t>
      </w:r>
    </w:p>
    <w:p w:rsidRPr="00E97F6E" w:rsidR="00E97F6E" w:rsidP="00E97F6E" w:rsidRDefault="00E97F6E">
      <w:pPr>
        <w:rPr>
          <w:rFonts w:ascii="Times New Roman" w:hAnsi="Times New Roman" w:eastAsia="Calibri"/>
          <w:b/>
          <w:sz w:val="24"/>
          <w:lang w:eastAsia="en-US"/>
        </w:rPr>
      </w:pP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rechtbank beslist over de wijze waarop het ruilbesluit of het besluit geldelijke regelingen wordt gewijzigd na oproeping van de verzoeker, gedeputeerde staten en de belanghebbenden voor wie het ruilbesluit of het besluit geldelijke regelingen wordt gewijzigd als het beroep gegrond is. Belanghebbenden en gedeputeerde staten kunnen bij gemachtigde verschijnen.</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Beroepen tegen het ruilbesluit en het besluit geldelijke regelingen worden gezamenlijk behandeld.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16.90 (eindbeschikking, hoger beroep en cassatie)</w:t>
      </w:r>
    </w:p>
    <w:p w:rsidRPr="00E97F6E" w:rsidR="00E97F6E" w:rsidP="00E97F6E" w:rsidRDefault="00E97F6E">
      <w:pPr>
        <w:rPr>
          <w:rFonts w:ascii="Times New Roman" w:hAnsi="Times New Roman" w:eastAsia="Calibri"/>
          <w:b/>
          <w:sz w:val="24"/>
          <w:lang w:eastAsia="en-US"/>
        </w:rPr>
      </w:pPr>
    </w:p>
    <w:p w:rsidRPr="00E97F6E" w:rsidR="00E97F6E" w:rsidP="00710FF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Tegen een beschikking van de rechtbank over een besluit tot het tijdelijk in gebruik geven als bedoeld in artikel 12.21</w:t>
      </w:r>
      <w:r w:rsidRPr="00E97F6E">
        <w:rPr>
          <w:rFonts w:ascii="Times New Roman" w:hAnsi="Times New Roman" w:eastAsia="Calibri"/>
          <w:i/>
          <w:sz w:val="24"/>
          <w:lang w:eastAsia="en-US"/>
        </w:rPr>
        <w:t>,</w:t>
      </w:r>
      <w:r w:rsidRPr="00E97F6E">
        <w:rPr>
          <w:rFonts w:ascii="Times New Roman" w:hAnsi="Times New Roman" w:eastAsia="Calibri"/>
          <w:sz w:val="24"/>
          <w:lang w:eastAsia="en-US"/>
        </w:rPr>
        <w:t xml:space="preserve"> eerste lid, kan geen hoger beroep of beroep in cassatie worden ingesteld.</w:t>
      </w:r>
    </w:p>
    <w:p w:rsidRPr="00E97F6E" w:rsidR="00E97F6E" w:rsidP="00710FF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Tegen een beschikking van de rechtbank over het ruilbesluit of het besluit geldelijke regelingen kan geen hoger beroep worden ingesteld. Voor de belanghebbende die voor de rechtbank is verschenen en voor gedeputeerde staten staat beroep in cassatie open op grond van de artikelen 426 tot en met 429 van het Wetboek van Burgerlijke Rechtsvordering.</w:t>
      </w:r>
    </w:p>
    <w:p w:rsidRPr="00E97F6E" w:rsidR="00E97F6E" w:rsidP="00710FF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griffier van de rechtbank of, in geval van cassatie, de griffier van de Hoge Raad zendt een afschrift van de beschikking aan de belanghebbenden die zijn opgeroepen in verband met het beroep tegen het ruilbesluit of het besluit geldelijke regelingen en ook aan gedeputeerde staten.</w:t>
      </w:r>
    </w:p>
    <w:p w:rsidRPr="00E97F6E" w:rsidR="00E97F6E" w:rsidP="00710FF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Zodra het afschrift van de beschikking van de rechtbank door gedeputeerde staten is ontvangen en die beschikking in kracht van gewijsde is gegaan, wijzigen gedeputeerde staten zo nodig het ruilbesluit of het besluit geldelijke regelingen op grond van die beschikking.</w:t>
      </w:r>
    </w:p>
    <w:p w:rsidRPr="00E97F6E" w:rsidR="00E97F6E" w:rsidP="00E97F6E" w:rsidRDefault="00E97F6E">
      <w:pPr>
        <w:rPr>
          <w:rFonts w:ascii="Times New Roman" w:hAnsi="Times New Roman" w:eastAsia="Calibri"/>
          <w:sz w:val="24"/>
          <w:lang w:eastAsia="en-US"/>
        </w:rPr>
      </w:pPr>
    </w:p>
    <w:p w:rsidRPr="00E97F6E" w:rsidR="00E97F6E" w:rsidP="00710FF1" w:rsidRDefault="009377F5">
      <w:pPr>
        <w:ind w:firstLine="284"/>
        <w:rPr>
          <w:rFonts w:ascii="Times New Roman" w:hAnsi="Times New Roman" w:eastAsia="Calibri"/>
          <w:sz w:val="24"/>
          <w:lang w:eastAsia="en-US"/>
        </w:rPr>
      </w:pPr>
      <w:r>
        <w:rPr>
          <w:rFonts w:ascii="Times New Roman" w:hAnsi="Times New Roman" w:eastAsia="Calibri"/>
          <w:sz w:val="24"/>
          <w:lang w:eastAsia="en-US"/>
        </w:rPr>
        <w:t>13</w:t>
      </w:r>
      <w:r w:rsidRPr="00E97F6E" w:rsidR="00E97F6E">
        <w:rPr>
          <w:rFonts w:ascii="Times New Roman" w:hAnsi="Times New Roman" w:eastAsia="Calibri"/>
          <w:sz w:val="24"/>
          <w:lang w:eastAsia="en-US"/>
        </w:rPr>
        <w:t>. Onder vernummering van afdeling 16.8 tot afdeling 16.14, worden na artikel 16.90 (nieuw) zes afdelingen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AFDELING 16.8 BEROEP VOORKEURSRECHT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16.91 (terinzagelegging)</w:t>
      </w:r>
    </w:p>
    <w:p w:rsidRPr="00E97F6E" w:rsidR="00E97F6E" w:rsidP="00E97F6E" w:rsidRDefault="00E97F6E">
      <w:pPr>
        <w:rPr>
          <w:rFonts w:ascii="Times New Roman" w:hAnsi="Times New Roman" w:eastAsia="Calibri"/>
          <w:sz w:val="24"/>
          <w:lang w:eastAsia="en-US"/>
        </w:rPr>
      </w:pPr>
    </w:p>
    <w:p w:rsidRPr="00E97F6E" w:rsidR="00E97F6E" w:rsidP="00573AB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Een voorkeursrechtbeschikking ligt gedurende de beroepstermijn ter inzage binnen de gemeente of gemeenten waarin de onroerende zaak ligt. </w:t>
      </w:r>
    </w:p>
    <w:p w:rsidRPr="00E97F6E" w:rsidR="00E97F6E" w:rsidP="00573AB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2. Het bestuursorgaan geeft kennis van de terinzagelegging en de zakelijke inhoud van de voorkeursrechtbeschikking in een of meer dag-, nieuws-, of huis-aan-huisbladen of op een andere geschikte wijze.</w:t>
      </w:r>
    </w:p>
    <w:p w:rsidRPr="00E97F6E" w:rsidR="00E97F6E" w:rsidP="00573AB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het een voorkeursrechtbeschikking van Onze Minister van Binnenlandse Zaken en Koninkrijksrelaties betreft, wordt de kennisgeving ook in de Staatscourant geplaatst.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16.92 (beroep)</w:t>
      </w:r>
    </w:p>
    <w:p w:rsidRPr="00E97F6E" w:rsidR="00E97F6E" w:rsidP="00E97F6E" w:rsidRDefault="00E97F6E">
      <w:pPr>
        <w:rPr>
          <w:rFonts w:ascii="Times New Roman" w:hAnsi="Times New Roman" w:eastAsia="Calibri"/>
          <w:sz w:val="24"/>
          <w:lang w:eastAsia="en-US"/>
        </w:rPr>
      </w:pPr>
    </w:p>
    <w:p w:rsidRPr="00E97F6E" w:rsidR="00E97F6E" w:rsidP="00EF3A0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Als beroep aanhangig is tegen een voorkeursrechtbeschikking van het college van burgemeester en wethouders en die beschikking vervalt omdat voor de onroerende zaak een voorkeursrechtbeschikking van de gemeenteraad in werking is getreden, wordt het beroep geacht te zijn gericht tegen de voorkeursrechtbeschikking van de gemeenteraad. </w:t>
      </w:r>
    </w:p>
    <w:p w:rsidRPr="00E97F6E" w:rsidR="00E97F6E" w:rsidP="00EF3A0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als het beroep gericht is tegen een voorkeursrechtbeschikking van gedeputeerde staten en die beschikking vervalt omdat voor de onroerende zaak een voorkeursrechtbeschikking van provinciale staten in werking is getreden.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AFDELING 16.9 BEKRACHTIGINGSPROCEDURE ONTEIGENINGSBESCHIKKING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16.9.1 Verzoek tot bekrachtiging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16.93 (verzoekschrift en stukken)</w:t>
      </w:r>
    </w:p>
    <w:p w:rsidRPr="00E97F6E" w:rsidR="00E97F6E" w:rsidP="00E97F6E" w:rsidRDefault="00E97F6E">
      <w:pPr>
        <w:rPr>
          <w:rFonts w:ascii="Times New Roman" w:hAnsi="Times New Roman" w:eastAsia="Verdana"/>
          <w:sz w:val="24"/>
        </w:rPr>
      </w:pP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1. Het bestuursorgaan dat een onteigeningsbeschikking heeft gegeven, verzoekt de bestuursrechter deze te bekrachtigen.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2. Het verzoekschrift wordt ondertekend en bevat ten minste: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a. de naam en het adres van het bestuursorgaan,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b. de dagtekening,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c. een omschrijving van de onteigeningsbeschikking waarop het verzoek betrekking heeft. </w:t>
      </w:r>
    </w:p>
    <w:p w:rsidR="00EF3A06" w:rsidP="00EF3A06" w:rsidRDefault="00E97F6E">
      <w:pPr>
        <w:ind w:left="284"/>
        <w:rPr>
          <w:rFonts w:ascii="Times New Roman" w:hAnsi="Times New Roman" w:eastAsia="Verdana"/>
          <w:sz w:val="24"/>
        </w:rPr>
      </w:pPr>
      <w:r w:rsidRPr="00E97F6E">
        <w:rPr>
          <w:rFonts w:ascii="Times New Roman" w:hAnsi="Times New Roman" w:eastAsia="Verdana"/>
          <w:sz w:val="24"/>
        </w:rPr>
        <w:t>3. Bij het verzoekschrift worden overgelegd:</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a. een afschrift van de onteigeningsbeschikking.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b. de op de onteigeningsbeschikking betrekking hebbende stukken die redelijkerwijs nodig zijn voor de behandeling van het verzoek.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16.94 (bevoegde rechter)</w:t>
      </w:r>
    </w:p>
    <w:p w:rsidRPr="00E97F6E" w:rsidR="00E97F6E" w:rsidP="00E97F6E" w:rsidRDefault="00E97F6E">
      <w:pPr>
        <w:rPr>
          <w:rFonts w:ascii="Times New Roman" w:hAnsi="Times New Roman" w:eastAsia="Verdana"/>
          <w:sz w:val="24"/>
        </w:rPr>
      </w:pP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1. Het verzoek wordt ingediend bij de rechtbank binnen het rechtsgebied waarvan de voor onteigening aangewezen onroerende zaken liggen. Als de onroerende zaken in het rechtsgebied van meer dan een rechtbank liggen, is bevoegd de rechtbank binnen het rechtsgebied waarvan het bestuursorgaan zijn zetel heeft.</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2. De artikelen 6:14, eerste lid, en 6:15, eerste en derde lid, van de Algemene wet bestuursrecht zijn van overeenkomstige toepassing.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16.95 (herstel verzuim)</w:t>
      </w:r>
    </w:p>
    <w:p w:rsidRPr="00E97F6E" w:rsidR="00E97F6E" w:rsidP="00E97F6E" w:rsidRDefault="00E97F6E">
      <w:pPr>
        <w:rPr>
          <w:rFonts w:ascii="Times New Roman" w:hAnsi="Times New Roman" w:eastAsia="Verdana"/>
          <w:b/>
          <w:sz w:val="24"/>
        </w:rPr>
      </w:pPr>
    </w:p>
    <w:p w:rsidRPr="00E97F6E" w:rsidR="00E97F6E" w:rsidP="00F25232" w:rsidRDefault="00E97F6E">
      <w:pPr>
        <w:ind w:firstLine="284"/>
        <w:rPr>
          <w:rFonts w:ascii="Times New Roman" w:hAnsi="Times New Roman" w:eastAsia="Verdana"/>
          <w:sz w:val="24"/>
        </w:rPr>
      </w:pPr>
      <w:r w:rsidRPr="00E97F6E">
        <w:rPr>
          <w:rFonts w:ascii="Times New Roman" w:hAnsi="Times New Roman" w:eastAsia="Verdana"/>
          <w:sz w:val="24"/>
        </w:rPr>
        <w:t>Het verzoek kan niet-ontvankelijk worden verklaard als niet is voldaan aan artikel 16.93, tweede en derde lid, mits de verzoeker de gelegenheid heeft gehad het verzuim te herstellen binnen een hem daartoe gestelde termijn.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16.96 (verzoektermijn)</w:t>
      </w:r>
    </w:p>
    <w:p w:rsidRPr="00E97F6E" w:rsidR="00E97F6E" w:rsidP="00E97F6E" w:rsidRDefault="00E97F6E">
      <w:pPr>
        <w:rPr>
          <w:rFonts w:ascii="Times New Roman" w:hAnsi="Times New Roman" w:eastAsia="Verdana"/>
          <w:b/>
          <w:sz w:val="24"/>
        </w:rPr>
      </w:pPr>
    </w:p>
    <w:p w:rsidRPr="00E97F6E" w:rsidR="00E97F6E" w:rsidP="00F25232" w:rsidRDefault="00E97F6E">
      <w:pPr>
        <w:ind w:firstLine="284"/>
        <w:rPr>
          <w:rFonts w:ascii="Times New Roman" w:hAnsi="Times New Roman" w:eastAsia="Verdana"/>
          <w:sz w:val="24"/>
        </w:rPr>
      </w:pPr>
      <w:r w:rsidRPr="00E97F6E">
        <w:rPr>
          <w:rFonts w:ascii="Times New Roman" w:hAnsi="Times New Roman" w:eastAsia="Verdana"/>
          <w:sz w:val="24"/>
        </w:rPr>
        <w:t>1. De termijn voor het indienen van een ver</w:t>
      </w:r>
      <w:r w:rsidR="000A434D">
        <w:rPr>
          <w:rFonts w:ascii="Times New Roman" w:hAnsi="Times New Roman" w:eastAsia="Verdana"/>
          <w:sz w:val="24"/>
        </w:rPr>
        <w:t>zoekschrift bedraagt zes weken.</w:t>
      </w:r>
    </w:p>
    <w:p w:rsidRPr="00E97F6E" w:rsidR="00E97F6E" w:rsidP="00F25232" w:rsidRDefault="00E97F6E">
      <w:pPr>
        <w:ind w:firstLine="284"/>
        <w:rPr>
          <w:rFonts w:ascii="Times New Roman" w:hAnsi="Times New Roman" w:eastAsia="Verdana"/>
          <w:sz w:val="24"/>
        </w:rPr>
      </w:pPr>
      <w:r w:rsidRPr="00E97F6E">
        <w:rPr>
          <w:rFonts w:ascii="Times New Roman" w:hAnsi="Times New Roman" w:eastAsia="Verdana"/>
          <w:sz w:val="24"/>
        </w:rPr>
        <w:t>2. De termijn begint met ingang van de dag na die waarop de onteigeningsbeschikking overeenkomstig artikel 3:44, eerste lid, onder a, van de Algemene wet bestuursrecht</w:t>
      </w:r>
      <w:r w:rsidR="000A434D">
        <w:rPr>
          <w:rFonts w:ascii="Times New Roman" w:hAnsi="Times New Roman" w:eastAsia="Verdana"/>
          <w:sz w:val="24"/>
        </w:rPr>
        <w:t xml:space="preserve"> ter inzage is gelegd.</w:t>
      </w:r>
    </w:p>
    <w:p w:rsidRPr="00E97F6E" w:rsidR="00E97F6E" w:rsidP="000A434D" w:rsidRDefault="00E97F6E">
      <w:pPr>
        <w:ind w:firstLine="284"/>
        <w:rPr>
          <w:rFonts w:ascii="Times New Roman" w:hAnsi="Times New Roman" w:eastAsia="Verdana"/>
          <w:sz w:val="24"/>
        </w:rPr>
      </w:pPr>
      <w:r w:rsidRPr="00E97F6E">
        <w:rPr>
          <w:rFonts w:ascii="Times New Roman" w:hAnsi="Times New Roman" w:eastAsia="Verdana"/>
          <w:sz w:val="24"/>
        </w:rPr>
        <w:t xml:space="preserve">3. De artikelen 6:9 tot en met 6:11 van de Algemene wet bestuursrecht zijn </w:t>
      </w:r>
      <w:r w:rsidR="000A434D">
        <w:rPr>
          <w:rFonts w:ascii="Times New Roman" w:hAnsi="Times New Roman" w:eastAsia="Verdana"/>
          <w:sz w:val="24"/>
        </w:rPr>
        <w:t>van overeenkomstige toepassing.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16.9.2 Vooronderzoek</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16.97 (bedenkingen)</w:t>
      </w:r>
    </w:p>
    <w:p w:rsidRPr="00E97F6E" w:rsidR="00E97F6E" w:rsidP="00E97F6E" w:rsidRDefault="00E97F6E">
      <w:pPr>
        <w:rPr>
          <w:rFonts w:ascii="Times New Roman" w:hAnsi="Times New Roman" w:eastAsia="Verdana"/>
          <w:b/>
          <w:sz w:val="24"/>
        </w:rPr>
      </w:pPr>
    </w:p>
    <w:p w:rsidRPr="00E97F6E" w:rsidR="00E97F6E" w:rsidP="000A434D" w:rsidRDefault="00E97F6E">
      <w:pPr>
        <w:ind w:firstLine="284"/>
        <w:rPr>
          <w:rFonts w:ascii="Times New Roman" w:hAnsi="Times New Roman" w:eastAsia="Verdana"/>
          <w:sz w:val="24"/>
        </w:rPr>
      </w:pPr>
      <w:r w:rsidRPr="00E97F6E">
        <w:rPr>
          <w:rFonts w:ascii="Times New Roman" w:hAnsi="Times New Roman" w:eastAsia="Verdana"/>
          <w:sz w:val="24"/>
        </w:rPr>
        <w:t>1. Belanghebbenden kunnen bij de rechtbank schriftelijk bedenkingen inbrengen tegen de onteigeningsbeschikking. Als belanghebbenden worden in ieder geval aangemerkt:</w:t>
      </w:r>
    </w:p>
    <w:p w:rsidR="000A434D" w:rsidP="000A434D" w:rsidRDefault="000A434D">
      <w:pPr>
        <w:ind w:firstLine="284"/>
        <w:rPr>
          <w:rFonts w:ascii="Times New Roman" w:hAnsi="Times New Roman" w:eastAsia="Calibri"/>
          <w:sz w:val="24"/>
        </w:rPr>
      </w:pPr>
      <w:r>
        <w:rPr>
          <w:rFonts w:ascii="Times New Roman" w:hAnsi="Times New Roman" w:eastAsia="Calibri"/>
          <w:sz w:val="24"/>
        </w:rPr>
        <w:t>a. eigenaren,</w:t>
      </w:r>
    </w:p>
    <w:p w:rsidR="000A434D" w:rsidP="000A434D" w:rsidRDefault="000A434D">
      <w:pPr>
        <w:ind w:firstLine="284"/>
        <w:rPr>
          <w:rFonts w:ascii="Times New Roman" w:hAnsi="Times New Roman" w:eastAsia="Calibri"/>
          <w:sz w:val="24"/>
        </w:rPr>
      </w:pPr>
      <w:r>
        <w:rPr>
          <w:rFonts w:ascii="Times New Roman" w:hAnsi="Times New Roman" w:eastAsia="Calibri"/>
          <w:sz w:val="24"/>
        </w:rPr>
        <w:t>b. erfpachters,</w:t>
      </w:r>
    </w:p>
    <w:p w:rsidR="000A434D" w:rsidP="000A434D" w:rsidRDefault="000A434D">
      <w:pPr>
        <w:ind w:firstLine="284"/>
        <w:rPr>
          <w:rFonts w:ascii="Times New Roman" w:hAnsi="Times New Roman" w:eastAsia="Calibri"/>
          <w:sz w:val="24"/>
        </w:rPr>
      </w:pPr>
      <w:r>
        <w:rPr>
          <w:rFonts w:ascii="Times New Roman" w:hAnsi="Times New Roman" w:eastAsia="Calibri"/>
          <w:sz w:val="24"/>
        </w:rPr>
        <w:t xml:space="preserve">c. opstallers,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d. e</w:t>
      </w:r>
      <w:r w:rsidR="000A434D">
        <w:rPr>
          <w:rFonts w:ascii="Times New Roman" w:hAnsi="Times New Roman" w:eastAsia="Calibri"/>
          <w:sz w:val="24"/>
        </w:rPr>
        <w:t xml:space="preserve">igenaren van een heersend erf,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e. rechthebbenden op re</w:t>
      </w:r>
      <w:r w:rsidR="000A434D">
        <w:rPr>
          <w:rFonts w:ascii="Times New Roman" w:hAnsi="Times New Roman" w:eastAsia="Calibri"/>
          <w:sz w:val="24"/>
        </w:rPr>
        <w:t xml:space="preserve">chten van gebruik en bewoning,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f. rechthebbenden op rechten als bedoeld in artikel 150, vijfde lid, van de Overgang</w:t>
      </w:r>
      <w:r w:rsidR="000A434D">
        <w:rPr>
          <w:rFonts w:ascii="Times New Roman" w:hAnsi="Times New Roman" w:eastAsia="Calibri"/>
          <w:sz w:val="24"/>
        </w:rPr>
        <w:t xml:space="preserve">swet Nieuw Burgerlijk Wetboek, </w:t>
      </w:r>
    </w:p>
    <w:p w:rsidR="000A434D" w:rsidP="000A434D" w:rsidRDefault="000A434D">
      <w:pPr>
        <w:ind w:firstLine="284"/>
        <w:rPr>
          <w:rFonts w:ascii="Times New Roman" w:hAnsi="Times New Roman" w:eastAsia="Calibri"/>
          <w:sz w:val="24"/>
        </w:rPr>
      </w:pPr>
      <w:r>
        <w:rPr>
          <w:rFonts w:ascii="Times New Roman" w:hAnsi="Times New Roman" w:eastAsia="Calibri"/>
          <w:sz w:val="24"/>
        </w:rPr>
        <w:t xml:space="preserve">g. bezitters, </w:t>
      </w:r>
    </w:p>
    <w:p w:rsidR="000A434D" w:rsidP="000A434D" w:rsidRDefault="000A434D">
      <w:pPr>
        <w:ind w:firstLine="284"/>
        <w:rPr>
          <w:rFonts w:ascii="Times New Roman" w:hAnsi="Times New Roman" w:eastAsia="Calibri"/>
          <w:sz w:val="24"/>
        </w:rPr>
      </w:pPr>
      <w:r>
        <w:rPr>
          <w:rFonts w:ascii="Times New Roman" w:hAnsi="Times New Roman" w:eastAsia="Calibri"/>
          <w:sz w:val="24"/>
        </w:rPr>
        <w:t xml:space="preserve">h. huurkopers,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 xml:space="preserve">i. huurders, waaronder ook onderhuurders aan wie </w:t>
      </w:r>
      <w:r w:rsidR="000A434D">
        <w:rPr>
          <w:rFonts w:ascii="Times New Roman" w:hAnsi="Times New Roman" w:eastAsia="Calibri"/>
          <w:sz w:val="24"/>
        </w:rPr>
        <w:t xml:space="preserve">bevoegdelijk is onderverhuurd,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j. pachters, waaronder ook onderpachters aan wie bev</w:t>
      </w:r>
      <w:r w:rsidR="000A434D">
        <w:rPr>
          <w:rFonts w:ascii="Times New Roman" w:hAnsi="Times New Roman" w:eastAsia="Calibri"/>
          <w:sz w:val="24"/>
        </w:rPr>
        <w:t xml:space="preserve">oegdelijk is onderverpacht, en </w:t>
      </w:r>
    </w:p>
    <w:p w:rsidRPr="00E97F6E" w:rsidR="00E97F6E" w:rsidP="000A434D" w:rsidRDefault="00E97F6E">
      <w:pPr>
        <w:ind w:firstLine="284"/>
        <w:rPr>
          <w:rFonts w:ascii="Times New Roman" w:hAnsi="Times New Roman" w:eastAsia="Verdana"/>
          <w:sz w:val="24"/>
        </w:rPr>
      </w:pPr>
      <w:r w:rsidRPr="00E97F6E">
        <w:rPr>
          <w:rFonts w:ascii="Times New Roman" w:hAnsi="Times New Roman" w:eastAsia="Calibri"/>
          <w:sz w:val="24"/>
        </w:rPr>
        <w:t>k. schuldeisers die de nakoming van een verplichting als bedoeld in artikel 252 van Boek 6 van het Burgerlijk Wetboek kunnen vorderen.</w:t>
      </w:r>
    </w:p>
    <w:p w:rsidRPr="00E97F6E" w:rsidR="00E97F6E" w:rsidP="000A434D" w:rsidRDefault="00E97F6E">
      <w:pPr>
        <w:ind w:firstLine="284"/>
        <w:rPr>
          <w:rFonts w:ascii="Times New Roman" w:hAnsi="Times New Roman" w:eastAsia="Verdana"/>
          <w:sz w:val="24"/>
        </w:rPr>
      </w:pPr>
      <w:r w:rsidRPr="00E97F6E">
        <w:rPr>
          <w:rFonts w:ascii="Times New Roman" w:hAnsi="Times New Roman" w:eastAsia="Verdana"/>
          <w:sz w:val="24"/>
        </w:rPr>
        <w:t>2. De artikelen 6:5, eerste en derde lid, en 6:6 van de algemene wet bestuursrecht zijn van overeenkomstige toepassing.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16.98 (bedenkingentermijn)</w:t>
      </w:r>
    </w:p>
    <w:p w:rsidRPr="00E97F6E" w:rsidR="00E97F6E" w:rsidP="00E97F6E" w:rsidRDefault="00E97F6E">
      <w:pPr>
        <w:rPr>
          <w:rFonts w:ascii="Times New Roman" w:hAnsi="Times New Roman" w:eastAsia="Verdana"/>
          <w:sz w:val="24"/>
        </w:rPr>
      </w:pP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1. De termijn voor het inbrengen van bedenkingen bedraagt zes weken. </w:t>
      </w: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2. De termijn begint met ingang van de dag na die waarop de onteigeningsbeschikking</w:t>
      </w:r>
      <w:r w:rsidRPr="00E97F6E">
        <w:rPr>
          <w:rFonts w:ascii="Times New Roman" w:hAnsi="Times New Roman"/>
          <w:sz w:val="24"/>
        </w:rPr>
        <w:t xml:space="preserve"> </w:t>
      </w:r>
      <w:r w:rsidRPr="00E97F6E">
        <w:rPr>
          <w:rFonts w:ascii="Times New Roman" w:hAnsi="Times New Roman" w:eastAsia="Verdana"/>
          <w:sz w:val="24"/>
        </w:rPr>
        <w:t xml:space="preserve">overeenkomstig artikel 3:44, eerste lid, onder a, van de Algemene wet bestuursrecht ter inzage is gelegd. </w:t>
      </w: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3. Artikel 6:9 van de Algemene wet bestuursrecht is van overeenkomstige toepassing. </w:t>
      </w: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4. De rechtbank laat na afloop van de termijn ingebrachte bedenkingen niet op grond daarvan buiten beschouwing als redelijkerwijs niet kan worden geoordeeld dat de belanghebbende in verzuim is geweest. </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16.99 (reactie verzoeker op bedenkingen)</w:t>
      </w:r>
    </w:p>
    <w:p w:rsidRPr="00E97F6E" w:rsidR="00E97F6E" w:rsidP="00E97F6E" w:rsidRDefault="00E97F6E">
      <w:pPr>
        <w:rPr>
          <w:rFonts w:ascii="Times New Roman" w:hAnsi="Times New Roman" w:eastAsia="Verdana"/>
          <w:b/>
          <w:sz w:val="24"/>
        </w:rPr>
      </w:pP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1. Binnen vier weken nadat de rechtbank de bedenkingen aan het bestuursorgaan heeft verzonden, dient dit een reactie daarop in bij de rechtbank. </w:t>
      </w: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kan deze termijn verlengen.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16.100 (repliek en dupliek; schriftelijke uiteenzetting)</w:t>
      </w:r>
    </w:p>
    <w:p w:rsidRPr="00E97F6E" w:rsidR="00E97F6E" w:rsidP="00E97F6E" w:rsidRDefault="00E97F6E">
      <w:pPr>
        <w:rPr>
          <w:rFonts w:ascii="Times New Roman" w:hAnsi="Times New Roman" w:eastAsia="Verdana"/>
          <w:sz w:val="24"/>
        </w:rPr>
      </w:pP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lastRenderedPageBreak/>
        <w:t xml:space="preserve">1. De rechtbank kan belanghebbenden die bedenkingen hebben ingebracht tegen de onteigeningsbeschikking in de gelegenheid stellen schriftelijk te repliceren. In dat geval wordt het bestuursorgaan in de gelegenheid gesteld schriftelijk te dupliceren. De rechtbank stelt de termijnen voor repliek en dupliek vast.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stelt andere partijen in de gelegenheid om ten minste eenmaal een schriftelijke uiteenzetting over de zaak te geven. De rechtbank stelt hiervoor een termijn vast.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16.9.3 Versnelde behandeling</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16.101 (aanvang en inhoud versnelde behandeling)</w:t>
      </w:r>
    </w:p>
    <w:p w:rsidRPr="00E97F6E" w:rsidR="00E97F6E" w:rsidP="00E97F6E" w:rsidRDefault="00E97F6E">
      <w:pPr>
        <w:rPr>
          <w:rFonts w:ascii="Times New Roman" w:hAnsi="Times New Roman" w:eastAsia="Verdana"/>
          <w:sz w:val="24"/>
        </w:rPr>
      </w:pP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kan, als de zaak spoedeisend is, bepalen dat deze versneld wordt behandeld.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2. In dat geval kan de rechtbank: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a. de in artikel 16.99 bedoelde termijn verkorten,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b. artikel 16.100, tweede lid, geheel of gedeeltelijk buiten toepassing laten,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c. artikel 8:47, derde lid, van de Algemene wet bestuursrecht geheel of gedeeltelijk buiten toepassing laten,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d. in afwijking van artikel 16.113 de in artikel 8:47, vijfde lid, van de Algemene wet bestuursrecht bedoelde termijn verkorten,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e. in afwijking van artikel 16.113 de in artikel 8:58, eerste lid, van de Algemene wet bestuursrecht bedoelde termijn verkorten.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3. Als de rechtbank bepaalt dat de zaak versneld wordt behandeld, bepaalt zij ook zo spoedig mogelijk het tijdstip waarop de zitting zal plaatsvinden en doet zij daarvan onverwijld mededeling aan partijen. In afwijking van artikel 16.113 is artikel 8:56 van de Algemene wet bestuursrecht niet van overeenkomstige toepassing.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16.102 (beëindiging versnelde behandeling)</w:t>
      </w:r>
    </w:p>
    <w:p w:rsidRPr="00E97F6E" w:rsidR="00E97F6E" w:rsidP="00E97F6E" w:rsidRDefault="00E97F6E">
      <w:pPr>
        <w:rPr>
          <w:rFonts w:ascii="Times New Roman" w:hAnsi="Times New Roman" w:eastAsia="Verdana"/>
          <w:b/>
          <w:sz w:val="24"/>
        </w:rPr>
      </w:pPr>
    </w:p>
    <w:p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Blijkt aan de rechtbank bij de behandeling dat de zaak niet voldoende spoedeisend is om een versnelde behandeling te rechtvaardigen of dat de zaak een gewone behandeling vordert, dan bepaalt zij dat de zaak verder op de gewone wijze wordt behandeld.</w:t>
      </w:r>
    </w:p>
    <w:p w:rsidRPr="00E97F6E" w:rsidR="00D840D8" w:rsidP="00D840D8" w:rsidRDefault="00D840D8">
      <w:pPr>
        <w:rPr>
          <w:rFonts w:ascii="Times New Roman" w:hAnsi="Times New Roman" w:eastAsia="Verdana"/>
          <w:sz w:val="24"/>
        </w:rPr>
      </w:pPr>
    </w:p>
    <w:p w:rsidRPr="00E97F6E" w:rsidR="00E97F6E" w:rsidP="00E97F6E" w:rsidRDefault="00E97F6E">
      <w:pPr>
        <w:keepNext/>
        <w:rPr>
          <w:rFonts w:ascii="Times New Roman" w:hAnsi="Times New Roman" w:eastAsia="Verdana"/>
          <w:i/>
          <w:sz w:val="24"/>
        </w:rPr>
      </w:pPr>
      <w:r w:rsidRPr="00E97F6E">
        <w:rPr>
          <w:rFonts w:ascii="Times New Roman" w:hAnsi="Times New Roman" w:eastAsia="Verdana"/>
          <w:i/>
          <w:sz w:val="24"/>
        </w:rPr>
        <w:t>§ 16.9.4 Vereenvoudigde behandeling</w:t>
      </w:r>
    </w:p>
    <w:p w:rsidRPr="00E97F6E" w:rsidR="00E97F6E" w:rsidP="00E97F6E" w:rsidRDefault="00E97F6E">
      <w:pPr>
        <w:keepNext/>
        <w:rPr>
          <w:rFonts w:ascii="Times New Roman" w:hAnsi="Times New Roman" w:eastAsia="Verdana"/>
          <w:b/>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16.103 (uitspraak na vereenvoudigde behandeling)</w:t>
      </w:r>
    </w:p>
    <w:p w:rsidRPr="00E97F6E" w:rsidR="00E97F6E" w:rsidP="00E97F6E" w:rsidRDefault="00E97F6E">
      <w:pPr>
        <w:rPr>
          <w:rFonts w:ascii="Times New Roman" w:hAnsi="Times New Roman" w:eastAsia="Verdana"/>
          <w:b/>
          <w:sz w:val="24"/>
        </w:rPr>
      </w:pP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1. Totdat partijen zijn uitgenodigd om op een zitting van de rechtbank te verschijnen, kan de rechtbank het onderzoek sluiten, als voortzetting van het onderzoek niet nodig is, omdat: </w:t>
      </w: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a. het verzoek kennelijk niet-ontvankelijk is, </w:t>
      </w: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b. het verzoek moet worden afgewezen omdat de onteigeningsbeschikking kennelijk niet kan worden bekrachtigd. </w:t>
      </w: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2. In de uitspraak na toepassing van het eerste lid worden partijen gewezen op artikel 16.104.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16.104 (verzet)</w:t>
      </w:r>
    </w:p>
    <w:p w:rsidRPr="00E97F6E" w:rsidR="00E97F6E" w:rsidP="00E97F6E" w:rsidRDefault="00E97F6E">
      <w:pPr>
        <w:rPr>
          <w:rFonts w:ascii="Times New Roman" w:hAnsi="Times New Roman" w:eastAsia="Verdana"/>
          <w:sz w:val="24"/>
        </w:rPr>
      </w:pP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1. Tegen de uitspraak kan het bestuursorgaan verzet doen bij de rechtbank. </w:t>
      </w: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lastRenderedPageBreak/>
        <w:t xml:space="preserve">2. De artikelen 6:4, derde lid, 6:5 tot en met 6:9, 6:11, 6:14, 6:15, 6:17, 6:21 en 8:55, vierde tot en met tiende lid, van de Algemene wet bestuursrecht zijn van overeenkomstige toepassing.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16.9.5 Uitspraak</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16.105 (uitspraaktermijn)</w:t>
      </w:r>
    </w:p>
    <w:p w:rsidRPr="00E97F6E" w:rsidR="00E97F6E" w:rsidP="00E97F6E" w:rsidRDefault="00E97F6E">
      <w:pPr>
        <w:rPr>
          <w:rFonts w:ascii="Times New Roman" w:hAnsi="Times New Roman" w:eastAsia="Verdana"/>
          <w:sz w:val="24"/>
        </w:rPr>
      </w:pP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 xml:space="preserve">1. Als er geen bedenkingen tegen de onteigeningsbeschikking zijn ingebracht, doet de rechtbank binnen zes maanden na afloop van de termijn, bedoeld in artikel 16.98, eerste lid, uitspraak op het verzoek tot bekrachtiging. </w:t>
      </w: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 xml:space="preserve">2. Als er bedenkingen tegen de onteigeningsbeschikking zijn ingebracht, doet de rechtbank binnen zes maanden na ontvangst van de reactie op de bedenkingen, bedoeld in artikel 16.99, eerste lid, uitspraak op het verzoek tot bekrachtiging. </w:t>
      </w: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 xml:space="preserve">3. Als krachtens artikel 16.113 artikel 8:51a of artikel 8:51d van de Algemene wet bestuursrecht wordt toegepast, doet de rechtbank in afwijking van het eerste of tweede lid: </w:t>
      </w: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a. binnen zes maanden na ontvangst van de reactie op de bedenkingen een tussenuitspraak, en</w:t>
      </w: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 xml:space="preserve">b. binnen zes maanden na verzending van de tussenuitspraak een einduitspraak. </w:t>
      </w:r>
    </w:p>
    <w:p w:rsidRPr="00E97F6E" w:rsidR="00393077" w:rsidP="00E97F6E" w:rsidRDefault="00393077">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16.106 (grondslag uitspraak, aanvullen rechtsgronden en feiten)</w:t>
      </w:r>
    </w:p>
    <w:p w:rsidRPr="00E97F6E" w:rsidR="00E97F6E" w:rsidP="00E97F6E" w:rsidRDefault="00E97F6E">
      <w:pPr>
        <w:rPr>
          <w:rFonts w:ascii="Times New Roman" w:hAnsi="Times New Roman" w:eastAsia="Verdana"/>
          <w:sz w:val="24"/>
        </w:rPr>
      </w:pP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doet uitspraak op grondslag van het verzoekschrift, de basistoets, bedoeld in artikel 16.107, de bedenkingen die tegen de onteigeningsbeschikking zijn ingebracht, de overgelegde stukken, het verhandelde tijdens het vooronderzoek en het onderzoek ter zitting.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vult ambtshalve de rechtsgronden van de bedenkingen aan.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3. De rechtbank kan ambtshalve de feiten van de bedenkingen aanvullen.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16.107 (ambtshalve basistoets)</w:t>
      </w:r>
    </w:p>
    <w:p w:rsidRPr="00E97F6E" w:rsidR="00E97F6E" w:rsidP="00E97F6E" w:rsidRDefault="00E97F6E">
      <w:pPr>
        <w:rPr>
          <w:rFonts w:ascii="Times New Roman" w:hAnsi="Times New Roman" w:eastAsia="Verdana"/>
          <w:sz w:val="24"/>
        </w:rPr>
      </w:pP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Ongeacht of tegen de onteigeningsbeschikking bedenkingen zijn ingebracht, wijst de rechtbank het verzoek in ieder geval af als:</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a. de onteigeningsbeschikking niet volgens de wettelijke vormvoorschriften is voorbereid,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b. het onteigeningsbelang, bedoeld in artikel 11.5, onder a, ontbreekt,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c. de noodzaak, bedoeld in artikel 11.5, onder b, kennelijk ontbreekt, of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d. de urgentie, bedoeld in artikel 11.5, onder c, kennelijk ontbreekt.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16.108 (beslissingen uitspraak)</w:t>
      </w:r>
    </w:p>
    <w:p w:rsidRPr="00E97F6E" w:rsidR="00E97F6E" w:rsidP="00E97F6E" w:rsidRDefault="00E97F6E">
      <w:pPr>
        <w:rPr>
          <w:rFonts w:ascii="Times New Roman" w:hAnsi="Times New Roman" w:eastAsia="Verdana"/>
          <w:sz w:val="24"/>
        </w:rPr>
      </w:pP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1. De uitspraak strekt tot: </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a. onbevoegdverklaring van de rechtbank, </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b. niet-ontvankelijkverklaring van het verzoek, </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c. afwijzing van het verzoek, of</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d. toewijzing van het verzoek. </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2. Als de rechtbank het verzoek geheel of gedeeltelijk toewijst, bekrachtigt zij de onteigeningsbeschikking geheel of gedeeltelijk. </w:t>
      </w:r>
    </w:p>
    <w:p w:rsidRPr="00E97F6E" w:rsidR="00E97F6E" w:rsidP="00E97F6E" w:rsidRDefault="00E97F6E">
      <w:pPr>
        <w:rPr>
          <w:rFonts w:ascii="Times New Roman" w:hAnsi="Times New Roman" w:eastAsia="Verdana"/>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lastRenderedPageBreak/>
        <w:t>Artikel 16.109 (inhoud uitspraak)</w:t>
      </w:r>
    </w:p>
    <w:p w:rsidRPr="00E97F6E" w:rsidR="00E97F6E" w:rsidP="00E97F6E" w:rsidRDefault="00E97F6E">
      <w:pPr>
        <w:keepNext/>
        <w:rPr>
          <w:rFonts w:ascii="Times New Roman" w:hAnsi="Times New Roman" w:eastAsia="Verdana"/>
          <w:sz w:val="24"/>
        </w:rPr>
      </w:pPr>
    </w:p>
    <w:p w:rsidRPr="00E97F6E" w:rsidR="00E97F6E" w:rsidP="00A86E12" w:rsidRDefault="00E97F6E">
      <w:pPr>
        <w:keepNext/>
        <w:ind w:firstLine="284"/>
        <w:rPr>
          <w:rFonts w:ascii="Times New Roman" w:hAnsi="Times New Roman" w:eastAsia="Verdana"/>
          <w:sz w:val="24"/>
        </w:rPr>
      </w:pPr>
      <w:r w:rsidRPr="00E97F6E">
        <w:rPr>
          <w:rFonts w:ascii="Times New Roman" w:hAnsi="Times New Roman" w:eastAsia="Verdana"/>
          <w:sz w:val="24"/>
        </w:rPr>
        <w:t xml:space="preserve">1. De schriftelijke uitspraak vermeldt: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a. de namen van partijen en van hun vertegenwoordigers of gemachtigden,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b. de gronden van de beslissing,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c. de beslissing,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d. de naam van de rechter of de namen van de rechters,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e. de dag waarop de beslissing is uitgesproken, en</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f. door wie, binnen welke termijn en bij welke bestuursrechter welk rechtsmiddel kan worden aangewend.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2. De uitspraak wordt ondertekend door de voorzitter en de griffier. Bij verhindering van de voorzitter of de griffier wordt dit in de uitspraak vermeld.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16.110 (griffierecht verzoek)</w:t>
      </w:r>
    </w:p>
    <w:p w:rsidRPr="00E97F6E" w:rsidR="00E97F6E" w:rsidP="00E97F6E" w:rsidRDefault="00E97F6E">
      <w:pPr>
        <w:rPr>
          <w:rFonts w:ascii="Times New Roman" w:hAnsi="Times New Roman" w:eastAsia="Verdana"/>
          <w:sz w:val="24"/>
        </w:rPr>
      </w:pP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 xml:space="preserve">1. De uitspraak houdt ook in dat van het bestuursorgaan een griffierecht wordt geheven. </w:t>
      </w: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 xml:space="preserve">2. Het griffierecht bedraagt het tarief, genoemd in artikel 8:41, tweede lid, onder c, van de Algemene wet bestuursrecht, vermeerderd met het tarief, genoemd in artikel 8:41, tweede lid, onder b, van die wet voor elk bedenkingengeschrift dat door een belanghebbende bij de rechtbank tegen de onteigeningsbeschikking is ingebracht.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16.111 (proceskostenvergoeding belanghebbenden)</w:t>
      </w:r>
    </w:p>
    <w:p w:rsidRPr="00E97F6E" w:rsidR="00E97F6E" w:rsidP="00E97F6E" w:rsidRDefault="00E97F6E">
      <w:pPr>
        <w:rPr>
          <w:rFonts w:ascii="Times New Roman" w:hAnsi="Times New Roman" w:eastAsia="Verdana"/>
          <w:sz w:val="24"/>
        </w:rPr>
      </w:pP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De uitspraak houdt ook in dat het bestuursorgaan wordt veroordeeld in de kosten die een belanghebbende die een bedenking tegen de onteigeningsbeschikking heeft ingebracht, in verband met de behandeling van het verzoek naar aard en omvang redelijkerwijs heeft moeten maken.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16.112 (kosten minnelijk overleg en voorbereidingsprocedure onteigeningsprocedure)</w:t>
      </w:r>
    </w:p>
    <w:p w:rsidRPr="00E97F6E" w:rsidR="00E97F6E" w:rsidP="00E97F6E" w:rsidRDefault="00E97F6E">
      <w:pPr>
        <w:rPr>
          <w:rFonts w:ascii="Times New Roman" w:hAnsi="Times New Roman" w:eastAsia="Verdana"/>
          <w:sz w:val="24"/>
        </w:rPr>
      </w:pP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De uitspraak houdt ook in dat het bestuursorgaan wordt veroordeeld in de kosten die de belanghebbende die een bedenking tegen de onteigeningsbeschikking heeft ingebracht, naar aard en omvang redelijkerwijs heeft moeten maken voor:</w:t>
      </w: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a. door een derde beroepsmatig verleende rechtsbijstand of andere deskundige bijstand voor het overleg over de minnelijke verwerving, bedoeld in artikel 11.7, eerste lid, en</w:t>
      </w: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 xml:space="preserve">b. door een derde beroepsmatig verleende rechtsbijstand of andere deskundige bijstand in verband met het naar voren brengen van een zienswijze en de behandeling daarvan bij de voorbereiding van de onteigeningsbeschikking.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16.9.6 Overige bepalingen bekrachtigingsprocedure</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16.113 (schakelbepaling)</w:t>
      </w:r>
    </w:p>
    <w:p w:rsidRPr="00E97F6E" w:rsidR="00E97F6E" w:rsidP="00E97F6E" w:rsidRDefault="00E97F6E">
      <w:pPr>
        <w:rPr>
          <w:rFonts w:ascii="Times New Roman" w:hAnsi="Times New Roman" w:eastAsia="Verdana"/>
          <w:b/>
          <w:sz w:val="24"/>
        </w:rPr>
      </w:pPr>
    </w:p>
    <w:p w:rsidRPr="00E97F6E" w:rsidR="00E97F6E" w:rsidP="00D106D5" w:rsidRDefault="00E97F6E">
      <w:pPr>
        <w:ind w:firstLine="284"/>
        <w:rPr>
          <w:rFonts w:ascii="Times New Roman" w:hAnsi="Times New Roman" w:eastAsia="Verdana"/>
          <w:sz w:val="24"/>
        </w:rPr>
      </w:pPr>
      <w:r w:rsidRPr="00E97F6E">
        <w:rPr>
          <w:rFonts w:ascii="Times New Roman" w:hAnsi="Times New Roman" w:eastAsia="Verdana"/>
          <w:sz w:val="24"/>
        </w:rPr>
        <w:t>1. Op een verzoek tot bekrachtiging van de onteigeningsbeschikking en de behandeling daarvan zijn de artikelen 6:9, 6:14, 6:17, 6:22, 8:10 tot en met 8:12, 8:15 tot en met 8:28, 8:29 tot en met 8:40a, 8:41a, 8:44 tot en met 8:51d, 8:56 tot en met 8:68, 8:76, 8:78, 8:79, 8:80a en 8:80b van de Algemene wet bestuursrecht van overeenkomstige toepassing.</w:t>
      </w:r>
    </w:p>
    <w:p w:rsidRPr="00E97F6E" w:rsidR="00E97F6E" w:rsidP="00D106D5" w:rsidRDefault="00E97F6E">
      <w:pPr>
        <w:ind w:firstLine="284"/>
        <w:rPr>
          <w:rFonts w:ascii="Times New Roman" w:hAnsi="Times New Roman" w:eastAsia="Verdana"/>
          <w:sz w:val="24"/>
        </w:rPr>
      </w:pPr>
      <w:r w:rsidRPr="00E97F6E">
        <w:rPr>
          <w:rFonts w:ascii="Times New Roman" w:hAnsi="Times New Roman" w:eastAsia="Verdana"/>
          <w:sz w:val="24"/>
        </w:rPr>
        <w:lastRenderedPageBreak/>
        <w:t>2. Artikel 6:19 van de Algemene wet bestuursrecht is alleen van toepassing als toepassing is gegeven aan de artikelen 8:51a tot en met 8:51d van die wet.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16.114 (terinzagelegging uitspraak)</w:t>
      </w:r>
    </w:p>
    <w:p w:rsidRPr="00E97F6E" w:rsidR="00E97F6E" w:rsidP="00E97F6E" w:rsidRDefault="00E97F6E">
      <w:pPr>
        <w:rPr>
          <w:rFonts w:ascii="Times New Roman" w:hAnsi="Times New Roman" w:eastAsia="Verdana"/>
          <w:sz w:val="24"/>
        </w:rPr>
      </w:pPr>
    </w:p>
    <w:p w:rsidRPr="00E97F6E" w:rsidR="00E97F6E" w:rsidP="00D106D5" w:rsidRDefault="00E97F6E">
      <w:pPr>
        <w:ind w:firstLine="284"/>
        <w:rPr>
          <w:rFonts w:ascii="Times New Roman" w:hAnsi="Times New Roman" w:eastAsia="Verdana"/>
          <w:sz w:val="24"/>
        </w:rPr>
      </w:pPr>
      <w:r w:rsidRPr="00E97F6E">
        <w:rPr>
          <w:rFonts w:ascii="Times New Roman" w:hAnsi="Times New Roman" w:eastAsia="Verdana"/>
          <w:sz w:val="24"/>
        </w:rPr>
        <w:t xml:space="preserve">1. Het bestuursorgaan legt de uitspraak van de rechtbank op een verzoek als bedoeld in artikel 16.93 en de beschikking waarop de uitspraak betrekking heeft ter inzage. </w:t>
      </w:r>
    </w:p>
    <w:p w:rsidRPr="00E97F6E" w:rsidR="00E97F6E" w:rsidP="00D106D5" w:rsidRDefault="00E97F6E">
      <w:pPr>
        <w:ind w:firstLine="284"/>
        <w:rPr>
          <w:rFonts w:ascii="Times New Roman" w:hAnsi="Times New Roman" w:eastAsia="Verdana"/>
          <w:sz w:val="24"/>
        </w:rPr>
      </w:pPr>
      <w:r w:rsidRPr="00E97F6E">
        <w:rPr>
          <w:rFonts w:ascii="Times New Roman" w:hAnsi="Times New Roman" w:eastAsia="Verdana"/>
          <w:sz w:val="24"/>
        </w:rPr>
        <w:t xml:space="preserve">2. De termijn van terinzagelegging bedraagt ten minste zes weken.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16.115 (kennisgeving uitspraak)</w:t>
      </w:r>
    </w:p>
    <w:p w:rsidRPr="00E97F6E" w:rsidR="00E97F6E" w:rsidP="00E97F6E" w:rsidRDefault="00E97F6E">
      <w:pPr>
        <w:rPr>
          <w:rFonts w:ascii="Times New Roman" w:hAnsi="Times New Roman" w:eastAsia="Verdana"/>
          <w:b/>
          <w:sz w:val="24"/>
        </w:rPr>
      </w:pP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1. Voorafgaand aan de terinzagelegging geeft het bestuursorgaan kennis van de uitspraak door middel van: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a. toezending van de uitspraak aan de belanghebbenden aan wie de onteigeningsbeschikking op grond van artikel 3:41 van de Algemene wet bestuursrecht is bekendgemaakt, en</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b. kennisgeving in een of meer dag-, nieuws- of huis-aan-huisbladen, of op een andere geschikte wijze.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2. Als het een onteigeningsbeschikking van een van Onze Ministers betreft, wordt de kennisgeving ook in de Staatscourant geplaatst.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3. Bij de toezending en kennisgeving vermeldt het bestuursorgaan waar en wanneer de uitspraak ter inzage zal liggen. </w:t>
      </w:r>
    </w:p>
    <w:p w:rsidRPr="00E97F6E" w:rsidR="00E97F6E" w:rsidP="00E97F6E" w:rsidRDefault="00E97F6E">
      <w:pPr>
        <w:rPr>
          <w:rFonts w:ascii="Times New Roman" w:hAnsi="Times New Roman" w:eastAsia="Verdana"/>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16.116 (griffierecht verzoek om herziening)</w:t>
      </w:r>
    </w:p>
    <w:p w:rsidRPr="00E97F6E" w:rsidR="00E97F6E" w:rsidP="00E97F6E" w:rsidRDefault="00E97F6E">
      <w:pPr>
        <w:keepNext/>
        <w:rPr>
          <w:rFonts w:ascii="Times New Roman" w:hAnsi="Times New Roman" w:eastAsia="Verdana"/>
          <w:sz w:val="24"/>
        </w:rPr>
      </w:pPr>
    </w:p>
    <w:p w:rsidRPr="00E97F6E" w:rsidR="00E97F6E" w:rsidP="00357EAC" w:rsidRDefault="00E97F6E">
      <w:pPr>
        <w:keepNext/>
        <w:ind w:firstLine="284"/>
        <w:rPr>
          <w:rFonts w:ascii="Times New Roman" w:hAnsi="Times New Roman" w:eastAsia="Verdana"/>
          <w:sz w:val="24"/>
        </w:rPr>
      </w:pPr>
      <w:r w:rsidRPr="00E97F6E">
        <w:rPr>
          <w:rFonts w:ascii="Times New Roman" w:hAnsi="Times New Roman" w:eastAsia="Verdana"/>
          <w:sz w:val="24"/>
        </w:rPr>
        <w:t xml:space="preserve">1. Van de indiener van een verzoek om een uitspraak op het verzoek tot bekrachtiging van een onteigeningsbeschikking te herzien wordt een griffierecht geheven.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2. Het griffierecht bedraagt: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a. het tarief, bedoeld in artikel 8:41, eerste lid, onder b, van de Algemene wet bestuursrecht, als het verzoek is ingediend door een natuurlijke persoon,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b. het tarief, bedoeld in artikel 8:41, eerste lid, onder c, van de Algemene wet bestuursrecht, als het verzoek anders dan door een natuurlijke persoon is ingediend.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AFDELING 16.10 HOGER BEROEP ONTEIGENINGSBESCHIKKING</w:t>
      </w:r>
    </w:p>
    <w:p w:rsidRPr="00E97F6E" w:rsidR="00E97F6E" w:rsidP="00E97F6E" w:rsidRDefault="00E97F6E">
      <w:pPr>
        <w:rPr>
          <w:rFonts w:ascii="Times New Roman" w:hAnsi="Times New Roman" w:eastAsia="Verdana"/>
          <w:sz w:val="24"/>
        </w:rPr>
      </w:pPr>
    </w:p>
    <w:p w:rsidRPr="00E97F6E" w:rsidR="00E97F6E" w:rsidP="00E97F6E" w:rsidRDefault="00E97F6E">
      <w:pPr>
        <w:spacing w:after="200"/>
        <w:rPr>
          <w:rFonts w:ascii="Times New Roman" w:hAnsi="Times New Roman" w:eastAsia="Verdana"/>
          <w:b/>
          <w:sz w:val="24"/>
        </w:rPr>
      </w:pPr>
      <w:r w:rsidRPr="00E97F6E">
        <w:rPr>
          <w:rFonts w:ascii="Times New Roman" w:hAnsi="Times New Roman" w:eastAsia="Verdana"/>
          <w:b/>
          <w:sz w:val="24"/>
        </w:rPr>
        <w:t>Artikel 16.117 (hoger beroep)</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1. Een belanghebbende en het bestuursorgaan kunnen hoger beroep instellen tegen een uitspraak van de rechtbank op een verzoek als bedoeld in artikel 16.93.</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 xml:space="preserve">2. Voor zover in deze afdeling niet anders is bepaald, zijn op het hoger beroep van overeenkomstige toepassing: </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a. afdeling 6.2 van de Algemene wet bestuursrecht, met uitzondering van de artikelen 6:12, 6:13, 6:20 en 6:24,</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b. de titels 8.1 tot en met 8.3 van de Algemene wet bestuursrecht, met uitzondering van de artikelen 8:1 tot en met 8:10, 8:41, tweede lid, 8:74 en 8:75, en</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 xml:space="preserve">c. de artikelen 8:104, tweede lid, aanhef en onder a, b en c, en derde lid, 8:105, 8:107, en 8:109 tot en met 8:118 van de Algemene wet bestuursrecht.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16.118 (hoger beroep belanghebbende na bedenkingen)</w:t>
      </w:r>
    </w:p>
    <w:p w:rsidRPr="00E97F6E" w:rsidR="00E97F6E" w:rsidP="00E97F6E" w:rsidRDefault="00E97F6E">
      <w:pPr>
        <w:rPr>
          <w:rFonts w:ascii="Times New Roman" w:hAnsi="Times New Roman" w:eastAsia="Verdana"/>
          <w:sz w:val="24"/>
        </w:rPr>
      </w:pP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lastRenderedPageBreak/>
        <w:t>Geen hoger beroep kan worden ingesteld door een belanghebbende aan wie redelijkerwijs kan worden verweten dat hij geen bedenkingen tegen de onteigeningsbeschikking heeft ingebracht.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16.119 (griffierecht)</w:t>
      </w:r>
    </w:p>
    <w:p w:rsidRPr="00E97F6E" w:rsidR="00E97F6E" w:rsidP="00E97F6E" w:rsidRDefault="00E97F6E">
      <w:pPr>
        <w:rPr>
          <w:rFonts w:ascii="Times New Roman" w:hAnsi="Times New Roman" w:eastAsia="Verdana"/>
          <w:sz w:val="24"/>
        </w:rPr>
      </w:pP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In afwijking van artikel 8:114, eerste lid, van de Algemene wet bestuursrecht houdt de uitspraak ook in dat het bestuursorgaan aan de belanghebbende die een hogerberoepschrift heeft ingediend, het door hem betaalde griffierecht vergoedt als het hoger beroep ongegrond wordt verklaard.</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16.120 (proceskosten)</w:t>
      </w:r>
    </w:p>
    <w:p w:rsidRPr="00E97F6E" w:rsidR="00E97F6E" w:rsidP="00E97F6E" w:rsidRDefault="00E97F6E">
      <w:pPr>
        <w:rPr>
          <w:rFonts w:ascii="Times New Roman" w:hAnsi="Times New Roman" w:eastAsia="Verdana"/>
          <w:sz w:val="24"/>
        </w:rPr>
      </w:pPr>
    </w:p>
    <w:p w:rsidRPr="00E97F6E" w:rsidR="00E97F6E" w:rsidP="00401CDD" w:rsidRDefault="00E97F6E">
      <w:pPr>
        <w:ind w:firstLine="284"/>
        <w:rPr>
          <w:rFonts w:ascii="Times New Roman" w:hAnsi="Times New Roman" w:eastAsia="Verdana"/>
          <w:sz w:val="24"/>
        </w:rPr>
      </w:pPr>
      <w:r w:rsidRPr="00E97F6E">
        <w:rPr>
          <w:rFonts w:ascii="Times New Roman" w:hAnsi="Times New Roman" w:eastAsia="Verdana"/>
          <w:sz w:val="24"/>
        </w:rPr>
        <w:t>De uitspraak houdt ook in dat het bestuursorgaan wordt veroordeeld in de kosten die een belanghebbende in verband met de behandeling van het hoger beroep naar aard en omvang redelijkerwijs heeft moeten maken.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16.121 (uitspraaktermijn)</w:t>
      </w:r>
    </w:p>
    <w:p w:rsidRPr="00E97F6E" w:rsidR="00E97F6E" w:rsidP="00E97F6E" w:rsidRDefault="00E97F6E">
      <w:pPr>
        <w:rPr>
          <w:rFonts w:ascii="Times New Roman" w:hAnsi="Times New Roman" w:eastAsia="Verdana"/>
          <w:sz w:val="24"/>
        </w:rPr>
      </w:pPr>
    </w:p>
    <w:p w:rsidRPr="00E97F6E" w:rsidR="00E97F6E" w:rsidP="00401CD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hogerberoepsrechter doet uitspraak binnen zes maanden na afloop van de termijn waarbinnen andere partijen dan de indiener van het hogerberoepschrift een schriftelijke uiteenzetting over het hoger beroep konden 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sz w:val="24"/>
          <w:lang w:eastAsia="en-US"/>
        </w:rPr>
        <w:t>AFDELING 16.11 GERECHTELIJKE VASTSTELLING VAN DE PRIJS BIJ VOORKEURSRECHT</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16.122 (gerechtelijke vaststelling van prijs als bedoeld in artikel 9.16 en 9.18)</w:t>
      </w:r>
    </w:p>
    <w:p w:rsidRPr="00E97F6E" w:rsidR="00E97F6E" w:rsidP="00E97F6E" w:rsidRDefault="00E97F6E">
      <w:pPr>
        <w:rPr>
          <w:rFonts w:ascii="Times New Roman" w:hAnsi="Times New Roman" w:eastAsia="Verdana"/>
          <w:sz w:val="24"/>
        </w:rPr>
      </w:pPr>
    </w:p>
    <w:p w:rsidRPr="00E97F6E" w:rsidR="00E97F6E" w:rsidP="00401CDD" w:rsidRDefault="00E97F6E">
      <w:pPr>
        <w:ind w:firstLine="284"/>
        <w:rPr>
          <w:rFonts w:ascii="Times New Roman" w:hAnsi="Times New Roman" w:eastAsia="Verdana"/>
          <w:sz w:val="24"/>
        </w:rPr>
      </w:pPr>
      <w:r w:rsidRPr="00E97F6E">
        <w:rPr>
          <w:rFonts w:ascii="Times New Roman" w:hAnsi="Times New Roman" w:eastAsia="Verdana"/>
          <w:sz w:val="24"/>
        </w:rPr>
        <w:t>1. De rechtbank benoemt een of meer deskundigen die zo snel mogelijk aan de rechtbank advies uitbrengen over de prijs, bedoeld in de artikelen 9.16, eerste lid, en 9.18, eerste lid.</w:t>
      </w:r>
    </w:p>
    <w:p w:rsidRPr="00E97F6E" w:rsidR="00E97F6E" w:rsidP="00401CDD"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oordeelt over de prijs met overeenkomstige toepassing van de artikelen 15.21 tot en met 15.25.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16.123 (beschikking over prijs als bedoeld in artikel 9.16 en 9.18)</w:t>
      </w:r>
    </w:p>
    <w:p w:rsidRPr="00E97F6E" w:rsidR="00E97F6E" w:rsidP="00E97F6E" w:rsidRDefault="00E97F6E">
      <w:pPr>
        <w:rPr>
          <w:rFonts w:ascii="Times New Roman" w:hAnsi="Times New Roman" w:eastAsia="Verdana"/>
          <w:sz w:val="24"/>
        </w:rPr>
      </w:pP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doet binnen zes maanden na ontvangst van het verzoek, bedoeld in artikel 9.16, eerste lid, bij beschikking uitspraak over het verzoek. </w:t>
      </w: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doet binnen zes maanden na ontvangst van het verzoek, bedoeld in artikel 9.18, eerste lid, bij beschikking uitspraak over het verzoek en bij toewijzing daarvan ook over de prijs. Zij beoordeelt of het redelijk is dat vervreemding aan de gemeente, de provincie of de Staat, vanwege bijzondere persoonlijke omstandigheden van de vervreemder achterwege zou blijven. </w:t>
      </w: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3. Tegen beschikkingen als bedoeld in het eerste en het tweede lid staat alleen beroep in cassatie open.</w:t>
      </w: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 xml:space="preserve">4. De kosten van de gerechtelijke procedure, het deskundigenadvies en de redelijkerwijs door de vervreemder voor rechtsbijstand en andere deskundige bijstand gemaakte kosten komen ten laste van de verzoeker. Als de rechtbank daarvoor aanleiding ziet in de omstandigheden van het geval, kan zij besluiten dat de kosten gedeeltelijk of geheel worden gecompenseerd. </w:t>
      </w: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lastRenderedPageBreak/>
        <w:t>5. Bij tussentijdse beëindiging van de gerechtelijke procedure, bedoeld in artikel 9.17 beslist de rechtbank bij beschikking over de toedeling van de kosten, bedoeld in het vierde lid.</w:t>
      </w:r>
    </w:p>
    <w:p w:rsidRPr="00E97F6E" w:rsidR="00E97F6E" w:rsidP="00E97F6E" w:rsidRDefault="00E97F6E">
      <w:pPr>
        <w:rPr>
          <w:rFonts w:ascii="Times New Roman" w:hAnsi="Times New Roman" w:eastAsia="Calibri"/>
          <w:sz w:val="24"/>
          <w:lang w:eastAsia="en-US"/>
        </w:rPr>
      </w:pPr>
    </w:p>
    <w:p w:rsidR="00E97F6E" w:rsidP="00FC18CF" w:rsidRDefault="00E97F6E">
      <w:pPr>
        <w:rPr>
          <w:rFonts w:ascii="Times New Roman" w:hAnsi="Times New Roman" w:eastAsia="Verdana"/>
          <w:sz w:val="24"/>
        </w:rPr>
      </w:pPr>
      <w:r w:rsidRPr="00FC18CF">
        <w:rPr>
          <w:rFonts w:ascii="Times New Roman" w:hAnsi="Times New Roman" w:eastAsia="Verdana"/>
          <w:sz w:val="24"/>
        </w:rPr>
        <w:t>AFDELING 16.12 BIJZONDERE PROCEDURES VOOR LANDINRICHTING</w:t>
      </w:r>
    </w:p>
    <w:p w:rsidRPr="00FC18CF" w:rsidR="00FC18CF" w:rsidP="00FC18CF" w:rsidRDefault="00FC18CF">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16.12.1 Eigendom buiten herverkavelingsblok</w:t>
      </w:r>
    </w:p>
    <w:p w:rsidRPr="00B84E8F"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16.124 (akte van toedeling)</w:t>
      </w:r>
    </w:p>
    <w:p w:rsidRPr="00E97F6E" w:rsidR="00E97F6E" w:rsidP="00E97F6E" w:rsidRDefault="00E97F6E">
      <w:pPr>
        <w:rPr>
          <w:rFonts w:ascii="Times New Roman" w:hAnsi="Times New Roman" w:eastAsia="Verdana"/>
          <w:sz w:val="24"/>
        </w:rPr>
      </w:pPr>
    </w:p>
    <w:p w:rsidRPr="00E97F6E" w:rsidR="00E97F6E" w:rsidP="00946A20" w:rsidRDefault="00E97F6E">
      <w:pPr>
        <w:ind w:firstLine="284"/>
        <w:rPr>
          <w:rFonts w:ascii="Times New Roman" w:hAnsi="Times New Roman" w:eastAsia="Verdana"/>
          <w:sz w:val="24"/>
        </w:rPr>
      </w:pPr>
      <w:r w:rsidRPr="00E97F6E">
        <w:rPr>
          <w:rFonts w:ascii="Times New Roman" w:hAnsi="Times New Roman" w:eastAsia="Verdana"/>
          <w:sz w:val="24"/>
        </w:rPr>
        <w:t>1. Voor zover de toedeling van eigendom in een inrichtingsbesluit, bedoeld in artikel 12.8, eerste lid, onder a, c en d, betrekking heeft op onroerende zaken die buiten een herverkavelingsblok liggen, maakt een door gedeputeerde staten aan te wijzen notaris een akte voor de toedeling op.</w:t>
      </w:r>
    </w:p>
    <w:p w:rsidRPr="00E97F6E" w:rsidR="00E97F6E" w:rsidP="00946A20" w:rsidRDefault="00E97F6E">
      <w:pPr>
        <w:ind w:firstLine="284"/>
        <w:rPr>
          <w:rFonts w:ascii="Times New Roman" w:hAnsi="Times New Roman" w:eastAsia="Verdana"/>
          <w:sz w:val="24"/>
        </w:rPr>
      </w:pPr>
      <w:r w:rsidRPr="00E97F6E">
        <w:rPr>
          <w:rFonts w:ascii="Times New Roman" w:hAnsi="Times New Roman" w:eastAsia="Verdana"/>
          <w:sz w:val="24"/>
        </w:rPr>
        <w:t>2. De akte wordt opgemaakt op een door gedeputeerde staten te bepalen tijdstip dat ligt na bekendmaking van het inrichtingsbesluit.</w:t>
      </w:r>
    </w:p>
    <w:p w:rsidRPr="00E97F6E" w:rsidR="00E97F6E" w:rsidP="00946A20" w:rsidRDefault="00E97F6E">
      <w:pPr>
        <w:ind w:firstLine="284"/>
        <w:rPr>
          <w:rFonts w:ascii="Times New Roman" w:hAnsi="Times New Roman" w:eastAsia="Verdana"/>
          <w:sz w:val="24"/>
        </w:rPr>
      </w:pPr>
      <w:r w:rsidRPr="00E97F6E">
        <w:rPr>
          <w:rFonts w:ascii="Times New Roman" w:hAnsi="Times New Roman" w:eastAsia="Verdana"/>
          <w:sz w:val="24"/>
        </w:rPr>
        <w:t xml:space="preserve">3. De akte wordt ondertekend door de voorzitter van gedeputeerde staten en de secretaris, bedoeld in artikel 97 van de Provinciewet. </w:t>
      </w:r>
    </w:p>
    <w:p w:rsidRPr="00E97F6E" w:rsidR="00E97F6E" w:rsidP="00946A20" w:rsidRDefault="00E97F6E">
      <w:pPr>
        <w:ind w:firstLine="284"/>
        <w:rPr>
          <w:rFonts w:ascii="Times New Roman" w:hAnsi="Times New Roman" w:eastAsia="Verdana"/>
          <w:sz w:val="24"/>
        </w:rPr>
      </w:pPr>
      <w:r w:rsidRPr="00E97F6E">
        <w:rPr>
          <w:rFonts w:ascii="Times New Roman" w:hAnsi="Times New Roman" w:eastAsia="Verdana"/>
          <w:sz w:val="24"/>
        </w:rPr>
        <w:t>4. Door de inschrijving van de akte in de openbare registers gaat de daarin omschreven eigendom over volgens de in de akte neergelegde toedeling.</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Als op grond van artikel 8:81 van de Algemene wet bestuursrecht een voorlopige voorziening is getroffen, is het eerste lid niet van toepassing zolang de werking van het inrichtingsbesluit door de uitspraak van de voorzieningenrechter is opgeschort.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16.12.2 Eigendom en pachtverhoudingen binnen herverkavelingsblok</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16.125 (tijdstip registratie pachtovereenkomst) </w:t>
      </w:r>
    </w:p>
    <w:p w:rsidRPr="00E97F6E" w:rsidR="00E97F6E" w:rsidP="00E97F6E" w:rsidRDefault="00E97F6E">
      <w:pPr>
        <w:rPr>
          <w:rFonts w:ascii="Times New Roman" w:hAnsi="Times New Roman" w:eastAsia="Calibri"/>
          <w:b/>
          <w:sz w:val="24"/>
          <w:lang w:eastAsia="en-US"/>
        </w:rPr>
      </w:pP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Gedeputeerde staten bepalen tot welk tijdstip bestaande pachtovereenkomsten bij hen ter registratie kunnen worden ingezonden.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Gedeputeerde staten bepalen tot welk tijdstip pachtovereenkomsten ter registratie kunnen worden ingezonden die na het tijdstip, bedoeld in het eerste lid, zijn aangegaan.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Van de registratie wordt door gedeputeerde staten een bewijs afgegeven.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Gedeputeerde staten bevestigen aan de wederpartij van degene die een pachtovereenkomst ter registratie heeft ingezonden, de ontvangst van de pachtovereenkomst.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16.126 (bedenkingen)</w:t>
      </w:r>
    </w:p>
    <w:p w:rsidRPr="00E97F6E" w:rsidR="00E97F6E" w:rsidP="00E97F6E" w:rsidRDefault="00E97F6E">
      <w:pPr>
        <w:rPr>
          <w:rFonts w:ascii="Times New Roman" w:hAnsi="Times New Roman" w:eastAsia="Calibri"/>
          <w:b/>
          <w:sz w:val="24"/>
          <w:lang w:eastAsia="en-US"/>
        </w:rPr>
      </w:pP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wederpartij kan zijn bedenkingen tegen de registratie van de pachtovereenkomst schriftelijk inbrengen bij gedeputeerde staten binnen twee weken na de dagtekening van de ontvangstbevestiging, bedoeld in artikel 16.125, vierde lid.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16.127 (procedure pachtkamer of grondkamer)</w:t>
      </w:r>
    </w:p>
    <w:p w:rsidRPr="00E97F6E" w:rsidR="00E97F6E" w:rsidP="00E97F6E" w:rsidRDefault="00E97F6E">
      <w:pPr>
        <w:rPr>
          <w:rFonts w:ascii="Times New Roman" w:hAnsi="Times New Roman" w:eastAsia="Calibri"/>
          <w:sz w:val="24"/>
          <w:lang w:eastAsia="en-US"/>
        </w:rPr>
      </w:pP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Als bedenkingen kenbaar zijn gemaakt, stellen gedeputeerde staten partijen hiervan bij aangetekende brief in kennis.</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Gedeputeerde staten delen daarbij mee dat binnen twee weken na de dagtekening van die brief aan gedeputeerde staten wordt gezonden: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door beide partijen gewaarmerkte akte waaruit blijkt dat overeenstemming is verkregen, of</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 xml:space="preserve">b. een door de griffier van de rechtbank gewaarmerkt afschrift van </w:t>
      </w:r>
      <w:r w:rsidRPr="00C50A0A" w:rsidR="00C50A0A">
        <w:rPr>
          <w:rFonts w:ascii="Times New Roman" w:hAnsi="Times New Roman" w:eastAsia="Calibri"/>
          <w:sz w:val="24"/>
          <w:lang w:eastAsia="en-US"/>
        </w:rPr>
        <w:t>het verzoekschrift</w:t>
      </w:r>
      <w:r w:rsidRPr="00E97F6E">
        <w:rPr>
          <w:rFonts w:ascii="Times New Roman" w:hAnsi="Times New Roman" w:eastAsia="Calibri"/>
          <w:sz w:val="24"/>
          <w:lang w:eastAsia="en-US"/>
        </w:rPr>
        <w:t xml:space="preserve"> waarbij de meest gerede partij de beslissing van de pachtkamer van de rechtbank binnen het rechtsgebied waarvan de onroerende zaak geheel of grotendeels ligt, heeft verzocht. </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Als gedeputeerde staten van mening zijn dat ten onrechte artikel 318, eerste lid, van Boek 7 van het Burgerlijk Wetboek niet in acht is genomen bij de ter registratie ingezonden pachtovereenkomst, dragen zij zo nodig partijen bij aangetekende brief op de beslissing van de grondkamer in te roepen en binnen vier weken na de dagtekening van die brief een door de secretaris van de grondkamer gewaarmerkt afschrift van </w:t>
      </w:r>
      <w:r w:rsidRPr="00C50A0A" w:rsidR="00C50A0A">
        <w:rPr>
          <w:rFonts w:ascii="Times New Roman" w:hAnsi="Times New Roman" w:eastAsia="Calibri"/>
          <w:sz w:val="24"/>
          <w:lang w:eastAsia="en-US"/>
        </w:rPr>
        <w:t>het verzoekschrift</w:t>
      </w:r>
      <w:r w:rsidRPr="00E97F6E">
        <w:rPr>
          <w:rFonts w:ascii="Times New Roman" w:hAnsi="Times New Roman" w:eastAsia="Calibri"/>
          <w:sz w:val="24"/>
          <w:lang w:eastAsia="en-US"/>
        </w:rPr>
        <w:t xml:space="preserve"> in te zenden.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Als gedeputeerde staten van mening zijn dat artikel 317, eerste lid, van Boek 7 van het Burgerlijk Wetboek niet in acht is genomen bij de ter registratie ingezonden pachtovereenkomst, dragen zij zo nodig partijen bij aangetekende brief op de beslissing van de pachtkamer van de rechtbank in te roepen en binnen vier weken na de dagtekening van die brief een door de griffier van de rechtbank gewaarmerkt afschrift van </w:t>
      </w:r>
      <w:r w:rsidRPr="00C50A0A" w:rsidR="00C50A0A">
        <w:rPr>
          <w:rFonts w:ascii="Times New Roman" w:hAnsi="Times New Roman" w:eastAsia="Calibri"/>
          <w:sz w:val="24"/>
          <w:lang w:eastAsia="en-US"/>
        </w:rPr>
        <w:t>het verzoekschrift</w:t>
      </w:r>
      <w:r w:rsidRPr="00E97F6E">
        <w:rPr>
          <w:rFonts w:ascii="Times New Roman" w:hAnsi="Times New Roman" w:eastAsia="Calibri"/>
          <w:sz w:val="24"/>
          <w:lang w:eastAsia="en-US"/>
        </w:rPr>
        <w:t xml:space="preserve"> in te zenden.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De grondkamer en de pachtkamer van de rechtbank en in beroep de Centrale Grondkamer en de pachtkamer van het gerechtshof Arnhem-Leeuwarden behandelen de verzoeken en vorderingen, bedoeld in het tweede tot en met vierde lid, vóór alle andere zaken.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 xml:space="preserve">Artikel 16.128 (niet doorlopen procedure pachtkamer of grondkamer) </w:t>
      </w:r>
    </w:p>
    <w:p w:rsidRPr="00E97F6E" w:rsidR="00E97F6E" w:rsidP="00E97F6E" w:rsidRDefault="00E97F6E">
      <w:pPr>
        <w:rPr>
          <w:rFonts w:ascii="Times New Roman" w:hAnsi="Times New Roman" w:eastAsia="Calibri"/>
          <w:sz w:val="24"/>
          <w:lang w:eastAsia="en-US"/>
        </w:rPr>
      </w:pP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Als aan artikel 16.127 geen gevolg is gegeven, hoeft in het ruilbesluit met het bestaan van de pachtovereenkomst geen rekening te worden gehouden.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16.129 (kennisgeving kadaster) </w:t>
      </w:r>
    </w:p>
    <w:p w:rsidRPr="00E97F6E" w:rsidR="00E97F6E" w:rsidP="00E97F6E" w:rsidRDefault="00E97F6E">
      <w:pPr>
        <w:rPr>
          <w:rFonts w:ascii="Times New Roman" w:hAnsi="Times New Roman" w:eastAsia="Calibri"/>
          <w:b/>
          <w:sz w:val="24"/>
          <w:lang w:eastAsia="en-US"/>
        </w:rPr>
      </w:pP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Zodra het ruilbesluit onherroepelijk is, doen gedeputeerde staten hiervan mededeling door toezending van het ruilbesluit aan de Dienst voor het kadaster en de openbare registers.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16.130 (mededeling pachtverhoudingen) </w:t>
      </w:r>
    </w:p>
    <w:p w:rsidRPr="00E97F6E" w:rsidR="00E97F6E" w:rsidP="00E97F6E" w:rsidRDefault="00E97F6E">
      <w:pPr>
        <w:rPr>
          <w:rFonts w:ascii="Times New Roman" w:hAnsi="Times New Roman" w:eastAsia="Calibri"/>
          <w:b/>
          <w:sz w:val="24"/>
          <w:lang w:eastAsia="en-US"/>
        </w:rPr>
      </w:pP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Gedeputeerde staten delen zo spoedig mogelijk nadat het ruilbesluit onherroepelijk is geworden, aan de grondkamer mee welke pachtverhoudingen gehandhaafd, opgeheven of nieuw gevestigd zijn, onder vermelding van:</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namen en woonplaatsen van partijen in de pachtverhouding,</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onroerende zaken waarop deze betrekking hebben, en</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hetgeen in het ruilbesluit is bepaald over de uit de gevestigde pachtverhoudingen voortvloeiende pachtovereenkomsten.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16.131 (ontwerppachtovereenkomst)</w:t>
      </w:r>
      <w:r w:rsidRPr="00E97F6E">
        <w:rPr>
          <w:rFonts w:ascii="Times New Roman" w:hAnsi="Times New Roman" w:eastAsia="Calibri"/>
          <w:i/>
          <w:sz w:val="24"/>
          <w:lang w:eastAsia="en-US"/>
        </w:rPr>
        <w:t xml:space="preserve"> </w:t>
      </w:r>
    </w:p>
    <w:p w:rsidRPr="00E97F6E" w:rsidR="00E97F6E" w:rsidP="00E97F6E" w:rsidRDefault="00E97F6E">
      <w:pPr>
        <w:rPr>
          <w:rFonts w:ascii="Times New Roman" w:hAnsi="Times New Roman" w:eastAsia="Calibri"/>
          <w:b/>
          <w:sz w:val="24"/>
          <w:lang w:eastAsia="en-US"/>
        </w:rPr>
      </w:pP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grondkamer ontwerpt de pachtovereenkomsten die uit de nieuw gevestigde pachtverhoudingen voortvloeien en neemt daarin de in artikel 12.28 bedoelde bepalingen over de geldingsduur van die pachtovereenkomsten op.</w:t>
      </w:r>
    </w:p>
    <w:p w:rsidR="003B6A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een overeenkomst die geldt voor een kortere dan de wettelijke duur op grond van artikel 12.28 voor verlenging vatbaar zal zijn, tekent de grondkamer dit aan o</w:t>
      </w:r>
      <w:r w:rsidR="003B6A6E">
        <w:rPr>
          <w:rFonts w:ascii="Times New Roman" w:hAnsi="Times New Roman" w:eastAsia="Calibri"/>
          <w:sz w:val="24"/>
          <w:lang w:eastAsia="en-US"/>
        </w:rPr>
        <w:t xml:space="preserve">p de ontwerppachtovereenkomst. </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De grondkamer zendt de ontwerppachtovereenkomst aan hen die daarbij partij zullen zijn en stelt hen in de gelegenheid binnen vier weken na toezending de ondertekende </w:t>
      </w:r>
      <w:r w:rsidRPr="00E97F6E">
        <w:rPr>
          <w:rFonts w:ascii="Times New Roman" w:hAnsi="Times New Roman" w:eastAsia="Calibri"/>
          <w:sz w:val="24"/>
          <w:lang w:eastAsia="en-US"/>
        </w:rPr>
        <w:lastRenderedPageBreak/>
        <w:t>overeenkomst aan de grondkamer te zenden. Betrokkenen kunnen de door hen overeengekomen pachtprijs en bijzondere bepalingen in de overeenkomst opnemen.</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Op de in het derde lid bedoelde pachtovereenkomsten is titel 5 van Boek 7 van het Burgerlijk Wetboek van toepassing, waarbij de grondkamer niet treedt in de beoordeling van de bepalingen van de overeenkomst die voortvloeien uit de pachtverhouding zoals deze door het ruilbesluit is komen vast te staan.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16.132 (opmaking en ondertekening akte grondkamer) </w:t>
      </w:r>
    </w:p>
    <w:p w:rsidRPr="00E97F6E" w:rsidR="00E97F6E" w:rsidP="00E97F6E" w:rsidRDefault="00E97F6E">
      <w:pPr>
        <w:rPr>
          <w:rFonts w:ascii="Times New Roman" w:hAnsi="Times New Roman" w:eastAsia="Calibri"/>
          <w:b/>
          <w:sz w:val="24"/>
          <w:lang w:eastAsia="en-US"/>
        </w:rPr>
      </w:pP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Als partijen niet binnen de in artikel 16.131, derde lid, gestelde termijn tot inzending van de ondertekende pachtovereenkomst bij de grondkamer zijn overgegaan, maakt de grondkamer een akte in drievoud op, gelijkluidend aan de aan partijen gezonden ontwerppachtovereenkomst, en bepaalt daarin de pachtprijs. </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grondkamer ondertekent de akte en zendt een exemplaar daarvan aan elke partij.</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akte heeft dezelfde kracht als een tussen partijen gesloten, door de grondkamer goedgekeurde of ter registratie aangeboden pachtovereenkomst.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16.133 (beroep tegen beschikking grondkamer) </w:t>
      </w:r>
    </w:p>
    <w:p w:rsidRPr="00E97F6E" w:rsidR="00E97F6E" w:rsidP="00E97F6E" w:rsidRDefault="00E97F6E">
      <w:pPr>
        <w:rPr>
          <w:rFonts w:ascii="Times New Roman" w:hAnsi="Times New Roman" w:eastAsia="Calibri"/>
          <w:b/>
          <w:sz w:val="24"/>
          <w:lang w:eastAsia="en-US"/>
        </w:rPr>
      </w:pP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De opmaking en ondertekening van de akte door de grondkamer is een beschikking. </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Partijen kunnen tegen de beschikking beroep instellen bij de Centrale Grondkamer.</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termijn voor het indienen van een beroepschrift bedraagt vier weken. De termijn vangt aan met ingang van de dag na die waarop de in artikel 16.132, tweede lid, bedoelde exemplaren van de akte zijn verzonden.</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Bij de beslissing op een beroep kan de Centrale Grondkamer de akte wijzigen, met uitzondering van bepalingen die voortvloeien uit de pachtverhouding zoals deze door het ruilbesluit is komen vast te staan.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16.134 (wijzigen bestaande pachtovereenkomst als gevolg van herverkaveling)</w:t>
      </w:r>
      <w:r w:rsidRPr="00E97F6E">
        <w:rPr>
          <w:rFonts w:ascii="Times New Roman" w:hAnsi="Times New Roman" w:eastAsia="Calibri"/>
          <w:i/>
          <w:sz w:val="24"/>
          <w:lang w:eastAsia="en-US"/>
        </w:rPr>
        <w:t xml:space="preserve"> </w:t>
      </w:r>
    </w:p>
    <w:p w:rsidRPr="00E97F6E" w:rsidR="00E97F6E" w:rsidP="00E97F6E" w:rsidRDefault="00E97F6E">
      <w:pPr>
        <w:rPr>
          <w:rFonts w:ascii="Times New Roman" w:hAnsi="Times New Roman" w:eastAsia="Calibri"/>
          <w:b/>
          <w:sz w:val="24"/>
          <w:lang w:eastAsia="en-US"/>
        </w:rPr>
      </w:pPr>
    </w:p>
    <w:p w:rsidRPr="00E97F6E" w:rsidR="00E97F6E" w:rsidP="00D40C2D"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1. Als een bestaande pachtovereenkomst in een gehandhaafde pachtverhouding moet worden gewijzigd of vervangen als gevolg van de herverkaveling, verzoekt de grondkamer partijen binnen vier weken een nieuwe overeenkomst ter goedkeuring of registratie aan de grondkamer te zenden. De grondkamer doet dat verzoek zo spoedig mogelijk na de mededeling van gedeputeerde staten, bedoeld in artikel 16.130.</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nieuwe overeenkomst eindigt op hetzelfde tijdstip als waarop de overeenkomst waarvoor zij in de plaats treedt, zou zijn geëindigd. Als laatstbedoelde overeenkomst voor de wettelijke duur gold, tekent de grondkamer voor zover van toepassing op de nieuwe overeenkomst aan dat deze voor verlenging vatbaar is.</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niet binnen de in het eerste lid bedoelde termijn een overeenkomst ter goedkeuring of registratie is aangeboden, maakt de grondkamer een akte in drievoud op, inhoudende een gewijzigde of nieuwe pachtovereenkomst waarin de gevolgen van de herverkaveling voor de gehandhaafde pachtverhouding worden verwerkt. De artikelen 16.132, tweede lid, en 16.133 zijn van overeenkomstige toepassing.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16.135 (inwerkingtreding pachtovereenkomsten) </w:t>
      </w:r>
    </w:p>
    <w:p w:rsidRPr="00E97F6E" w:rsidR="00E97F6E" w:rsidP="00E97F6E" w:rsidRDefault="00E97F6E">
      <w:pPr>
        <w:rPr>
          <w:rFonts w:ascii="Times New Roman" w:hAnsi="Times New Roman" w:eastAsia="Calibri"/>
          <w:b/>
          <w:sz w:val="24"/>
          <w:lang w:eastAsia="en-US"/>
        </w:rPr>
      </w:pP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Pachtovereenkomsten die op grond van deze afdeling tot stand komen, treden in werking op het tijdstip waarop de in artikel 16.136 bedoelde herverkavelingsakte in de openbare </w:t>
      </w:r>
      <w:r w:rsidRPr="00E97F6E">
        <w:rPr>
          <w:rFonts w:ascii="Times New Roman" w:hAnsi="Times New Roman" w:eastAsia="Calibri"/>
          <w:sz w:val="24"/>
          <w:lang w:eastAsia="en-US"/>
        </w:rPr>
        <w:lastRenderedPageBreak/>
        <w:t>registers wordt ingeschreven. Op hetzelfde tijdstip eindigen de pachtovereenkomsten waarvoor de eerstgenoemde pachtovereenkomsten in de plaats treden.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op de rechtsverhoudingen geregeld bij een akte als bedoeld in artikel 16.132 of artikel 16.134, derde lid.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16.136 (inhoud herverkavelingsakte)</w:t>
      </w:r>
    </w:p>
    <w:p w:rsidRPr="00E97F6E" w:rsidR="00E97F6E" w:rsidP="00E97F6E" w:rsidRDefault="00E97F6E">
      <w:pPr>
        <w:rPr>
          <w:rFonts w:ascii="Times New Roman" w:hAnsi="Times New Roman" w:eastAsia="Calibri"/>
          <w:b/>
          <w:sz w:val="24"/>
          <w:lang w:eastAsia="en-US"/>
        </w:rPr>
      </w:pPr>
    </w:p>
    <w:p w:rsidRPr="00E97F6E" w:rsidR="00E97F6E" w:rsidP="00C84B2C"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1. Zodra het ruilbesluit onherroepelijk is, maakt een door gedeputeerde staten aan te wijzen notaris de herverkavelingsakte op.</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de herverkavelingsakte worden opgenomen: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verbeelding van het herverkavelingsblok met aanwijzing van de kavels, en, voor zover deze liggen binnen het herverkavelingsblok, de wegen, waterstaatswerken, gebieden en elementen waarvan de eigendom, het beheer of het onderhoud op grond van 12.8, eerste lid, zijn toegedeeld,</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in artikel 12.8 bedoelde toedeling van eigendom voor zover deze betrekking heeft op onroerende zaken die binnen het herverkavelingsblok liggen,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hypotheken en de beslagen, die door de inschrijving van de herverkavelingsakte vervallen.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kavels, wegen, waterstaatswerken en gebieden die op de in het tweede lid bedoelde verbeelding zijn afgebeeld en die daarop zijn voorzien van een nummer, worden in de herverkavelingsakte aangeduid met het nummer waarmee zij op die verbeelding voorkomen. Artikel 20, eerste lid, van de Kadasterwet is niet van toepassing voor zover het betreft het vermelden van de aard en de plaatselijke aanduiding, als die er is, van onroerende zaken.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De artikelen 18, eerste en vijfde lid, en 24, tweede lid, onder b, en vierde lid, tweede zin, van de Kadasterwet zijn van overeenkomstige toepassing op de herverkavelingsakte.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16.137 (inschrijving herverkavelingsakte)</w:t>
      </w:r>
    </w:p>
    <w:p w:rsidRPr="00E97F6E" w:rsidR="00E97F6E" w:rsidP="00E97F6E" w:rsidRDefault="00E97F6E">
      <w:pPr>
        <w:rPr>
          <w:rFonts w:ascii="Times New Roman" w:hAnsi="Times New Roman" w:eastAsia="Calibri"/>
          <w:b/>
          <w:sz w:val="24"/>
          <w:lang w:eastAsia="en-US"/>
        </w:rPr>
      </w:pP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herverkavelingsakte wordt ondertekend door de voorzitter van gedeputeerde staten en de secretaris, bedoeld in artikel 97 van de Provinciewet.</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herverkavelingsakte geldt als titel voor de daarin omschreven rechten. Door de inschrijving in de openbare registers gaat de eigendom van de daarin omschreven onroerende zaken over en worden de beperkte rechten verkregen.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Op grond van de herverkavelingsakte wordt in de openbare registers bij elke hypothecaire inschrijving of bij elke inschrijving van een beslag aangetekend dat de hypotheek of het beslag in het vervolg zal rusten op de in de herverkavelingsakte aangewezen kavels of gedeelten daarvan, of op de rechten waaraan die kavels of gedeelten daarvan zijn onderworpen.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De bewaarder van het kadaster en de openbare registers tekent ambtshalve de door de inschrijving van de herverkavelingsakte niet meer bestaande inschrijvingen van de in artikel 16.136, tweede lid, onder c, bedoelde hypotheken en beslagen aan in de basisregistratie kadaster.</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5. De bewaarder van het kadaster en de openbare registers zendt zo spoedig mogelijk aan elke eigenaar en elke beperkt gerechtigde van de onroerende zaak een kennisgeving van het resultaat van het bijhouden van de basisregistratie kadaster die op grond van de inschrijving van de herverkavelingsakte plaatsvindt. Hij vermeldt de dag van de verzending, de in de basisregistratie kadaster vermelde gegevens over de rechten, de rechthebbenden, bedoeld in de Kadasterwet, en de grootte en de kadastrale aanduiding van de onroerende zaak waarop de </w:t>
      </w:r>
      <w:r w:rsidRPr="00E97F6E">
        <w:rPr>
          <w:rFonts w:ascii="Times New Roman" w:hAnsi="Times New Roman" w:eastAsia="Calibri"/>
          <w:sz w:val="24"/>
          <w:lang w:eastAsia="en-US"/>
        </w:rPr>
        <w:lastRenderedPageBreak/>
        <w:t>kennisgeving betrekking heeft. Artikel 56b van de Kadasterwet is niet van toepassing op het bijhouden, bedoeld in de eerste zin.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 xml:space="preserve">AFDELING 16.13 KENNISGEVING OVEREENKOMST KOSTENVERHAAL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16.138 (kennisgeving overeenkomst kostenverhaal)</w:t>
      </w:r>
    </w:p>
    <w:p w:rsidRPr="00E97F6E" w:rsidR="00E97F6E" w:rsidP="00E97F6E" w:rsidRDefault="00E97F6E">
      <w:pPr>
        <w:rPr>
          <w:rFonts w:ascii="Times New Roman" w:hAnsi="Times New Roman" w:eastAsia="Verdana"/>
          <w:sz w:val="24"/>
        </w:rPr>
      </w:pPr>
    </w:p>
    <w:p w:rsidRPr="00E97F6E" w:rsidR="00E97F6E" w:rsidP="00C84B2C" w:rsidRDefault="00E97F6E">
      <w:pPr>
        <w:ind w:firstLine="284"/>
        <w:rPr>
          <w:rFonts w:ascii="Times New Roman" w:hAnsi="Times New Roman" w:eastAsia="Verdana"/>
          <w:sz w:val="24"/>
        </w:rPr>
      </w:pPr>
      <w:r w:rsidRPr="00E97F6E">
        <w:rPr>
          <w:rFonts w:ascii="Times New Roman" w:hAnsi="Times New Roman" w:eastAsia="Verdana"/>
          <w:sz w:val="24"/>
        </w:rPr>
        <w:t>Van een overeenkomst als bedoeld in artikel 13.13, eerste lid, wordt binnen twee weken na het aangaan daarvan door het bevoegd gezag:</w:t>
      </w:r>
    </w:p>
    <w:p w:rsidRPr="00E97F6E" w:rsidR="00E97F6E" w:rsidP="00C84B2C" w:rsidRDefault="00E97F6E">
      <w:pPr>
        <w:ind w:firstLine="284"/>
        <w:rPr>
          <w:rFonts w:ascii="Times New Roman" w:hAnsi="Times New Roman" w:eastAsia="Verdana"/>
          <w:sz w:val="24"/>
        </w:rPr>
      </w:pPr>
      <w:r w:rsidRPr="00E97F6E">
        <w:rPr>
          <w:rFonts w:ascii="Times New Roman" w:hAnsi="Times New Roman" w:eastAsia="Verdana"/>
          <w:sz w:val="24"/>
        </w:rPr>
        <w:t>a. kennisgegeven in een dag-, nieuws- of huis-aan-huisblad of op andere geschikte wijze,</w:t>
      </w:r>
    </w:p>
    <w:p w:rsidRPr="00E97F6E" w:rsidR="00E97F6E" w:rsidP="008878FE" w:rsidRDefault="00E97F6E">
      <w:pPr>
        <w:ind w:firstLine="284"/>
        <w:rPr>
          <w:rFonts w:ascii="Times New Roman" w:hAnsi="Times New Roman" w:eastAsia="Verdana"/>
          <w:sz w:val="24"/>
        </w:rPr>
      </w:pPr>
      <w:r w:rsidRPr="00E97F6E">
        <w:rPr>
          <w:rFonts w:ascii="Times New Roman" w:hAnsi="Times New Roman" w:eastAsia="Verdana"/>
          <w:sz w:val="24"/>
        </w:rPr>
        <w:t xml:space="preserve">b. een beschrijving van de zakelijke inhoud ter inzage gelegd. </w:t>
      </w:r>
    </w:p>
    <w:p w:rsidRPr="00E97F6E" w:rsidR="00E97F6E" w:rsidP="00E97F6E" w:rsidRDefault="00E97F6E">
      <w:pPr>
        <w:rPr>
          <w:rFonts w:ascii="Times New Roman" w:hAnsi="Times New Roman" w:eastAsia="Verdana"/>
          <w:sz w:val="24"/>
        </w:rPr>
      </w:pPr>
    </w:p>
    <w:p w:rsidRPr="00E97F6E" w:rsidR="00E97F6E" w:rsidP="008878FE" w:rsidRDefault="009377F5">
      <w:pPr>
        <w:ind w:firstLine="284"/>
        <w:rPr>
          <w:rFonts w:ascii="Times New Roman" w:hAnsi="Times New Roman" w:eastAsia="Verdana"/>
          <w:sz w:val="24"/>
        </w:rPr>
      </w:pPr>
      <w:r>
        <w:rPr>
          <w:rFonts w:ascii="Times New Roman" w:hAnsi="Times New Roman" w:eastAsia="Verdana"/>
          <w:sz w:val="24"/>
        </w:rPr>
        <w:t>14</w:t>
      </w:r>
      <w:r w:rsidRPr="00E97F6E" w:rsidR="00E97F6E">
        <w:rPr>
          <w:rFonts w:ascii="Times New Roman" w:hAnsi="Times New Roman" w:eastAsia="Verdana"/>
          <w:sz w:val="24"/>
        </w:rPr>
        <w:t>. Onder vernummering van artikel 16.88 (oud) tot 16.139 en artikel 16.89 (oud) tot 16.140 wordt artikel 16.139, eerste lid (nieuw), als volgt gewijzigd:</w:t>
      </w:r>
    </w:p>
    <w:p w:rsidR="008878FE" w:rsidP="00E97F6E" w:rsidRDefault="008878FE">
      <w:pPr>
        <w:rPr>
          <w:rFonts w:ascii="Times New Roman" w:hAnsi="Times New Roman"/>
          <w:sz w:val="24"/>
        </w:rPr>
      </w:pPr>
    </w:p>
    <w:p w:rsidRPr="00E97F6E" w:rsidR="00E97F6E" w:rsidP="008878FE" w:rsidRDefault="00E97F6E">
      <w:pPr>
        <w:ind w:firstLine="284"/>
        <w:rPr>
          <w:rFonts w:ascii="Times New Roman" w:hAnsi="Times New Roman"/>
          <w:sz w:val="24"/>
        </w:rPr>
      </w:pPr>
      <w:r w:rsidRPr="00E97F6E">
        <w:rPr>
          <w:rFonts w:ascii="Times New Roman" w:hAnsi="Times New Roman"/>
          <w:sz w:val="24"/>
        </w:rPr>
        <w:t>1. De onderdelen f tot en met j worden geletterd g tot en met k.</w:t>
      </w:r>
    </w:p>
    <w:p w:rsidR="008878FE" w:rsidP="00E97F6E" w:rsidRDefault="008878FE">
      <w:pPr>
        <w:rPr>
          <w:rFonts w:ascii="Times New Roman" w:hAnsi="Times New Roman"/>
          <w:sz w:val="24"/>
        </w:rPr>
      </w:pPr>
    </w:p>
    <w:p w:rsidRPr="00E97F6E" w:rsidR="00E97F6E" w:rsidP="008878FE" w:rsidRDefault="00E97F6E">
      <w:pPr>
        <w:ind w:firstLine="284"/>
        <w:rPr>
          <w:rFonts w:ascii="Times New Roman" w:hAnsi="Times New Roman"/>
          <w:sz w:val="24"/>
        </w:rPr>
      </w:pPr>
      <w:r w:rsidRPr="00E97F6E">
        <w:rPr>
          <w:rFonts w:ascii="Times New Roman" w:hAnsi="Times New Roman"/>
          <w:sz w:val="24"/>
        </w:rPr>
        <w:t>2. Er wordt na onderdeel e een onderdeel ingevoegd, luidende:</w:t>
      </w:r>
    </w:p>
    <w:p w:rsidRPr="00E97F6E" w:rsidR="00E97F6E" w:rsidP="008878FE" w:rsidRDefault="00E97F6E">
      <w:pPr>
        <w:ind w:firstLine="284"/>
        <w:rPr>
          <w:rFonts w:ascii="Times New Roman" w:hAnsi="Times New Roman"/>
          <w:sz w:val="24"/>
        </w:rPr>
      </w:pPr>
      <w:r w:rsidRPr="00E97F6E">
        <w:rPr>
          <w:rFonts w:ascii="Times New Roman" w:hAnsi="Times New Roman"/>
          <w:sz w:val="24"/>
        </w:rPr>
        <w:t>f. uitnodigingen tot onderhandeling als bedoeld in artikel 9.12, eerste lid,.</w:t>
      </w:r>
    </w:p>
    <w:p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Ka</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Artikel 18.3 komt te luiden:</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b/>
          <w:sz w:val="24"/>
          <w:szCs w:val="20"/>
        </w:rPr>
      </w:pPr>
      <w:r w:rsidRPr="007B3D6B">
        <w:rPr>
          <w:rFonts w:ascii="Times New Roman" w:hAnsi="Times New Roman"/>
          <w:b/>
          <w:sz w:val="24"/>
          <w:szCs w:val="20"/>
        </w:rPr>
        <w:t xml:space="preserve">Artikel 18.3 (toedeling mede-handhavingstaak) </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1. In bij algemene maatregel van bestuur aangewezen gevallen berust de bestuursrechtelijke handhavingstaak ook bij het bestuursorgaan dat op grond van artikel 16.16, eerste lid, heeft beslist over instemming met de voorgenomen beslissing op de aanvraag om een omgevingsvergunning voor een activiteit, of dat op grond van artikel 16.16, derde of vierde lid, heeft bepaald dat instemming niet is vereist, voor zover het gaat om de naleving van de voorschriften van de omgevingsvergunning voor die activiteit.</w:t>
      </w: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 xml:space="preserve">2. Bij algemene maatregel van bestuur kan de bestuursrechtelijke handhavingstaak met het oog op een doelmatige uitoefening daarvan ook in andere gevallen worden opgedragen aan een bestuursorgaan dat die taak naast het bij of krachtens artikel 18.2 aangewezen bestuursorgaan uitoefent. Het opdragen van de bestuursrechtelijke handhavingstaak kan daarbij worden beperkt tot een te onderscheiden activiteit of deel van een activiteit waarop de regel die of het besluit dat wordt gehandhaafd betrekking heeft. </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Kb</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Hoofdstuk 20 wordt als volgt gewijzigd:</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1. Artikel 20.4 wordt als volgt gewijzigd:</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a. Onderdeel c vervalt, onder verlettering van de onderdelen d tot en met i tot c tot en met h.</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lastRenderedPageBreak/>
        <w:tab/>
        <w:t>b. Onder verlettering van onderdeel h (nieuw) tot i wordt een onderdeel ingevoegd, luidende:</w:t>
      </w: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h. de verordening governance van de energie-unie,.</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2. In artikel 20.18, eerste lid, wordt na “onderdelen” ingevoegd “of aspecten”.</w:t>
      </w:r>
    </w:p>
    <w:p w:rsidR="00E97F6E" w:rsidP="00E97F6E" w:rsidRDefault="00E97F6E">
      <w:pPr>
        <w:rPr>
          <w:rFonts w:ascii="Times New Roman" w:hAnsi="Times New Roman" w:eastAsia="Calibri"/>
          <w:b/>
          <w:sz w:val="24"/>
          <w:lang w:eastAsia="en-US"/>
        </w:rPr>
      </w:pPr>
    </w:p>
    <w:p w:rsidRPr="00C50A0A" w:rsidR="00C50A0A" w:rsidP="00C50A0A" w:rsidRDefault="00C50A0A">
      <w:pPr>
        <w:rPr>
          <w:rFonts w:ascii="Times New Roman" w:hAnsi="Times New Roman" w:eastAsia="Calibri"/>
          <w:sz w:val="24"/>
          <w:lang w:eastAsia="en-US"/>
        </w:rPr>
      </w:pPr>
      <w:r w:rsidRPr="00C50A0A">
        <w:rPr>
          <w:rFonts w:ascii="Times New Roman" w:hAnsi="Times New Roman" w:eastAsia="Calibri"/>
          <w:sz w:val="24"/>
          <w:lang w:eastAsia="en-US"/>
        </w:rPr>
        <w:t>K</w:t>
      </w:r>
      <w:r w:rsidR="007B3D6B">
        <w:rPr>
          <w:rFonts w:ascii="Times New Roman" w:hAnsi="Times New Roman" w:eastAsia="Calibri"/>
          <w:sz w:val="24"/>
          <w:lang w:eastAsia="en-US"/>
        </w:rPr>
        <w:t>c</w:t>
      </w:r>
    </w:p>
    <w:p w:rsidRPr="00C50A0A" w:rsidR="00C50A0A" w:rsidP="00C50A0A" w:rsidRDefault="00C50A0A">
      <w:pPr>
        <w:rPr>
          <w:rFonts w:ascii="Times New Roman" w:hAnsi="Times New Roman" w:eastAsia="Calibri"/>
          <w:sz w:val="24"/>
          <w:lang w:eastAsia="en-US"/>
        </w:rPr>
      </w:pPr>
    </w:p>
    <w:p w:rsidRPr="00C50A0A" w:rsidR="00C50A0A" w:rsidP="00C50A0A" w:rsidRDefault="00C50A0A">
      <w:pPr>
        <w:rPr>
          <w:rFonts w:ascii="Times New Roman" w:hAnsi="Times New Roman" w:eastAsia="Calibri"/>
          <w:sz w:val="24"/>
          <w:lang w:eastAsia="en-US"/>
        </w:rPr>
      </w:pPr>
      <w:r w:rsidRPr="00C50A0A">
        <w:rPr>
          <w:rFonts w:ascii="Times New Roman" w:hAnsi="Times New Roman" w:eastAsia="Calibri"/>
          <w:sz w:val="24"/>
          <w:lang w:eastAsia="en-US"/>
        </w:rPr>
        <w:tab/>
        <w:t>In artikel 22.13, eerste lid, wordt "artikel 22.1, eerste lid, aanhef en onder a," vervangen door "artikel 22.1, aanhef en onder a,".</w:t>
      </w:r>
    </w:p>
    <w:p w:rsidRPr="00E97F6E" w:rsidR="00C50A0A" w:rsidP="00E97F6E" w:rsidRDefault="00C50A0A">
      <w:pPr>
        <w:rPr>
          <w:rFonts w:ascii="Times New Roman" w:hAnsi="Times New Roman" w:eastAsia="Calibri"/>
          <w:b/>
          <w:sz w:val="24"/>
          <w:lang w:eastAsia="en-US"/>
        </w:rPr>
      </w:pPr>
    </w:p>
    <w:p w:rsidRPr="00C50A0A" w:rsidR="00C50A0A" w:rsidP="00C50A0A" w:rsidRDefault="00C50A0A">
      <w:pPr>
        <w:rPr>
          <w:rFonts w:ascii="Times New Roman" w:hAnsi="Times New Roman" w:eastAsia="Verdana"/>
          <w:sz w:val="24"/>
        </w:rPr>
      </w:pPr>
      <w:r w:rsidRPr="00C50A0A">
        <w:rPr>
          <w:rFonts w:ascii="Times New Roman" w:hAnsi="Times New Roman" w:eastAsia="Verdana"/>
          <w:sz w:val="24"/>
        </w:rPr>
        <w:t>L</w:t>
      </w:r>
    </w:p>
    <w:p w:rsidRPr="00C50A0A" w:rsidR="00C50A0A" w:rsidP="00C50A0A" w:rsidRDefault="00C50A0A">
      <w:pPr>
        <w:rPr>
          <w:rFonts w:ascii="Times New Roman" w:hAnsi="Times New Roman" w:eastAsia="Verdana"/>
          <w:sz w:val="24"/>
        </w:rPr>
      </w:pPr>
    </w:p>
    <w:p w:rsidR="00E97F6E" w:rsidP="008878FE" w:rsidRDefault="00C50A0A">
      <w:pPr>
        <w:ind w:firstLine="284"/>
        <w:rPr>
          <w:rFonts w:ascii="Times New Roman" w:hAnsi="Times New Roman" w:eastAsia="Verdana"/>
          <w:sz w:val="24"/>
        </w:rPr>
      </w:pPr>
      <w:r w:rsidRPr="00C50A0A">
        <w:rPr>
          <w:rFonts w:ascii="Times New Roman" w:hAnsi="Times New Roman" w:eastAsia="Verdana"/>
          <w:sz w:val="24"/>
        </w:rPr>
        <w:tab/>
        <w:t>In artikel 23.5, eerste lid, wordt “de hoofdstukken 2, 3, 4, 5, 12, 16, 17, 18, 19, 20 en artikel 23.3” vervangen door “de hoofdstukken 2, 3, 4 en 5, afdeling 13.6, de hoofdstukken 16, 17, 18, 19 en 20 en artikel 23.3”.</w:t>
      </w:r>
    </w:p>
    <w:p w:rsidRPr="008878FE" w:rsidR="008878FE" w:rsidP="008878FE" w:rsidRDefault="008878FE">
      <w:pPr>
        <w:rPr>
          <w:rFonts w:ascii="Times New Roman" w:hAnsi="Times New Roman" w:eastAsia="Verdana"/>
          <w:sz w:val="24"/>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M</w:t>
      </w:r>
    </w:p>
    <w:p w:rsidRPr="00E97F6E" w:rsidR="00E97F6E" w:rsidP="00E97F6E" w:rsidRDefault="00E97F6E">
      <w:pPr>
        <w:rPr>
          <w:rFonts w:ascii="Times New Roman" w:hAnsi="Times New Roman" w:eastAsia="Calibri"/>
          <w:sz w:val="24"/>
          <w:lang w:eastAsia="en-US"/>
        </w:rPr>
      </w:pPr>
    </w:p>
    <w:p w:rsidRPr="00E97F6E" w:rsidR="00E97F6E" w:rsidP="00B87B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bijlage, onder A, wordt als volgt gewijzigd:</w:t>
      </w:r>
    </w:p>
    <w:p w:rsidR="00B87B25" w:rsidP="00E97F6E" w:rsidRDefault="00B87B25">
      <w:pPr>
        <w:rPr>
          <w:rFonts w:ascii="Times New Roman" w:hAnsi="Times New Roman" w:eastAsia="Calibri"/>
          <w:sz w:val="24"/>
          <w:lang w:eastAsia="en-US"/>
        </w:rPr>
      </w:pPr>
    </w:p>
    <w:p w:rsidRPr="00E97F6E" w:rsidR="00E97F6E" w:rsidP="00B87B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In de alfabetische rangschikking worden ingevoegd:</w:t>
      </w:r>
    </w:p>
    <w:p w:rsidRPr="00E97F6E" w:rsidR="00E97F6E" w:rsidP="00B87B25" w:rsidRDefault="00E97F6E">
      <w:pPr>
        <w:autoSpaceDE w:val="0"/>
        <w:adjustRightInd w:val="0"/>
        <w:ind w:firstLine="284"/>
        <w:rPr>
          <w:rFonts w:ascii="Times New Roman" w:hAnsi="Times New Roman" w:eastAsia="Verdana"/>
          <w:i/>
          <w:iCs/>
          <w:sz w:val="24"/>
        </w:rPr>
      </w:pPr>
      <w:r w:rsidRPr="00E97F6E">
        <w:rPr>
          <w:rFonts w:ascii="Times New Roman" w:hAnsi="Times New Roman" w:eastAsia="Verdana"/>
          <w:i/>
          <w:iCs/>
          <w:sz w:val="24"/>
        </w:rPr>
        <w:t xml:space="preserve">gemeentelijk voorkeursrecht: </w:t>
      </w:r>
      <w:r w:rsidRPr="00E97F6E">
        <w:rPr>
          <w:rFonts w:ascii="Times New Roman" w:hAnsi="Times New Roman" w:eastAsia="Verdana"/>
          <w:iCs/>
          <w:sz w:val="24"/>
        </w:rPr>
        <w:t>voorkeursrecht op naam van een gemeente;</w:t>
      </w:r>
    </w:p>
    <w:p w:rsidRPr="00E97F6E" w:rsidR="00E97F6E" w:rsidP="00B87B25" w:rsidRDefault="00E97F6E">
      <w:pPr>
        <w:ind w:firstLine="284"/>
        <w:rPr>
          <w:rFonts w:ascii="Times New Roman" w:hAnsi="Times New Roman" w:eastAsia="Calibri"/>
          <w:sz w:val="24"/>
          <w:lang w:eastAsia="en-US"/>
        </w:rPr>
      </w:pPr>
      <w:r w:rsidRPr="00E97F6E">
        <w:rPr>
          <w:rFonts w:ascii="Times New Roman" w:hAnsi="Times New Roman" w:eastAsia="Calibri"/>
          <w:i/>
          <w:sz w:val="24"/>
          <w:lang w:eastAsia="en-US"/>
        </w:rPr>
        <w:t>herverkaveling</w:t>
      </w:r>
      <w:r w:rsidRPr="00E97F6E">
        <w:rPr>
          <w:rFonts w:ascii="Times New Roman" w:hAnsi="Times New Roman" w:eastAsia="Calibri"/>
          <w:sz w:val="24"/>
          <w:lang w:eastAsia="en-US"/>
        </w:rPr>
        <w:t>: samenvoeging van onroerende zaken in een gebied, verdeling van het gebied in kavels en toewijzing van die kavels aan eigenaren;</w:t>
      </w:r>
    </w:p>
    <w:p w:rsidRPr="00E97F6E" w:rsidR="00E97F6E" w:rsidP="00B87B25" w:rsidRDefault="00E97F6E">
      <w:pPr>
        <w:ind w:firstLine="284"/>
        <w:rPr>
          <w:rFonts w:ascii="Times New Roman" w:hAnsi="Times New Roman" w:eastAsia="Calibri"/>
          <w:sz w:val="24"/>
          <w:lang w:eastAsia="en-US"/>
        </w:rPr>
      </w:pPr>
      <w:r w:rsidRPr="00E97F6E">
        <w:rPr>
          <w:rFonts w:ascii="Times New Roman" w:hAnsi="Times New Roman" w:eastAsia="Calibri"/>
          <w:i/>
          <w:sz w:val="24"/>
          <w:lang w:eastAsia="en-US"/>
        </w:rPr>
        <w:t>herverkavelingsblok</w:t>
      </w:r>
      <w:r w:rsidRPr="00E97F6E">
        <w:rPr>
          <w:rFonts w:ascii="Times New Roman" w:hAnsi="Times New Roman" w:eastAsia="Calibri"/>
          <w:sz w:val="24"/>
          <w:lang w:eastAsia="en-US"/>
        </w:rPr>
        <w:t>: een geheel van in een herverkaveling opgenomen onroerende zaken;</w:t>
      </w:r>
    </w:p>
    <w:p w:rsidR="00B87B25" w:rsidP="00B87B25" w:rsidRDefault="00E97F6E">
      <w:pPr>
        <w:ind w:firstLine="284"/>
        <w:rPr>
          <w:rFonts w:ascii="Times New Roman" w:hAnsi="Times New Roman" w:eastAsia="Verdana"/>
          <w:iCs/>
          <w:sz w:val="24"/>
        </w:rPr>
      </w:pPr>
      <w:r w:rsidRPr="00E97F6E">
        <w:rPr>
          <w:rFonts w:ascii="Times New Roman" w:hAnsi="Times New Roman" w:eastAsia="Verdana"/>
          <w:i/>
          <w:iCs/>
          <w:sz w:val="24"/>
        </w:rPr>
        <w:t xml:space="preserve">inrichtingsbesluit: </w:t>
      </w:r>
      <w:r w:rsidRPr="00E97F6E">
        <w:rPr>
          <w:rFonts w:ascii="Times New Roman" w:hAnsi="Times New Roman" w:eastAsia="Verdana"/>
          <w:iCs/>
          <w:sz w:val="24"/>
        </w:rPr>
        <w:t>besluit als bedoeld in artikel 12.7;</w:t>
      </w:r>
    </w:p>
    <w:p w:rsidRPr="00E97F6E" w:rsidR="00E97F6E" w:rsidP="00B87B25" w:rsidRDefault="00E97F6E">
      <w:pPr>
        <w:ind w:firstLine="284"/>
        <w:rPr>
          <w:rFonts w:ascii="Times New Roman" w:hAnsi="Times New Roman" w:eastAsia="Verdana"/>
          <w:i/>
          <w:sz w:val="24"/>
        </w:rPr>
      </w:pPr>
      <w:r w:rsidRPr="00E97F6E">
        <w:rPr>
          <w:rFonts w:ascii="Times New Roman" w:hAnsi="Times New Roman" w:eastAsia="Verdana"/>
          <w:i/>
          <w:sz w:val="24"/>
        </w:rPr>
        <w:t xml:space="preserve">kavel: </w:t>
      </w:r>
      <w:r w:rsidRPr="00E97F6E">
        <w:rPr>
          <w:rFonts w:ascii="Times New Roman" w:hAnsi="Times New Roman" w:eastAsia="Verdana"/>
          <w:sz w:val="24"/>
        </w:rPr>
        <w:t>een aaneengesloten oppervlakte gronden van een eigenaar, omgeven door gronden van andere eigenaren of door openbare wegen of spoorwegen, of door niet overschrijdbare waterlopen;</w:t>
      </w:r>
    </w:p>
    <w:p w:rsidR="007D41DE" w:rsidP="007D41DE" w:rsidRDefault="00E97F6E">
      <w:pPr>
        <w:ind w:firstLine="284"/>
        <w:rPr>
          <w:rFonts w:ascii="Times New Roman" w:hAnsi="Times New Roman" w:eastAsia="Verdana"/>
          <w:sz w:val="24"/>
        </w:rPr>
      </w:pPr>
      <w:r w:rsidRPr="00E97F6E">
        <w:rPr>
          <w:rFonts w:ascii="Times New Roman" w:hAnsi="Times New Roman" w:eastAsia="Verdana"/>
          <w:i/>
          <w:sz w:val="24"/>
        </w:rPr>
        <w:t>landinrichtingsactiviteit:</w:t>
      </w:r>
      <w:r w:rsidRPr="00E97F6E">
        <w:rPr>
          <w:rFonts w:ascii="Times New Roman" w:hAnsi="Times New Roman" w:eastAsia="Verdana"/>
          <w:sz w:val="24"/>
        </w:rPr>
        <w:t xml:space="preserve"> activiteit die gevolgen heeft of kan hebben voor de uitvoering van een inrichtingsprogramma;</w:t>
      </w:r>
    </w:p>
    <w:p w:rsidR="007D41DE" w:rsidP="007D41DE" w:rsidRDefault="00E97F6E">
      <w:pPr>
        <w:ind w:firstLine="284"/>
        <w:rPr>
          <w:rFonts w:ascii="Times New Roman" w:hAnsi="Times New Roman" w:eastAsia="Verdana"/>
          <w:iCs/>
          <w:sz w:val="24"/>
        </w:rPr>
      </w:pPr>
      <w:r w:rsidRPr="00E97F6E">
        <w:rPr>
          <w:rFonts w:ascii="Times New Roman" w:hAnsi="Times New Roman" w:eastAsia="Verdana"/>
          <w:i/>
          <w:iCs/>
          <w:sz w:val="24"/>
        </w:rPr>
        <w:t>inrichtingsprogramma</w:t>
      </w:r>
      <w:r w:rsidRPr="00E97F6E">
        <w:rPr>
          <w:rFonts w:ascii="Times New Roman" w:hAnsi="Times New Roman" w:eastAsia="Verdana"/>
          <w:iCs/>
          <w:sz w:val="24"/>
        </w:rPr>
        <w:t>: programma als bedoeld in artikel 3.14a;</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i/>
          <w:sz w:val="24"/>
        </w:rPr>
        <w:t>openbare registers:</w:t>
      </w:r>
      <w:r w:rsidRPr="00E97F6E">
        <w:rPr>
          <w:rFonts w:ascii="Times New Roman" w:hAnsi="Times New Roman" w:eastAsia="Verdana"/>
          <w:sz w:val="24"/>
        </w:rPr>
        <w:t xml:space="preserve"> openbare registers als bedoeld in afdeling 2 van titel 1 van Boek 3 van het Burgerlijk Wetboek;</w:t>
      </w:r>
    </w:p>
    <w:p w:rsidRPr="00E97F6E" w:rsidR="00E97F6E" w:rsidP="007D41DE" w:rsidRDefault="00E97F6E">
      <w:pPr>
        <w:ind w:firstLine="284"/>
        <w:rPr>
          <w:rFonts w:ascii="Times New Roman" w:hAnsi="Times New Roman" w:eastAsia="Calibri"/>
          <w:sz w:val="24"/>
          <w:lang w:eastAsia="en-US"/>
        </w:rPr>
      </w:pPr>
      <w:r w:rsidRPr="00E97F6E">
        <w:rPr>
          <w:rFonts w:ascii="Times New Roman" w:hAnsi="Times New Roman" w:eastAsia="Calibri"/>
          <w:i/>
          <w:sz w:val="24"/>
          <w:lang w:eastAsia="en-US"/>
        </w:rPr>
        <w:t>besluit geldelijke regelingen</w:t>
      </w:r>
      <w:r w:rsidRPr="00E97F6E">
        <w:rPr>
          <w:rFonts w:ascii="Times New Roman" w:hAnsi="Times New Roman" w:eastAsia="Calibri"/>
          <w:sz w:val="24"/>
          <w:lang w:eastAsia="en-US"/>
        </w:rPr>
        <w:t>: besluit als bedoeld in artikel 12.36;</w:t>
      </w:r>
    </w:p>
    <w:p w:rsidRPr="00E97F6E" w:rsidR="00E97F6E" w:rsidP="007D41DE" w:rsidRDefault="00E97F6E">
      <w:pPr>
        <w:ind w:firstLine="284"/>
        <w:rPr>
          <w:rFonts w:ascii="Times New Roman" w:hAnsi="Times New Roman" w:eastAsia="Verdana"/>
          <w:i/>
          <w:sz w:val="24"/>
        </w:rPr>
      </w:pPr>
      <w:r w:rsidRPr="00E97F6E">
        <w:rPr>
          <w:rFonts w:ascii="Times New Roman" w:hAnsi="Times New Roman" w:eastAsia="Verdana"/>
          <w:i/>
          <w:sz w:val="24"/>
        </w:rPr>
        <w:t xml:space="preserve">nationaal voorkeursrecht: </w:t>
      </w:r>
      <w:r w:rsidRPr="00E97F6E">
        <w:rPr>
          <w:rFonts w:ascii="Times New Roman" w:hAnsi="Times New Roman" w:eastAsia="Verdana"/>
          <w:sz w:val="24"/>
        </w:rPr>
        <w:t>voorkeursrecht op naam van de Staat;</w:t>
      </w:r>
      <w:r w:rsidRPr="00E97F6E">
        <w:rPr>
          <w:rFonts w:ascii="Times New Roman" w:hAnsi="Times New Roman" w:eastAsia="Verdana"/>
          <w:i/>
          <w:sz w:val="24"/>
        </w:rPr>
        <w:t xml:space="preserve"> </w:t>
      </w:r>
    </w:p>
    <w:p w:rsidR="007D41DE" w:rsidP="007D41DE" w:rsidRDefault="00E97F6E">
      <w:pPr>
        <w:ind w:firstLine="284"/>
        <w:rPr>
          <w:rFonts w:ascii="Times New Roman" w:hAnsi="Times New Roman" w:eastAsia="Verdana"/>
          <w:sz w:val="24"/>
        </w:rPr>
      </w:pPr>
      <w:r w:rsidRPr="00E97F6E">
        <w:rPr>
          <w:rFonts w:ascii="Times New Roman" w:hAnsi="Times New Roman" w:eastAsia="Verdana"/>
          <w:i/>
          <w:sz w:val="24"/>
        </w:rPr>
        <w:t xml:space="preserve">provinciaal voorkeursrecht: </w:t>
      </w:r>
      <w:r w:rsidRPr="00E97F6E">
        <w:rPr>
          <w:rFonts w:ascii="Times New Roman" w:hAnsi="Times New Roman" w:eastAsia="Verdana"/>
          <w:sz w:val="24"/>
        </w:rPr>
        <w:t>voorkeursrecht op naam van een provincie;</w:t>
      </w:r>
    </w:p>
    <w:p w:rsidR="007D41DE" w:rsidP="007D41DE" w:rsidRDefault="00E97F6E">
      <w:pPr>
        <w:ind w:firstLine="284"/>
        <w:rPr>
          <w:rFonts w:ascii="Times New Roman" w:hAnsi="Times New Roman" w:eastAsia="Verdana"/>
          <w:sz w:val="24"/>
        </w:rPr>
      </w:pPr>
      <w:r w:rsidRPr="00E97F6E">
        <w:rPr>
          <w:rFonts w:ascii="Times New Roman" w:hAnsi="Times New Roman" w:eastAsia="Verdana"/>
          <w:i/>
          <w:sz w:val="24"/>
        </w:rPr>
        <w:t>ruilbesluit:</w:t>
      </w:r>
      <w:r w:rsidRPr="00E97F6E">
        <w:rPr>
          <w:rFonts w:ascii="Times New Roman" w:hAnsi="Times New Roman" w:eastAsia="Verdana"/>
          <w:sz w:val="24"/>
        </w:rPr>
        <w:t xml:space="preserve"> besluit als bedoeld in artikel 12.22;</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i/>
          <w:sz w:val="24"/>
        </w:rPr>
        <w:t>vervreemder:</w:t>
      </w:r>
      <w:r w:rsidRPr="00E97F6E">
        <w:rPr>
          <w:rFonts w:ascii="Times New Roman" w:hAnsi="Times New Roman" w:eastAsia="Verdana"/>
          <w:sz w:val="24"/>
        </w:rPr>
        <w:t xml:space="preserve">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a. eigenaar van een onroerende zaak waarop een voorkeursrecht is gevestigd, die tot vervreemding daarvan wil overgaan,</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b. rechthebbende op een recht van opstal, erfpacht, beklemming of vruchtgebruik waaraan een onroerende zaak waarop een voorkeursrecht is gevestigd is onderworpen en die tot vervreemding daarvan wil overgaan, of</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 xml:space="preserve">c. degene die bij ontbinding van een gemeenschap met de vereffening is belast en die tot vervreemding van een onroerende zaak waarop een voorkeursrecht is gevestigd wil overgaan.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i/>
          <w:sz w:val="24"/>
        </w:rPr>
        <w:t>vervreemding:</w:t>
      </w:r>
      <w:r w:rsidRPr="00E97F6E">
        <w:rPr>
          <w:rFonts w:ascii="Times New Roman" w:hAnsi="Times New Roman" w:eastAsia="Verdana"/>
          <w:sz w:val="24"/>
        </w:rPr>
        <w:t xml:space="preserve">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lastRenderedPageBreak/>
        <w:t>a. overdracht in eigendom of verdeling van een onroerende zaak waarop een voorkeursrecht is gevestigd,</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 xml:space="preserve">b. overdracht, verdeling of vestiging van een recht van opstal, erfpacht, beklemming of vruchtgebruik waaraan een onroerende zaak waarop een voorkeursrecht is gevestigd is of wordt onderworpen. </w:t>
      </w:r>
    </w:p>
    <w:p w:rsidR="007D41DE" w:rsidP="00E97F6E" w:rsidRDefault="007D41DE">
      <w:pPr>
        <w:rPr>
          <w:rFonts w:ascii="Times New Roman" w:hAnsi="Times New Roman" w:eastAsia="Verdana"/>
          <w:sz w:val="24"/>
        </w:rPr>
      </w:pP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2. De volgende begripsbepalingen vervallen:</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a. exploitatiegebied,</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 xml:space="preserve">b. exploitatieregels,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 xml:space="preserve">c. exploitatievoorschriften,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d. grondexploitatie.</w:t>
      </w:r>
    </w:p>
    <w:p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Ma</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 xml:space="preserve">In de bijlage, onder B, vervalt de begripsbepaling monitoringsmechanisme-verordening en wordt in de alfabetische rangschikking ingevoegd: </w:t>
      </w: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 xml:space="preserve">verordening governance van de energie-unie: Verordening (EU) 2018/1999 van het Europees Parlement en de Raad van 11 december 2018 inzake de governance van de energie-unie en van de klimaatactie,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 (PbEU 2018, L 328);. </w:t>
      </w:r>
    </w:p>
    <w:p w:rsidR="007D41DE" w:rsidP="007D41DE" w:rsidRDefault="007D41DE">
      <w:pPr>
        <w:rPr>
          <w:rFonts w:ascii="Times New Roman" w:hAnsi="Times New Roman"/>
          <w:b/>
          <w:sz w:val="24"/>
        </w:rPr>
      </w:pPr>
    </w:p>
    <w:p w:rsidR="007D41DE" w:rsidP="007D41DE" w:rsidRDefault="007D41DE">
      <w:pPr>
        <w:rPr>
          <w:rFonts w:ascii="Times New Roman" w:hAnsi="Times New Roman"/>
          <w:b/>
          <w:sz w:val="24"/>
        </w:rPr>
      </w:pPr>
    </w:p>
    <w:p w:rsidRPr="007D41DE" w:rsidR="00E97F6E" w:rsidP="007D41DE" w:rsidRDefault="00E97F6E">
      <w:pPr>
        <w:rPr>
          <w:rFonts w:ascii="Times New Roman" w:hAnsi="Times New Roman"/>
          <w:b/>
          <w:sz w:val="24"/>
        </w:rPr>
      </w:pPr>
      <w:r w:rsidRPr="007D41DE">
        <w:rPr>
          <w:rFonts w:ascii="Times New Roman" w:hAnsi="Times New Roman"/>
          <w:b/>
          <w:sz w:val="24"/>
        </w:rPr>
        <w:t xml:space="preserve">HOOFDSTUK 2 </w:t>
      </w:r>
      <w:r w:rsidRPr="007D41DE" w:rsidR="00325DA3">
        <w:rPr>
          <w:rFonts w:ascii="Times New Roman" w:hAnsi="Times New Roman"/>
          <w:b/>
          <w:sz w:val="24"/>
        </w:rPr>
        <w:t>WIJZIGING VAN ANDERE WETTEN</w:t>
      </w:r>
    </w:p>
    <w:p w:rsidR="00980FBD" w:rsidP="00980FBD" w:rsidRDefault="00980FBD">
      <w:pPr>
        <w:tabs>
          <w:tab w:val="left" w:pos="284"/>
        </w:tabs>
        <w:rPr>
          <w:rFonts w:ascii="Times New Roman" w:hAnsi="Times New Roman"/>
          <w:b/>
          <w:sz w:val="24"/>
          <w:szCs w:val="20"/>
        </w:rPr>
      </w:pPr>
    </w:p>
    <w:p w:rsidRPr="00980FBD" w:rsidR="00980FBD" w:rsidP="00980FBD" w:rsidRDefault="00980FBD">
      <w:pPr>
        <w:tabs>
          <w:tab w:val="left" w:pos="284"/>
        </w:tabs>
        <w:rPr>
          <w:rFonts w:ascii="Times New Roman" w:hAnsi="Times New Roman"/>
          <w:b/>
          <w:sz w:val="24"/>
          <w:szCs w:val="20"/>
        </w:rPr>
      </w:pPr>
      <w:r w:rsidRPr="00980FBD">
        <w:rPr>
          <w:rFonts w:ascii="Times New Roman" w:hAnsi="Times New Roman"/>
          <w:b/>
          <w:sz w:val="24"/>
          <w:szCs w:val="20"/>
        </w:rPr>
        <w:t>Artikel 2.0 (Aanvullingswet geluid Omgevingswet)</w:t>
      </w: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 xml:space="preserve"> </w:t>
      </w: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De Aanvullingswet geluid Omgevingswet wordt als volgt gewijzigd: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In artikel 2.4, onderdeel E, wordt “artikel 21.6, vierde lid” vervangen door “artikel 21.6, tweede lid”.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B</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Artikel 3.6 wordt als volgt gewijzigd: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1. In het eerste lid, onder a, wordt “artikel 2.12, derde lid” vervangen door “artikel 2.12a, eerste lid”.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2. In het derde lid, tweede zin, wordt voor “op een bij koninklijk besluit te bepalen tijdstip” ingevoegd “uiterlijk”.</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b/>
          <w:sz w:val="24"/>
          <w:szCs w:val="20"/>
        </w:rPr>
      </w:pPr>
      <w:r w:rsidRPr="00980FBD">
        <w:rPr>
          <w:rFonts w:ascii="Times New Roman" w:hAnsi="Times New Roman"/>
          <w:b/>
          <w:sz w:val="24"/>
          <w:szCs w:val="20"/>
        </w:rPr>
        <w:t>Artikel 2.0a (Aanvullingswet bodem Omgevingswet)</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lastRenderedPageBreak/>
        <w:tab/>
        <w:t xml:space="preserve">In artikel 2.6, onderdeel A, subonderdeel 1, onder b, van de Aanvullingswet bodem Omgevingswet wordt “19.9 in verbinding met 19.3, tweede lid, 19.4, eerste en tweede lid,” vervangen door “19.9 in verbinding met 19.3, tweede lid,”.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b/>
          <w:sz w:val="24"/>
          <w:szCs w:val="20"/>
        </w:rPr>
      </w:pPr>
      <w:r w:rsidRPr="00980FBD">
        <w:rPr>
          <w:rFonts w:ascii="Times New Roman" w:hAnsi="Times New Roman"/>
          <w:b/>
          <w:sz w:val="24"/>
          <w:szCs w:val="20"/>
        </w:rPr>
        <w:t>Artikel 2.0b (Aanvullingswet natuur Omgevingswet)</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De Aanvullingswet natuur Omgevingswet wordt als volgt gewijzigd: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In artikel 1.1, onderdeel AB, wordt de voorgestelde afdeling 10.3A vernummerd tot 10.4 en wordt het voorgestelde artikel 10.28a vernummerd tot 10.29.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B</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In artikel 1.1, onderdeel AK, vervalt in het voorgestelde artikel 18.15a, eerste lid, “, artikel 5.1, tweede lid, aanhef en onder c, of artikel 5.34, tweede lid”.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C</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Artikel 3.13 wordt als volgt gewijzigd: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1. In onderdeel A, onder 4, wordt “10.28a” vervangen door “10.29”.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2. Onderdeel C komt te luiden:</w:t>
      </w: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C. artikel 1.1, onderdeel T, van die wet eerder in werking is getreden of treedt dan de artikelen 1.1, onderdelen D, onder 1, onder b, I, ACc, AS, AT, 2.1, 2.3, tweede, derde en vierde lid, onder a en b, 3.5, onder B, onder 2, en 3.9, onder B, onder 2, onder a, van deze wet, wordt deze wet als volgt gewijzigd: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1. Artikel 1.1 wordt als volgt gewijzigd: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a. In onderdeel D, onder 1, onder b, wordt “artikel 2.43, eerste, tweede, derde en vierde lid, 2.38 of 2.44” vervangen door “artikel 2.44, eerste tot en met vierde lid, 2.38 of 2.45”.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b. Na onderdeel H wordt een onderdeel ingevoegd, luidende: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 xml:space="preserve">Ha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Na artikel 2.42 wordt een paragraafopschrift ingevoegd, luidende: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i/>
          <w:sz w:val="24"/>
          <w:szCs w:val="20"/>
        </w:rPr>
      </w:pPr>
      <w:r w:rsidRPr="00980FBD">
        <w:rPr>
          <w:rFonts w:ascii="Times New Roman" w:hAnsi="Times New Roman"/>
          <w:i/>
          <w:sz w:val="24"/>
          <w:szCs w:val="20"/>
        </w:rPr>
        <w:t xml:space="preserve">§2.6.2 Bijzondere bevoegdheden geluid.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c. Onderdeel I wordt als volgt gewijzigd: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1°. In de aanhef wordt “2.42” vervangen door “2.43”.</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2°. “§ 2.6.2 Bijzondere bevoegdheden natuur en landschap” wordt vervangen door “§ 2.6.3 Bijzondere bevoegdheden natuur en landschap”.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3°. De voorgestelde artikelen 2.43 en 2.44 worden vernummerd tot 2.44 en 2.45.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d. In onderdeel Na wordt “2.43” vervangen door “2.44”.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e. In onderdeel AS wordt in het voorgestelde artikel 23.5a, tweede lid, “2.43” vervangen door “2.44”.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f. In onderdeel AT wordt in de voorgestelde begripsbepalingen “bijzonder nationaal natuurgebied” en “instandhoudingsdoelstellingen” “2.43” vervangen door “2.44”.</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2. In artikel 2.1 wordt “2.43” vervangen door “2.44”.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3. In artikel 2.3, tweede, derde en vierde lid, onder a en b, wordt “2.44” vervangen door “2.45”.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4. In artikel 3.5, onder B, onder 2, wordt “2.43” vervangen door “2.44”.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5. In artikel 3.9, onder B, onder 2, onder a, wordt “2.44” vervangen door “2.45”.</w:t>
      </w:r>
    </w:p>
    <w:p w:rsidR="007D41DE" w:rsidP="00E97F6E" w:rsidRDefault="007D41DE">
      <w:pPr>
        <w:autoSpaceDE w:val="0"/>
        <w:adjustRightInd w:val="0"/>
        <w:rPr>
          <w:rFonts w:ascii="Times New Roman" w:hAnsi="Times New Roman" w:eastAsia="Verdana"/>
          <w:b/>
          <w:bCs/>
          <w:sz w:val="24"/>
        </w:rPr>
      </w:pPr>
    </w:p>
    <w:p w:rsidRPr="00E97F6E" w:rsidR="00E97F6E" w:rsidP="00E97F6E" w:rsidRDefault="00E97F6E">
      <w:pPr>
        <w:autoSpaceDE w:val="0"/>
        <w:adjustRightInd w:val="0"/>
        <w:rPr>
          <w:rFonts w:ascii="Times New Roman" w:hAnsi="Times New Roman" w:eastAsia="Verdana"/>
          <w:sz w:val="24"/>
        </w:rPr>
      </w:pPr>
      <w:r w:rsidRPr="00E97F6E">
        <w:rPr>
          <w:rFonts w:ascii="Times New Roman" w:hAnsi="Times New Roman" w:eastAsia="Verdana"/>
          <w:b/>
          <w:bCs/>
          <w:sz w:val="24"/>
        </w:rPr>
        <w:t xml:space="preserve">Artikel 2.1 (Algemene wet bestuursrecht) </w:t>
      </w:r>
    </w:p>
    <w:p w:rsidRPr="00E97F6E" w:rsidR="00E97F6E" w:rsidP="00E97F6E" w:rsidRDefault="00E97F6E">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De Algemene wet bestuursrecht wordt als volgt gewijzigd:</w:t>
      </w:r>
    </w:p>
    <w:p w:rsidRPr="00E97F6E" w:rsidR="00E97F6E" w:rsidP="00E97F6E" w:rsidRDefault="00E97F6E">
      <w:pPr>
        <w:autoSpaceDE w:val="0"/>
        <w:adjustRightInd w:val="0"/>
        <w:rPr>
          <w:rFonts w:ascii="Times New Roman" w:hAnsi="Times New Roman" w:eastAsia="Verdana"/>
          <w:sz w:val="24"/>
        </w:rPr>
      </w:pPr>
    </w:p>
    <w:p w:rsidRPr="00E97F6E" w:rsidR="00E97F6E" w:rsidP="00E97F6E" w:rsidRDefault="00E97F6E">
      <w:pPr>
        <w:autoSpaceDE w:val="0"/>
        <w:adjustRightInd w:val="0"/>
        <w:rPr>
          <w:rFonts w:ascii="Times New Roman" w:hAnsi="Times New Roman" w:eastAsia="Verdana"/>
          <w:sz w:val="24"/>
        </w:rPr>
      </w:pPr>
      <w:r w:rsidRPr="00E97F6E">
        <w:rPr>
          <w:rFonts w:ascii="Times New Roman" w:hAnsi="Times New Roman" w:eastAsia="Verdana"/>
          <w:sz w:val="24"/>
        </w:rPr>
        <w:t>A</w:t>
      </w:r>
    </w:p>
    <w:p w:rsidRPr="00E97F6E" w:rsidR="00E97F6E" w:rsidP="00E97F6E" w:rsidRDefault="00E97F6E">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Bijlage 1 wordt als volgt gewijzigd:</w:t>
      </w:r>
    </w:p>
    <w:p w:rsidRPr="00E97F6E" w:rsidR="00E97F6E" w:rsidP="00E97F6E" w:rsidRDefault="00E97F6E">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De zinsnede met betrekking tot de Omgevingswet wordt als volgt gewijzigd:</w:t>
      </w:r>
    </w:p>
    <w:p w:rsidR="00325DA3" w:rsidP="00E97F6E" w:rsidRDefault="00325DA3">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1. Onderdelen d en e worden geletterd e en f.</w:t>
      </w:r>
    </w:p>
    <w:p w:rsidR="00325DA3" w:rsidP="00E97F6E" w:rsidRDefault="00325DA3">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2. Er wordt na onderdeel c een nieuw onderdeel ingevoegd, luidende:</w:t>
      </w: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d. artikel 12.18.</w:t>
      </w:r>
    </w:p>
    <w:p w:rsidRPr="00E97F6E" w:rsidR="00E97F6E" w:rsidP="00E97F6E" w:rsidRDefault="00E97F6E">
      <w:pPr>
        <w:autoSpaceDE w:val="0"/>
        <w:adjustRightInd w:val="0"/>
        <w:rPr>
          <w:rFonts w:ascii="Times New Roman" w:hAnsi="Times New Roman" w:eastAsia="Verdana"/>
          <w:sz w:val="24"/>
        </w:rPr>
      </w:pPr>
    </w:p>
    <w:p w:rsidRPr="00E97F6E" w:rsidR="00E97F6E" w:rsidP="00E97F6E" w:rsidRDefault="00E97F6E">
      <w:pPr>
        <w:autoSpaceDE w:val="0"/>
        <w:adjustRightInd w:val="0"/>
        <w:rPr>
          <w:rFonts w:ascii="Times New Roman" w:hAnsi="Times New Roman" w:eastAsia="Verdana"/>
          <w:sz w:val="24"/>
        </w:rPr>
      </w:pPr>
      <w:r w:rsidRPr="00E97F6E">
        <w:rPr>
          <w:rFonts w:ascii="Times New Roman" w:hAnsi="Times New Roman" w:eastAsia="Verdana"/>
          <w:sz w:val="24"/>
        </w:rPr>
        <w:t>B</w:t>
      </w:r>
    </w:p>
    <w:p w:rsidRPr="00E97F6E" w:rsidR="00E97F6E" w:rsidP="00E97F6E" w:rsidRDefault="00E97F6E">
      <w:pPr>
        <w:autoSpaceDE w:val="0"/>
        <w:adjustRightInd w:val="0"/>
        <w:rPr>
          <w:rFonts w:ascii="Times New Roman" w:hAnsi="Times New Roman" w:eastAsia="Verdana"/>
          <w:sz w:val="24"/>
        </w:rPr>
      </w:pPr>
    </w:p>
    <w:p w:rsidR="00E97F6E" w:rsidP="00101EBB" w:rsidRDefault="00E97F6E">
      <w:pPr>
        <w:ind w:firstLine="284"/>
        <w:rPr>
          <w:rFonts w:ascii="Times New Roman" w:hAnsi="Times New Roman" w:eastAsia="Verdana"/>
          <w:sz w:val="24"/>
        </w:rPr>
      </w:pPr>
      <w:r w:rsidRPr="00101EBB">
        <w:rPr>
          <w:rFonts w:ascii="Times New Roman" w:hAnsi="Times New Roman" w:eastAsia="Verdana"/>
          <w:sz w:val="24"/>
        </w:rPr>
        <w:t>Bijlage 2 wordt als volgt gewijzigd:</w:t>
      </w:r>
    </w:p>
    <w:p w:rsidRPr="00101EBB" w:rsidR="00101EBB" w:rsidP="00101EBB" w:rsidRDefault="00101EBB">
      <w:pPr>
        <w:rPr>
          <w:rFonts w:ascii="Times New Roman" w:hAnsi="Times New Roman" w:eastAsia="Verdana"/>
          <w:sz w:val="24"/>
        </w:rPr>
      </w:pPr>
    </w:p>
    <w:p w:rsidR="00E97F6E" w:rsidP="00101EBB" w:rsidRDefault="00E97F6E">
      <w:pPr>
        <w:ind w:firstLine="284"/>
        <w:rPr>
          <w:rFonts w:ascii="Times New Roman" w:hAnsi="Times New Roman" w:eastAsia="Verdana"/>
          <w:sz w:val="24"/>
        </w:rPr>
      </w:pPr>
      <w:r w:rsidRPr="00101EBB">
        <w:rPr>
          <w:rFonts w:ascii="Times New Roman" w:hAnsi="Times New Roman" w:eastAsia="Verdana"/>
          <w:sz w:val="24"/>
        </w:rPr>
        <w:t>1. Artikel 1 wordt als volgt gewijzigd:</w:t>
      </w:r>
    </w:p>
    <w:p w:rsidRPr="00101EBB" w:rsidR="00101EBB" w:rsidP="00101EBB" w:rsidRDefault="00101EBB">
      <w:pPr>
        <w:rPr>
          <w:rFonts w:ascii="Times New Roman" w:hAnsi="Times New Roman" w:eastAsia="Verdana"/>
          <w:sz w:val="24"/>
        </w:rPr>
      </w:pPr>
    </w:p>
    <w:p w:rsidR="00E97F6E" w:rsidP="00101EBB" w:rsidRDefault="00E97F6E">
      <w:pPr>
        <w:ind w:firstLine="284"/>
        <w:rPr>
          <w:rFonts w:ascii="Times New Roman" w:hAnsi="Times New Roman" w:eastAsia="Verdana"/>
          <w:sz w:val="24"/>
        </w:rPr>
      </w:pPr>
      <w:r w:rsidRPr="00101EBB">
        <w:rPr>
          <w:rFonts w:ascii="Times New Roman" w:hAnsi="Times New Roman" w:eastAsia="Verdana"/>
          <w:sz w:val="24"/>
        </w:rPr>
        <w:t>a. De zinsnede met betrekking tot de onteigeningswet vervalt.</w:t>
      </w:r>
    </w:p>
    <w:p w:rsidRPr="00101EBB" w:rsidR="00101EBB" w:rsidP="00101EBB" w:rsidRDefault="00101EBB">
      <w:pPr>
        <w:rPr>
          <w:rFonts w:ascii="Times New Roman" w:hAnsi="Times New Roman" w:eastAsia="Verdana"/>
          <w:sz w:val="24"/>
        </w:rPr>
      </w:pPr>
    </w:p>
    <w:p w:rsidR="003238C1" w:rsidP="003238C1" w:rsidRDefault="00E97F6E">
      <w:pPr>
        <w:ind w:firstLine="284"/>
        <w:rPr>
          <w:rFonts w:ascii="Times New Roman" w:hAnsi="Times New Roman" w:eastAsia="Verdana"/>
          <w:sz w:val="24"/>
        </w:rPr>
      </w:pPr>
      <w:r w:rsidRPr="00E97F6E">
        <w:rPr>
          <w:rFonts w:ascii="Times New Roman" w:hAnsi="Times New Roman" w:eastAsia="Verdana"/>
          <w:sz w:val="24"/>
        </w:rPr>
        <w:t>b. De zinsnede met betrekking tot de Omgeving</w:t>
      </w:r>
      <w:r w:rsidR="003238C1">
        <w:rPr>
          <w:rFonts w:ascii="Times New Roman" w:hAnsi="Times New Roman" w:eastAsia="Verdana"/>
          <w:sz w:val="24"/>
        </w:rPr>
        <w:t>swet wordt als volgt gewijzigd:</w:t>
      </w:r>
    </w:p>
    <w:p w:rsidR="003238C1" w:rsidP="003238C1" w:rsidRDefault="003238C1">
      <w:pPr>
        <w:rPr>
          <w:rFonts w:ascii="Times New Roman" w:hAnsi="Times New Roman" w:eastAsia="Verdana"/>
          <w:sz w:val="24"/>
        </w:rPr>
      </w:pPr>
    </w:p>
    <w:p w:rsidR="003238C1" w:rsidP="003238C1" w:rsidRDefault="00E97F6E">
      <w:pPr>
        <w:ind w:firstLine="284"/>
        <w:rPr>
          <w:rFonts w:ascii="Times New Roman" w:hAnsi="Times New Roman" w:eastAsia="Verdana"/>
          <w:sz w:val="24"/>
        </w:rPr>
      </w:pPr>
      <w:r w:rsidRPr="00E97F6E">
        <w:rPr>
          <w:rFonts w:ascii="Times New Roman" w:hAnsi="Times New Roman" w:eastAsia="Verdana"/>
          <w:iCs/>
          <w:sz w:val="24"/>
        </w:rPr>
        <w:t>1</w:t>
      </w:r>
      <w:r w:rsidRPr="00E97F6E">
        <w:rPr>
          <w:rFonts w:ascii="Times New Roman" w:hAnsi="Times New Roman" w:eastAsia="Verdana"/>
          <w:sz w:val="24"/>
        </w:rPr>
        <w:t>. De onderdelen n en o worden geletterd o en p</w:t>
      </w:r>
      <w:r w:rsidR="003238C1">
        <w:rPr>
          <w:rFonts w:ascii="Times New Roman" w:hAnsi="Times New Roman" w:eastAsia="Verdana"/>
          <w:sz w:val="24"/>
        </w:rPr>
        <w:t>.</w:t>
      </w:r>
    </w:p>
    <w:p w:rsidR="003238C1" w:rsidP="003238C1" w:rsidRDefault="003238C1">
      <w:pPr>
        <w:rPr>
          <w:rFonts w:ascii="Times New Roman" w:hAnsi="Times New Roman" w:eastAsia="Verdana"/>
          <w:sz w:val="24"/>
        </w:rPr>
      </w:pPr>
    </w:p>
    <w:p w:rsidR="003238C1" w:rsidP="003238C1" w:rsidRDefault="00E97F6E">
      <w:pPr>
        <w:ind w:firstLine="284"/>
        <w:rPr>
          <w:rFonts w:ascii="Times New Roman" w:hAnsi="Times New Roman" w:eastAsia="Verdana"/>
          <w:sz w:val="24"/>
        </w:rPr>
      </w:pPr>
      <w:r w:rsidRPr="00E97F6E">
        <w:rPr>
          <w:rFonts w:ascii="Times New Roman" w:hAnsi="Times New Roman" w:eastAsia="Verdana"/>
          <w:iCs/>
          <w:sz w:val="24"/>
        </w:rPr>
        <w:t>2</w:t>
      </w:r>
      <w:r w:rsidRPr="00E97F6E">
        <w:rPr>
          <w:rFonts w:ascii="Times New Roman" w:hAnsi="Times New Roman" w:eastAsia="Verdana"/>
          <w:sz w:val="24"/>
        </w:rPr>
        <w:t xml:space="preserve">. Er wordt na onderdeel m een nieuw </w:t>
      </w:r>
      <w:r w:rsidR="003238C1">
        <w:rPr>
          <w:rFonts w:ascii="Times New Roman" w:hAnsi="Times New Roman" w:eastAsia="Verdana"/>
          <w:sz w:val="24"/>
        </w:rPr>
        <w:t>onderdeel ingevoegd, luidende:</w:t>
      </w:r>
    </w:p>
    <w:p w:rsidRPr="00E97F6E" w:rsidR="00E97F6E" w:rsidP="003238C1" w:rsidRDefault="00E97F6E">
      <w:pPr>
        <w:ind w:firstLine="284"/>
        <w:rPr>
          <w:rFonts w:ascii="Times New Roman" w:hAnsi="Times New Roman" w:eastAsia="Verdana"/>
          <w:sz w:val="24"/>
        </w:rPr>
      </w:pPr>
      <w:r w:rsidRPr="00E97F6E">
        <w:rPr>
          <w:rFonts w:ascii="Times New Roman" w:hAnsi="Times New Roman" w:eastAsia="Verdana"/>
          <w:sz w:val="24"/>
        </w:rPr>
        <w:t>n. artikel 11.3.</w:t>
      </w:r>
    </w:p>
    <w:p w:rsidRPr="00E97F6E" w:rsidR="00E97F6E" w:rsidP="00E97F6E" w:rsidRDefault="00E97F6E">
      <w:pPr>
        <w:rPr>
          <w:rFonts w:ascii="Times New Roman" w:hAnsi="Times New Roman"/>
          <w:sz w:val="24"/>
        </w:rPr>
      </w:pPr>
    </w:p>
    <w:p w:rsidRPr="00576BAA" w:rsidR="00E97F6E" w:rsidP="00576BAA" w:rsidRDefault="00302F71">
      <w:pPr>
        <w:ind w:firstLine="284"/>
        <w:rPr>
          <w:rFonts w:ascii="Times New Roman" w:hAnsi="Times New Roman"/>
          <w:sz w:val="24"/>
        </w:rPr>
      </w:pPr>
      <w:r>
        <w:rPr>
          <w:rFonts w:ascii="Times New Roman" w:hAnsi="Times New Roman"/>
          <w:sz w:val="24"/>
        </w:rPr>
        <w:t xml:space="preserve">2. Artikel </w:t>
      </w:r>
      <w:r w:rsidRPr="00576BAA" w:rsidR="00E97F6E">
        <w:rPr>
          <w:rFonts w:ascii="Times New Roman" w:hAnsi="Times New Roman"/>
          <w:sz w:val="24"/>
        </w:rPr>
        <w:t xml:space="preserve">2 wordt als volgt gewijzigd: </w:t>
      </w:r>
    </w:p>
    <w:p w:rsidR="00576BAA" w:rsidP="00576BAA" w:rsidRDefault="00576BAA">
      <w:pPr>
        <w:rPr>
          <w:rFonts w:ascii="Times New Roman" w:hAnsi="Times New Roman"/>
          <w:sz w:val="24"/>
        </w:rPr>
      </w:pPr>
    </w:p>
    <w:p w:rsidR="00E97F6E" w:rsidP="00576BAA" w:rsidRDefault="00E97F6E">
      <w:pPr>
        <w:ind w:firstLine="284"/>
        <w:rPr>
          <w:rFonts w:ascii="Times New Roman" w:hAnsi="Times New Roman"/>
          <w:sz w:val="24"/>
        </w:rPr>
      </w:pPr>
      <w:r w:rsidRPr="00576BAA">
        <w:rPr>
          <w:rFonts w:ascii="Times New Roman" w:hAnsi="Times New Roman"/>
          <w:sz w:val="24"/>
        </w:rPr>
        <w:t>a. De zinsnede met betrekking tot de Wet inric</w:t>
      </w:r>
      <w:r w:rsidR="00576BAA">
        <w:rPr>
          <w:rFonts w:ascii="Times New Roman" w:hAnsi="Times New Roman"/>
          <w:sz w:val="24"/>
        </w:rPr>
        <w:t>hting landelijk gebied vervalt.</w:t>
      </w:r>
    </w:p>
    <w:p w:rsidRPr="00576BAA" w:rsidR="00576BAA" w:rsidP="00576BAA" w:rsidRDefault="00576BAA">
      <w:pPr>
        <w:rPr>
          <w:rFonts w:ascii="Times New Roman" w:hAnsi="Times New Roman"/>
          <w:sz w:val="24"/>
        </w:rPr>
      </w:pPr>
    </w:p>
    <w:p w:rsidR="00576BAA" w:rsidP="00576BAA" w:rsidRDefault="00E97F6E">
      <w:pPr>
        <w:ind w:firstLine="284"/>
        <w:rPr>
          <w:rFonts w:ascii="Times New Roman" w:hAnsi="Times New Roman" w:eastAsia="Verdana"/>
          <w:sz w:val="24"/>
        </w:rPr>
      </w:pPr>
      <w:r w:rsidRPr="00576BAA">
        <w:rPr>
          <w:rFonts w:ascii="Times New Roman" w:hAnsi="Times New Roman" w:eastAsia="Verdana"/>
          <w:sz w:val="24"/>
        </w:rPr>
        <w:t xml:space="preserve">b. De zinsnede met betrekking tot de Omgevingswet wordt als </w:t>
      </w:r>
      <w:r w:rsidR="00576BAA">
        <w:rPr>
          <w:rFonts w:ascii="Times New Roman" w:hAnsi="Times New Roman" w:eastAsia="Verdana"/>
          <w:sz w:val="24"/>
        </w:rPr>
        <w:t>volgt gewijzigd:</w:t>
      </w:r>
    </w:p>
    <w:p w:rsidR="00576BAA" w:rsidP="00576BAA" w:rsidRDefault="00576BAA">
      <w:pPr>
        <w:rPr>
          <w:rFonts w:ascii="Times New Roman" w:hAnsi="Times New Roman" w:eastAsia="Verdana"/>
          <w:sz w:val="24"/>
        </w:rPr>
      </w:pPr>
    </w:p>
    <w:p w:rsidR="00576BAA" w:rsidP="00576BAA" w:rsidRDefault="00E97F6E">
      <w:pPr>
        <w:ind w:firstLine="284"/>
        <w:rPr>
          <w:rFonts w:ascii="Times New Roman" w:hAnsi="Times New Roman" w:eastAsia="Verdana"/>
          <w:sz w:val="24"/>
        </w:rPr>
      </w:pPr>
      <w:r w:rsidRPr="00576BAA">
        <w:rPr>
          <w:rFonts w:ascii="Times New Roman" w:hAnsi="Times New Roman" w:eastAsia="Verdana"/>
          <w:iCs/>
          <w:sz w:val="24"/>
        </w:rPr>
        <w:t>1</w:t>
      </w:r>
      <w:r w:rsidRPr="00576BAA">
        <w:rPr>
          <w:rFonts w:ascii="Times New Roman" w:hAnsi="Times New Roman" w:eastAsia="Verdana"/>
          <w:sz w:val="24"/>
        </w:rPr>
        <w:t xml:space="preserve">. De onderdelen </w:t>
      </w:r>
      <w:r w:rsidR="00576BAA">
        <w:rPr>
          <w:rFonts w:ascii="Times New Roman" w:hAnsi="Times New Roman" w:eastAsia="Verdana"/>
          <w:sz w:val="24"/>
        </w:rPr>
        <w:t>g en h worden geletterd i en j.</w:t>
      </w:r>
    </w:p>
    <w:p w:rsidR="00576BAA" w:rsidP="00576BAA" w:rsidRDefault="00576BAA">
      <w:pPr>
        <w:rPr>
          <w:rFonts w:ascii="Times New Roman" w:hAnsi="Times New Roman" w:eastAsia="Verdana"/>
          <w:sz w:val="24"/>
        </w:rPr>
      </w:pPr>
    </w:p>
    <w:p w:rsidR="00576BAA" w:rsidP="00576BAA" w:rsidRDefault="00E97F6E">
      <w:pPr>
        <w:ind w:firstLine="284"/>
        <w:rPr>
          <w:rFonts w:ascii="Times New Roman" w:hAnsi="Times New Roman" w:eastAsia="Verdana"/>
          <w:sz w:val="24"/>
        </w:rPr>
      </w:pPr>
      <w:r w:rsidRPr="00576BAA">
        <w:rPr>
          <w:rFonts w:ascii="Times New Roman" w:hAnsi="Times New Roman" w:eastAsia="Verdana"/>
          <w:iCs/>
          <w:sz w:val="24"/>
        </w:rPr>
        <w:t>2</w:t>
      </w:r>
      <w:r w:rsidRPr="00576BAA">
        <w:rPr>
          <w:rFonts w:ascii="Times New Roman" w:hAnsi="Times New Roman" w:eastAsia="Verdana"/>
          <w:sz w:val="24"/>
        </w:rPr>
        <w:t xml:space="preserve">. Er worden na onderdeel f twee </w:t>
      </w:r>
      <w:r w:rsidR="00576BAA">
        <w:rPr>
          <w:rFonts w:ascii="Times New Roman" w:hAnsi="Times New Roman" w:eastAsia="Verdana"/>
          <w:sz w:val="24"/>
        </w:rPr>
        <w:t>onderdelen ingevoegd, luidende:</w:t>
      </w:r>
    </w:p>
    <w:p w:rsidR="00576BAA" w:rsidP="00576BAA" w:rsidRDefault="00576BAA">
      <w:pPr>
        <w:ind w:firstLine="284"/>
        <w:rPr>
          <w:rFonts w:ascii="Times New Roman" w:hAnsi="Times New Roman" w:eastAsia="Verdana"/>
          <w:sz w:val="24"/>
        </w:rPr>
      </w:pPr>
      <w:r>
        <w:rPr>
          <w:rFonts w:ascii="Times New Roman" w:hAnsi="Times New Roman" w:eastAsia="Verdana"/>
          <w:sz w:val="24"/>
        </w:rPr>
        <w:t>g. artikel 12.7</w:t>
      </w:r>
    </w:p>
    <w:p w:rsidR="00E97F6E" w:rsidP="00576BAA" w:rsidRDefault="00E97F6E">
      <w:pPr>
        <w:ind w:firstLine="284"/>
        <w:rPr>
          <w:rFonts w:ascii="Times New Roman" w:hAnsi="Times New Roman" w:eastAsia="Verdana"/>
          <w:sz w:val="24"/>
        </w:rPr>
      </w:pPr>
      <w:r w:rsidRPr="00576BAA">
        <w:rPr>
          <w:rFonts w:ascii="Times New Roman" w:hAnsi="Times New Roman" w:eastAsia="Verdana"/>
          <w:sz w:val="24"/>
        </w:rPr>
        <w:t>h. artikel 12.18.</w:t>
      </w:r>
    </w:p>
    <w:p w:rsidRPr="00576BAA" w:rsidR="00576BAA" w:rsidP="00576BAA" w:rsidRDefault="00576BAA">
      <w:pPr>
        <w:rPr>
          <w:rFonts w:ascii="Times New Roman" w:hAnsi="Times New Roman" w:eastAsia="Verdana"/>
          <w:sz w:val="24"/>
        </w:rPr>
      </w:pPr>
    </w:p>
    <w:p w:rsidRPr="00E97F6E" w:rsidR="00E97F6E" w:rsidP="00E97F6E" w:rsidRDefault="00E97F6E">
      <w:pPr>
        <w:autoSpaceDE w:val="0"/>
        <w:adjustRightInd w:val="0"/>
        <w:rPr>
          <w:rFonts w:ascii="Times New Roman" w:hAnsi="Times New Roman" w:eastAsia="Verdana"/>
          <w:b/>
          <w:sz w:val="24"/>
        </w:rPr>
      </w:pPr>
      <w:r w:rsidRPr="00E97F6E">
        <w:rPr>
          <w:rFonts w:ascii="Times New Roman" w:hAnsi="Times New Roman" w:eastAsia="Verdana"/>
          <w:b/>
          <w:sz w:val="24"/>
        </w:rPr>
        <w:t>Artikel 2.2 (Burgerlijk Wetboek)</w:t>
      </w:r>
    </w:p>
    <w:p w:rsidRPr="00E97F6E" w:rsidR="00E97F6E" w:rsidP="00E97F6E" w:rsidRDefault="00E97F6E">
      <w:pPr>
        <w:autoSpaceDE w:val="0"/>
        <w:adjustRightInd w:val="0"/>
        <w:rPr>
          <w:rFonts w:ascii="Times New Roman" w:hAnsi="Times New Roman" w:eastAsia="Verdana"/>
          <w:sz w:val="24"/>
        </w:rPr>
      </w:pPr>
    </w:p>
    <w:p w:rsidR="00E97F6E" w:rsidP="00BE4B06" w:rsidRDefault="008832D3">
      <w:pPr>
        <w:ind w:firstLine="284"/>
        <w:rPr>
          <w:rFonts w:ascii="Times New Roman" w:hAnsi="Times New Roman" w:eastAsia="Verdana"/>
          <w:sz w:val="24"/>
        </w:rPr>
      </w:pPr>
      <w:r>
        <w:rPr>
          <w:rFonts w:ascii="Times New Roman" w:hAnsi="Times New Roman" w:eastAsia="Verdana"/>
          <w:sz w:val="24"/>
        </w:rPr>
        <w:t xml:space="preserve">Het </w:t>
      </w:r>
      <w:r w:rsidRPr="00BE4B06" w:rsidR="00E97F6E">
        <w:rPr>
          <w:rFonts w:ascii="Times New Roman" w:hAnsi="Times New Roman" w:eastAsia="Verdana"/>
          <w:sz w:val="24"/>
        </w:rPr>
        <w:t>Burgerlijk Wetboek wordt als volgt gewijzigd:</w:t>
      </w:r>
    </w:p>
    <w:p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In boek 6 wordt in artikel 176, tweede lid, onder a, "artikel 5.1, tweede lid, aanhef en onder b, van de Omgevingswet" vervangen door "artikel 5.1 lid 2 aanhef en onder b van de Omgevingswet".</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B</w:t>
      </w:r>
    </w:p>
    <w:p w:rsidRPr="008832D3" w:rsidR="008832D3" w:rsidP="008832D3" w:rsidRDefault="008832D3">
      <w:pPr>
        <w:rPr>
          <w:rFonts w:ascii="Times New Roman" w:hAnsi="Times New Roman" w:eastAsia="Verdana"/>
          <w:sz w:val="24"/>
        </w:rPr>
      </w:pPr>
    </w:p>
    <w:p w:rsidR="008832D3" w:rsidP="008832D3" w:rsidRDefault="008832D3">
      <w:pPr>
        <w:rPr>
          <w:rFonts w:ascii="Times New Roman" w:hAnsi="Times New Roman" w:eastAsia="Verdana"/>
          <w:sz w:val="24"/>
        </w:rPr>
      </w:pPr>
      <w:r w:rsidRPr="008832D3">
        <w:rPr>
          <w:rFonts w:ascii="Times New Roman" w:hAnsi="Times New Roman" w:eastAsia="Verdana"/>
          <w:sz w:val="24"/>
        </w:rPr>
        <w:tab/>
        <w:t>Boek 7 wordt als volgt gewijzigd:</w:t>
      </w:r>
    </w:p>
    <w:p w:rsidR="008832D3" w:rsidP="008832D3" w:rsidRDefault="008832D3">
      <w:pPr>
        <w:rPr>
          <w:rFonts w:ascii="Times New Roman" w:hAnsi="Times New Roman" w:eastAsia="Verdana"/>
          <w:sz w:val="24"/>
        </w:rPr>
      </w:pPr>
    </w:p>
    <w:p w:rsidRPr="00BE4B06" w:rsidR="008832D3" w:rsidP="008832D3" w:rsidRDefault="008832D3">
      <w:pPr>
        <w:ind w:firstLine="284"/>
        <w:rPr>
          <w:rFonts w:ascii="Times New Roman" w:hAnsi="Times New Roman" w:eastAsia="Verdana"/>
          <w:sz w:val="24"/>
        </w:rPr>
      </w:pPr>
      <w:r w:rsidRPr="008832D3">
        <w:rPr>
          <w:rFonts w:ascii="Times New Roman" w:hAnsi="Times New Roman" w:eastAsia="Verdana"/>
          <w:sz w:val="24"/>
        </w:rPr>
        <w:t>1. In artikel 235 wordt "een bouwactiviteit als bedoeld in artikel 5.1, tweede lid, aanhef en onder a, van de Omgevingswet" vervangen door "een bouwactiviteit als bedoeld in artikel 5.1 lid 2 aanhef en onder a van de Omgevingswet".</w:t>
      </w:r>
    </w:p>
    <w:p w:rsidR="00BE4B06" w:rsidP="00BE4B06" w:rsidRDefault="00BE4B06">
      <w:pPr>
        <w:rPr>
          <w:rFonts w:ascii="Times New Roman" w:hAnsi="Times New Roman" w:eastAsia="Verdana"/>
          <w:sz w:val="24"/>
        </w:rPr>
      </w:pPr>
    </w:p>
    <w:p w:rsidRPr="00BE4B06" w:rsidR="00E97F6E" w:rsidP="00BE4B06" w:rsidRDefault="008832D3">
      <w:pPr>
        <w:ind w:firstLine="284"/>
        <w:rPr>
          <w:rFonts w:ascii="Times New Roman" w:hAnsi="Times New Roman" w:eastAsia="Verdana"/>
          <w:sz w:val="24"/>
        </w:rPr>
      </w:pPr>
      <w:r>
        <w:rPr>
          <w:rFonts w:ascii="Times New Roman" w:hAnsi="Times New Roman" w:eastAsia="Verdana"/>
          <w:sz w:val="24"/>
        </w:rPr>
        <w:t>2</w:t>
      </w:r>
      <w:r w:rsidRPr="00BE4B06" w:rsidR="00E97F6E">
        <w:rPr>
          <w:rFonts w:ascii="Times New Roman" w:hAnsi="Times New Roman" w:eastAsia="Verdana"/>
          <w:sz w:val="24"/>
        </w:rPr>
        <w:t>. In artikel 310 wordt, onder vernummering van het derde tot vierde lid, na het tweede lid een lid ingevoegd, luidende:</w:t>
      </w:r>
    </w:p>
    <w:p w:rsidRPr="00E97F6E" w:rsidR="00E97F6E" w:rsidP="00BE4B06" w:rsidRDefault="00E97F6E">
      <w:pPr>
        <w:ind w:firstLine="284"/>
        <w:rPr>
          <w:rFonts w:ascii="Times New Roman" w:hAnsi="Times New Roman" w:eastAsia="Verdana"/>
          <w:iCs/>
          <w:sz w:val="24"/>
        </w:rPr>
      </w:pPr>
      <w:r w:rsidRPr="00E97F6E">
        <w:rPr>
          <w:rFonts w:ascii="Times New Roman" w:hAnsi="Times New Roman" w:eastAsia="Verdana"/>
          <w:iCs/>
          <w:sz w:val="24"/>
        </w:rPr>
        <w:t>3. Bij de berekening van de schade wordt niet gelet op veranderingen die kennelijk tot stand zijn gebracht om de schadeloosstelling te verhogen.</w:t>
      </w:r>
    </w:p>
    <w:p w:rsidRPr="00E97F6E" w:rsidR="00E97F6E" w:rsidP="00E97F6E" w:rsidRDefault="00E97F6E">
      <w:pPr>
        <w:rPr>
          <w:rFonts w:ascii="Times New Roman" w:hAnsi="Times New Roman" w:eastAsia="Verdana"/>
          <w:sz w:val="24"/>
        </w:rPr>
      </w:pPr>
    </w:p>
    <w:p w:rsidRPr="00E97F6E" w:rsidR="00E97F6E" w:rsidP="00BE4B06" w:rsidRDefault="008832D3">
      <w:pPr>
        <w:ind w:firstLine="284"/>
        <w:rPr>
          <w:rFonts w:ascii="Times New Roman" w:hAnsi="Times New Roman" w:eastAsia="Verdana"/>
          <w:sz w:val="24"/>
        </w:rPr>
      </w:pPr>
      <w:r>
        <w:rPr>
          <w:rFonts w:ascii="Times New Roman" w:hAnsi="Times New Roman" w:eastAsia="Verdana"/>
          <w:sz w:val="24"/>
        </w:rPr>
        <w:t>3</w:t>
      </w:r>
      <w:r w:rsidRPr="00E97F6E" w:rsidR="00E97F6E">
        <w:rPr>
          <w:rFonts w:ascii="Times New Roman" w:hAnsi="Times New Roman" w:eastAsia="Verdana"/>
          <w:sz w:val="24"/>
        </w:rPr>
        <w:t>. In artikel 329 wordt “van de Reconstructiewet concentratiegebieden of van herinrichting op grond van de Herinrichtingswet Oost-Groningen en de Gronings-Drentse Veenkoloniën” vervangen door “van de Reconstructiewet concentratiegebieden, van herinrichting op grond van de Herinrichtingswet Oost-Groningen en de Gronings-Drentse Veenkoloniën of van landinrichting op grond van de Omgevingswet”.</w:t>
      </w:r>
    </w:p>
    <w:p w:rsidRPr="00E97F6E" w:rsidR="00E97F6E" w:rsidP="00E97F6E" w:rsidRDefault="00E97F6E">
      <w:pPr>
        <w:rPr>
          <w:rFonts w:ascii="Times New Roman" w:hAnsi="Times New Roman" w:eastAsia="Verdana"/>
          <w:sz w:val="24"/>
        </w:rPr>
      </w:pPr>
    </w:p>
    <w:p w:rsidRPr="008832D3" w:rsidR="008832D3" w:rsidP="008832D3" w:rsidRDefault="008832D3">
      <w:pPr>
        <w:ind w:firstLine="284"/>
        <w:rPr>
          <w:rFonts w:ascii="Times New Roman" w:hAnsi="Times New Roman" w:eastAsia="Verdana"/>
          <w:sz w:val="24"/>
        </w:rPr>
      </w:pPr>
      <w:r w:rsidRPr="008832D3">
        <w:rPr>
          <w:rFonts w:ascii="Times New Roman" w:hAnsi="Times New Roman" w:eastAsia="Verdana"/>
          <w:sz w:val="24"/>
        </w:rPr>
        <w:t>4. Artikel 381, derde lid, komt te luiden:</w:t>
      </w:r>
    </w:p>
    <w:p w:rsidR="00BE4B06" w:rsidP="008832D3" w:rsidRDefault="008832D3">
      <w:pPr>
        <w:ind w:firstLine="284"/>
        <w:rPr>
          <w:rFonts w:ascii="Times New Roman" w:hAnsi="Times New Roman" w:eastAsia="Verdana"/>
          <w:sz w:val="24"/>
        </w:rPr>
      </w:pPr>
      <w:r w:rsidRPr="008832D3">
        <w:rPr>
          <w:rFonts w:ascii="Times New Roman" w:hAnsi="Times New Roman" w:eastAsia="Verdana"/>
          <w:sz w:val="24"/>
        </w:rPr>
        <w:t>3. De in artikel 378 lid 1 bedoelde verplichting bestaat evenmin, voor zover het verpachte is gelegen in een gebied waarvoor een gemeentelijke omgevingsvisie als bedoeld in artikel 3.1 lid 1 van de Omgevingswet is vastgesteld en de verpachter vanwege een voorkeursrecht als bedoeld in artikel 9.1 lid 1 onder b van de Omgevingswet in overeenstemming met de regels die hoofdstuk 9 van die wet daaraan stelt, overgaat tot de vervreemding van het verpachte aan de gemeente onderscheidenlijk de provincie of de Staat.</w:t>
      </w:r>
      <w:r w:rsidRPr="00BE4B06" w:rsidR="00E97F6E">
        <w:rPr>
          <w:rFonts w:ascii="Times New Roman" w:hAnsi="Times New Roman" w:eastAsia="Verdana"/>
          <w:sz w:val="24"/>
        </w:rPr>
        <w:t xml:space="preserve"> </w:t>
      </w:r>
    </w:p>
    <w:p w:rsidR="00BE4B06" w:rsidP="00BE4B06" w:rsidRDefault="00BE4B06">
      <w:pPr>
        <w:rPr>
          <w:rFonts w:ascii="Times New Roman" w:hAnsi="Times New Roman" w:eastAsia="Verdana"/>
          <w:sz w:val="24"/>
        </w:rPr>
      </w:pPr>
    </w:p>
    <w:p w:rsidR="00E97F6E" w:rsidP="00BE4B06" w:rsidRDefault="00E97F6E">
      <w:pPr>
        <w:rPr>
          <w:rFonts w:ascii="Times New Roman" w:hAnsi="Times New Roman" w:eastAsia="Verdana"/>
          <w:b/>
          <w:sz w:val="24"/>
        </w:rPr>
      </w:pPr>
      <w:r w:rsidRPr="00E97F6E">
        <w:rPr>
          <w:rFonts w:ascii="Times New Roman" w:hAnsi="Times New Roman" w:eastAsia="Verdana"/>
          <w:b/>
          <w:sz w:val="24"/>
        </w:rPr>
        <w:t>Artikel 2.3 (Financiële-verhoudingswet)</w:t>
      </w:r>
    </w:p>
    <w:p w:rsidRPr="00BE4B06" w:rsidR="00BE4B06" w:rsidP="00BE4B06" w:rsidRDefault="00BE4B06">
      <w:pPr>
        <w:rPr>
          <w:rFonts w:ascii="Times New Roman" w:hAnsi="Times New Roman" w:eastAsia="Verdana"/>
          <w:sz w:val="24"/>
        </w:rPr>
      </w:pPr>
    </w:p>
    <w:p w:rsidR="00E97F6E" w:rsidP="00BE4B06" w:rsidRDefault="00E97F6E">
      <w:pPr>
        <w:ind w:firstLine="284"/>
        <w:rPr>
          <w:rFonts w:ascii="Times New Roman" w:hAnsi="Times New Roman" w:eastAsia="Verdana"/>
          <w:sz w:val="24"/>
        </w:rPr>
      </w:pPr>
      <w:r w:rsidRPr="00BE4B06">
        <w:rPr>
          <w:rFonts w:ascii="Times New Roman" w:hAnsi="Times New Roman" w:eastAsia="Verdana"/>
          <w:sz w:val="24"/>
        </w:rPr>
        <w:t>Onder vernummering van onderdeel d tot onderdeel c, vervalt artikel 17a, zesde lid, onderdeel c, van de Financiële-v</w:t>
      </w:r>
      <w:r w:rsidR="00BE4B06">
        <w:rPr>
          <w:rFonts w:ascii="Times New Roman" w:hAnsi="Times New Roman" w:eastAsia="Verdana"/>
          <w:sz w:val="24"/>
        </w:rPr>
        <w:t>erhoudingswet.</w:t>
      </w:r>
    </w:p>
    <w:p w:rsidRPr="00BE4B06" w:rsidR="00BE4B06" w:rsidP="00BE4B06" w:rsidRDefault="00BE4B06">
      <w:pPr>
        <w:rPr>
          <w:rFonts w:ascii="Times New Roman" w:hAnsi="Times New Roman" w:eastAsia="Verdana"/>
          <w:sz w:val="24"/>
        </w:rPr>
      </w:pPr>
    </w:p>
    <w:p w:rsidR="00E97F6E" w:rsidP="00BE4B06" w:rsidRDefault="00E97F6E">
      <w:pPr>
        <w:rPr>
          <w:rFonts w:ascii="Times New Roman" w:hAnsi="Times New Roman" w:eastAsia="Verdana"/>
          <w:b/>
          <w:sz w:val="24"/>
        </w:rPr>
      </w:pPr>
      <w:r w:rsidRPr="00BE4B06">
        <w:rPr>
          <w:rFonts w:ascii="Times New Roman" w:hAnsi="Times New Roman" w:eastAsia="Verdana"/>
          <w:b/>
          <w:sz w:val="24"/>
        </w:rPr>
        <w:t>Artikel 2.4 (Gemeentewet)</w:t>
      </w:r>
    </w:p>
    <w:p w:rsidRPr="00BE4B06" w:rsidR="00BE4B06" w:rsidP="00BE4B06" w:rsidRDefault="00BE4B06">
      <w:pPr>
        <w:rPr>
          <w:rFonts w:ascii="Times New Roman" w:hAnsi="Times New Roman" w:eastAsia="Verdana"/>
          <w:b/>
          <w:sz w:val="24"/>
        </w:rPr>
      </w:pPr>
    </w:p>
    <w:p w:rsidR="00E97F6E" w:rsidP="00BE4B06" w:rsidRDefault="00E97F6E">
      <w:pPr>
        <w:ind w:firstLine="284"/>
        <w:rPr>
          <w:rFonts w:ascii="Times New Roman" w:hAnsi="Times New Roman" w:eastAsia="Verdana"/>
          <w:sz w:val="24"/>
        </w:rPr>
      </w:pPr>
      <w:r w:rsidRPr="00BE4B06">
        <w:rPr>
          <w:rFonts w:ascii="Times New Roman" w:hAnsi="Times New Roman" w:eastAsia="Verdana"/>
          <w:sz w:val="24"/>
        </w:rPr>
        <w:t>In artikel 222, eerste lid, wordt “artikel 12.8, eerste lid, van de Omgevingswet” vervangen door “artikel 13.18 van de Omgevingswet”.</w:t>
      </w:r>
    </w:p>
    <w:p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b/>
          <w:sz w:val="24"/>
        </w:rPr>
      </w:pPr>
      <w:r w:rsidRPr="008832D3">
        <w:rPr>
          <w:rFonts w:ascii="Times New Roman" w:hAnsi="Times New Roman" w:eastAsia="Verdana"/>
          <w:b/>
          <w:sz w:val="24"/>
        </w:rPr>
        <w:t>Artikel 2.4a (Invoeringswet Omgevingswet)</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De Invoeringswet Omgevingswet wordt als volgt gewijzigd:</w:t>
      </w:r>
    </w:p>
    <w:p w:rsidR="00980FBD" w:rsidP="008832D3" w:rsidRDefault="00980FBD">
      <w:pPr>
        <w:rPr>
          <w:rFonts w:ascii="Times New Roman" w:hAnsi="Times New Roman" w:eastAsia="Verdana"/>
          <w:sz w:val="24"/>
        </w:rPr>
      </w:pPr>
    </w:p>
    <w:p w:rsidR="008832D3" w:rsidP="00980FBD" w:rsidRDefault="00980FBD">
      <w:pPr>
        <w:ind w:firstLine="284"/>
        <w:rPr>
          <w:rFonts w:ascii="Times New Roman" w:hAnsi="Times New Roman" w:eastAsia="Verdana"/>
          <w:sz w:val="24"/>
        </w:rPr>
      </w:pPr>
      <w:r w:rsidRPr="00980FBD">
        <w:rPr>
          <w:rFonts w:ascii="Times New Roman" w:hAnsi="Times New Roman" w:eastAsia="Verdana"/>
          <w:sz w:val="24"/>
        </w:rPr>
        <w:t>1. In artikel 1.1, onderdeel JH, wordt in het voorgestelde artikel 20.30 de punt aan het slot van onderdeel b vervangen door een komma.</w:t>
      </w:r>
    </w:p>
    <w:p w:rsidRPr="008832D3" w:rsidR="00980FBD" w:rsidP="00980FBD" w:rsidRDefault="00980FBD">
      <w:pPr>
        <w:ind w:firstLine="284"/>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r>
      <w:r w:rsidR="00980FBD">
        <w:rPr>
          <w:rFonts w:ascii="Times New Roman" w:hAnsi="Times New Roman" w:eastAsia="Verdana"/>
          <w:sz w:val="24"/>
        </w:rPr>
        <w:t>2</w:t>
      </w:r>
      <w:r w:rsidRPr="008832D3">
        <w:rPr>
          <w:rFonts w:ascii="Times New Roman" w:hAnsi="Times New Roman" w:eastAsia="Verdana"/>
          <w:sz w:val="24"/>
        </w:rPr>
        <w:t>. In artikel 4.1, onder n, wordt "de hoofdstukken 7 en 14 en artikel 17.3" vervangen door “hoofdstuk 7, de artikelen 11.11 en 11.12, hoofdstuk 14 en de artikelen 17.3 en 20.17".</w:t>
      </w:r>
    </w:p>
    <w:p w:rsidRPr="008832D3" w:rsidR="008832D3" w:rsidP="008832D3" w:rsidRDefault="008832D3">
      <w:pPr>
        <w:rPr>
          <w:rFonts w:ascii="Times New Roman" w:hAnsi="Times New Roman" w:eastAsia="Verdana"/>
          <w:sz w:val="24"/>
        </w:rPr>
      </w:pPr>
    </w:p>
    <w:p w:rsidRPr="008832D3" w:rsidR="008832D3" w:rsidP="008832D3" w:rsidRDefault="00980FBD">
      <w:pPr>
        <w:rPr>
          <w:rFonts w:ascii="Times New Roman" w:hAnsi="Times New Roman" w:eastAsia="Verdana"/>
          <w:sz w:val="24"/>
        </w:rPr>
      </w:pPr>
      <w:r>
        <w:rPr>
          <w:rFonts w:ascii="Times New Roman" w:hAnsi="Times New Roman" w:eastAsia="Verdana"/>
          <w:sz w:val="24"/>
        </w:rPr>
        <w:tab/>
        <w:t>3</w:t>
      </w:r>
      <w:r w:rsidRPr="008832D3" w:rsidR="008832D3">
        <w:rPr>
          <w:rFonts w:ascii="Times New Roman" w:hAnsi="Times New Roman" w:eastAsia="Verdana"/>
          <w:sz w:val="24"/>
        </w:rPr>
        <w:t xml:space="preserve">. Artikel 4.6, eerste lid, wordt als volgt gewijzigd: </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 xml:space="preserve">a. In onderdeel c wordt na “bestemmingsplan” ingevoegd “of inpassingsplan”.  </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 xml:space="preserve">b. Onder verlettering van onderdeel n tot o wordt een onderdeel ingevoegd, luidende: </w:t>
      </w: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 xml:space="preserve">n. een besluit op grond van artikel 12, tweede lid, van de Woningwet,. </w:t>
      </w:r>
    </w:p>
    <w:p w:rsidR="00980FBD" w:rsidP="00980FBD" w:rsidRDefault="00980FBD">
      <w:pPr>
        <w:rPr>
          <w:rFonts w:ascii="Times New Roman" w:hAnsi="Times New Roman" w:eastAsia="Verdana"/>
          <w:sz w:val="24"/>
        </w:rPr>
      </w:pPr>
    </w:p>
    <w:p w:rsidRPr="00980FBD" w:rsidR="00980FBD" w:rsidP="00980FBD" w:rsidRDefault="00980FBD">
      <w:pPr>
        <w:ind w:firstLine="284"/>
        <w:rPr>
          <w:rFonts w:ascii="Times New Roman" w:hAnsi="Times New Roman" w:eastAsia="Verdana"/>
          <w:sz w:val="24"/>
        </w:rPr>
      </w:pPr>
      <w:r w:rsidRPr="00980FBD">
        <w:rPr>
          <w:rFonts w:ascii="Times New Roman" w:hAnsi="Times New Roman" w:eastAsia="Verdana"/>
          <w:sz w:val="24"/>
        </w:rPr>
        <w:t>4. In artikel 4.11, onder b, wordt “bij of krachtens artikel 2.24 (…) , en” vervangen door “bij of krachtens paragraaf 3.2.1 van de Omgevingswet en ,”.</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r>
      <w:r w:rsidR="00980FBD">
        <w:rPr>
          <w:rFonts w:ascii="Times New Roman" w:hAnsi="Times New Roman" w:eastAsia="Verdana"/>
          <w:sz w:val="24"/>
        </w:rPr>
        <w:t>5</w:t>
      </w:r>
      <w:r w:rsidRPr="008832D3">
        <w:rPr>
          <w:rFonts w:ascii="Times New Roman" w:hAnsi="Times New Roman" w:eastAsia="Verdana"/>
          <w:sz w:val="24"/>
        </w:rPr>
        <w:t xml:space="preserve">. In artikel 4.35, eerste lid, wordt "een instructie als bedoeld in artikel 2.34, derde lid, van de Omgevingswet" vervangen door "een instructie als bedoeld in artikel 2.34, vierde lid, van de Omgevingswet". </w:t>
      </w:r>
    </w:p>
    <w:p w:rsidRPr="008832D3" w:rsidR="008832D3" w:rsidP="008832D3" w:rsidRDefault="008832D3">
      <w:pPr>
        <w:rPr>
          <w:rFonts w:ascii="Times New Roman" w:hAnsi="Times New Roman" w:eastAsia="Verdana"/>
          <w:sz w:val="24"/>
        </w:rPr>
      </w:pPr>
    </w:p>
    <w:p w:rsidRPr="008832D3" w:rsidR="008832D3" w:rsidP="008832D3" w:rsidRDefault="00980FBD">
      <w:pPr>
        <w:rPr>
          <w:rFonts w:ascii="Times New Roman" w:hAnsi="Times New Roman" w:eastAsia="Verdana"/>
          <w:sz w:val="24"/>
        </w:rPr>
      </w:pPr>
      <w:r>
        <w:rPr>
          <w:rFonts w:ascii="Times New Roman" w:hAnsi="Times New Roman" w:eastAsia="Verdana"/>
          <w:sz w:val="24"/>
        </w:rPr>
        <w:tab/>
        <w:t>6</w:t>
      </w:r>
      <w:r w:rsidRPr="008832D3" w:rsidR="008832D3">
        <w:rPr>
          <w:rFonts w:ascii="Times New Roman" w:hAnsi="Times New Roman" w:eastAsia="Verdana"/>
          <w:sz w:val="24"/>
        </w:rPr>
        <w:t>. Artikel 5.2 wordt als volgt gewijzigd:</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a.  In het opschrift wordt "Invoeringsregelingen" vervangen door “Invoeringsregeling”.</w:t>
      </w:r>
    </w:p>
    <w:p w:rsidRPr="008832D3" w:rsidR="008832D3" w:rsidP="008832D3" w:rsidRDefault="008832D3">
      <w:pPr>
        <w:rPr>
          <w:rFonts w:ascii="Times New Roman" w:hAnsi="Times New Roman" w:eastAsia="Verdana"/>
          <w:sz w:val="24"/>
        </w:rPr>
      </w:pPr>
    </w:p>
    <w:p w:rsidR="008832D3" w:rsidP="008832D3" w:rsidRDefault="008832D3">
      <w:pPr>
        <w:rPr>
          <w:rFonts w:ascii="Times New Roman" w:hAnsi="Times New Roman" w:eastAsia="Verdana"/>
          <w:sz w:val="24"/>
        </w:rPr>
      </w:pPr>
      <w:r w:rsidRPr="008832D3">
        <w:rPr>
          <w:rFonts w:ascii="Times New Roman" w:hAnsi="Times New Roman" w:eastAsia="Verdana"/>
          <w:sz w:val="24"/>
        </w:rPr>
        <w:tab/>
        <w:t>b. Aan het eerste lid wordt een zin toegevoegd, luidende: Op de voorbereiding van een ministeriële regeling in verband met de invoering van de Omgevingswet is artikel 23.4 van de Omgevingswet van overeenkomstige toepassing.</w:t>
      </w:r>
    </w:p>
    <w:p w:rsidRPr="00BE4B06" w:rsidR="00BE4B06" w:rsidP="00BE4B06" w:rsidRDefault="00BE4B06">
      <w:pPr>
        <w:rPr>
          <w:rFonts w:ascii="Times New Roman" w:hAnsi="Times New Roman" w:eastAsia="Verdana"/>
          <w:sz w:val="24"/>
        </w:rPr>
      </w:pPr>
    </w:p>
    <w:p w:rsidR="00E97F6E" w:rsidP="00BE4B06" w:rsidRDefault="00E97F6E">
      <w:pPr>
        <w:rPr>
          <w:rFonts w:ascii="Times New Roman" w:hAnsi="Times New Roman" w:eastAsia="Verdana"/>
          <w:b/>
          <w:sz w:val="24"/>
        </w:rPr>
      </w:pPr>
      <w:r w:rsidRPr="00BE4B06">
        <w:rPr>
          <w:rFonts w:ascii="Times New Roman" w:hAnsi="Times New Roman" w:eastAsia="Verdana"/>
          <w:b/>
          <w:sz w:val="24"/>
        </w:rPr>
        <w:t>Artikel 2.5 (Kadasterwet)</w:t>
      </w:r>
    </w:p>
    <w:p w:rsidRPr="00BE4B06" w:rsidR="00BE4B06" w:rsidP="00BE4B06" w:rsidRDefault="00BE4B06">
      <w:pPr>
        <w:rPr>
          <w:rFonts w:ascii="Times New Roman" w:hAnsi="Times New Roman" w:eastAsia="Verdana"/>
          <w:b/>
          <w:sz w:val="24"/>
        </w:rPr>
      </w:pPr>
    </w:p>
    <w:p w:rsidRPr="00BE4B06" w:rsidR="00E97F6E" w:rsidP="00BE4B06" w:rsidRDefault="00E97F6E">
      <w:pPr>
        <w:ind w:firstLine="284"/>
        <w:rPr>
          <w:rFonts w:ascii="Times New Roman" w:hAnsi="Times New Roman" w:eastAsia="Verdana"/>
          <w:sz w:val="24"/>
        </w:rPr>
      </w:pPr>
      <w:r w:rsidRPr="00BE4B06">
        <w:rPr>
          <w:rFonts w:ascii="Times New Roman" w:hAnsi="Times New Roman" w:eastAsia="Verdana"/>
          <w:sz w:val="24"/>
        </w:rPr>
        <w:t>Artikel 3, eerste lid, van de Kadasterwet wordt als volgt gewijzigd:</w:t>
      </w:r>
    </w:p>
    <w:p w:rsidR="00BE4B06" w:rsidP="00BE4B06" w:rsidRDefault="00BE4B06">
      <w:pPr>
        <w:rPr>
          <w:rFonts w:ascii="Times New Roman" w:hAnsi="Times New Roman" w:eastAsia="Verdana"/>
          <w:sz w:val="24"/>
        </w:rPr>
      </w:pPr>
    </w:p>
    <w:p w:rsidR="00BE4B06" w:rsidP="00BE4B06" w:rsidRDefault="00E97F6E">
      <w:pPr>
        <w:ind w:firstLine="284"/>
        <w:rPr>
          <w:rFonts w:ascii="Times New Roman" w:hAnsi="Times New Roman" w:eastAsia="Verdana"/>
          <w:sz w:val="24"/>
        </w:rPr>
      </w:pPr>
      <w:r w:rsidRPr="00BE4B06">
        <w:rPr>
          <w:rFonts w:ascii="Times New Roman" w:hAnsi="Times New Roman" w:eastAsia="Verdana"/>
          <w:sz w:val="24"/>
        </w:rPr>
        <w:t>Onder vervanging van de punt na onderdeel q door een puntkomma wordt een onderdeel toegevoegd, luidende:</w:t>
      </w:r>
    </w:p>
    <w:p w:rsidR="00E97F6E" w:rsidP="00BE4B06" w:rsidRDefault="00E97F6E">
      <w:pPr>
        <w:ind w:firstLine="284"/>
        <w:rPr>
          <w:rFonts w:ascii="Times New Roman" w:hAnsi="Times New Roman" w:eastAsia="Verdana"/>
          <w:sz w:val="24"/>
        </w:rPr>
      </w:pPr>
      <w:r w:rsidRPr="00BE4B06">
        <w:rPr>
          <w:rFonts w:ascii="Times New Roman" w:hAnsi="Times New Roman" w:eastAsia="Verdana"/>
          <w:sz w:val="24"/>
        </w:rPr>
        <w:lastRenderedPageBreak/>
        <w:t xml:space="preserve">r. het op verzoek leveren van </w:t>
      </w:r>
      <w:r w:rsidRPr="00BE4B06">
        <w:rPr>
          <w:rFonts w:ascii="Times New Roman" w:hAnsi="Times New Roman" w:eastAsia="Calibri"/>
          <w:sz w:val="24"/>
        </w:rPr>
        <w:t>bijstand in de uitoefening van bevoegdheden over landinrichting als bedoeld in hoofdstuk 12 van de Omgevingswet of de uitvoering van ander beleid gericht op de verbetering van het landelijk gebied, voor zover het betreft inrichting, gebruik en beheer daarvan</w:t>
      </w:r>
      <w:r w:rsidRPr="00BE4B06">
        <w:rPr>
          <w:rFonts w:ascii="Times New Roman" w:hAnsi="Times New Roman" w:eastAsia="Verdana"/>
          <w:sz w:val="24"/>
        </w:rPr>
        <w:t>.</w:t>
      </w:r>
    </w:p>
    <w:p w:rsidRPr="00BE4B06" w:rsidR="00BE4B06" w:rsidP="00BE4B06" w:rsidRDefault="00BE4B06">
      <w:pPr>
        <w:rPr>
          <w:rFonts w:ascii="Times New Roman" w:hAnsi="Times New Roman" w:eastAsia="Verdana"/>
          <w:sz w:val="24"/>
        </w:rPr>
      </w:pPr>
    </w:p>
    <w:p w:rsidR="00E97F6E" w:rsidP="00CD4432" w:rsidRDefault="00E97F6E">
      <w:pPr>
        <w:rPr>
          <w:rFonts w:ascii="Times New Roman" w:hAnsi="Times New Roman" w:eastAsia="Verdana"/>
          <w:b/>
          <w:sz w:val="24"/>
        </w:rPr>
      </w:pPr>
      <w:r w:rsidRPr="00CD4432">
        <w:rPr>
          <w:rFonts w:ascii="Times New Roman" w:hAnsi="Times New Roman" w:eastAsia="Verdana"/>
          <w:b/>
          <w:sz w:val="24"/>
        </w:rPr>
        <w:t>Artikel 2.6 (onteigeningswet)</w:t>
      </w:r>
    </w:p>
    <w:p w:rsidRPr="00CD4432" w:rsidR="00CD4432" w:rsidP="00CD4432" w:rsidRDefault="00CD4432">
      <w:pPr>
        <w:rPr>
          <w:rFonts w:ascii="Times New Roman" w:hAnsi="Times New Roman" w:eastAsia="Verdana"/>
          <w:b/>
          <w:sz w:val="24"/>
        </w:rPr>
      </w:pPr>
    </w:p>
    <w:p w:rsidR="00E97F6E" w:rsidP="00CD4432" w:rsidRDefault="00E97F6E">
      <w:pPr>
        <w:ind w:firstLine="284"/>
        <w:rPr>
          <w:rFonts w:ascii="Times New Roman" w:hAnsi="Times New Roman" w:eastAsia="Verdana"/>
          <w:sz w:val="24"/>
        </w:rPr>
      </w:pPr>
      <w:r w:rsidRPr="00CD4432">
        <w:rPr>
          <w:rFonts w:ascii="Times New Roman" w:hAnsi="Times New Roman" w:eastAsia="Verdana"/>
          <w:sz w:val="24"/>
        </w:rPr>
        <w:t>De onteigeningswet wordt als volgt gewijzigd:</w:t>
      </w:r>
    </w:p>
    <w:p w:rsidRPr="00CD4432" w:rsidR="00CD4432" w:rsidP="00CD4432" w:rsidRDefault="00CD4432">
      <w:pPr>
        <w:rPr>
          <w:rFonts w:ascii="Times New Roman" w:hAnsi="Times New Roman" w:eastAsia="Verdana"/>
          <w:sz w:val="24"/>
        </w:rPr>
      </w:pPr>
    </w:p>
    <w:p w:rsidR="00E97F6E" w:rsidP="003B38DD" w:rsidRDefault="00E97F6E">
      <w:pPr>
        <w:rPr>
          <w:rFonts w:ascii="Times New Roman" w:hAnsi="Times New Roman" w:eastAsia="Verdana"/>
          <w:sz w:val="24"/>
        </w:rPr>
      </w:pPr>
      <w:r w:rsidRPr="003B38DD">
        <w:rPr>
          <w:rFonts w:ascii="Times New Roman" w:hAnsi="Times New Roman" w:eastAsia="Verdana"/>
          <w:sz w:val="24"/>
        </w:rPr>
        <w:t>A</w:t>
      </w:r>
    </w:p>
    <w:p w:rsidRPr="003B38DD" w:rsidR="003B38DD" w:rsidP="003B38DD" w:rsidRDefault="003B38DD">
      <w:pPr>
        <w:rPr>
          <w:rFonts w:ascii="Times New Roman" w:hAnsi="Times New Roman" w:eastAsia="Verdana"/>
          <w:sz w:val="24"/>
        </w:rPr>
      </w:pPr>
    </w:p>
    <w:p w:rsidRPr="003B38DD" w:rsidR="00E97F6E" w:rsidP="003B38DD" w:rsidRDefault="00E97F6E">
      <w:pPr>
        <w:ind w:firstLine="284"/>
        <w:rPr>
          <w:rFonts w:ascii="Times New Roman" w:hAnsi="Times New Roman" w:eastAsia="Verdana"/>
          <w:sz w:val="24"/>
        </w:rPr>
      </w:pPr>
      <w:r w:rsidRPr="003B38DD">
        <w:rPr>
          <w:rFonts w:ascii="Times New Roman" w:hAnsi="Times New Roman" w:eastAsia="Verdana"/>
          <w:sz w:val="24"/>
        </w:rPr>
        <w:t>De artikelen 1 tot en met 4, 155 en 156 en de titels I, II, IIa, IIb, IIc, IV, V, Va, VI, VII, VIIa en VIII vervallen.</w:t>
      </w:r>
    </w:p>
    <w:p w:rsidR="003B38DD" w:rsidP="003B38DD" w:rsidRDefault="003B38DD">
      <w:pPr>
        <w:rPr>
          <w:rFonts w:ascii="Times New Roman" w:hAnsi="Times New Roman" w:eastAsia="Verdana"/>
          <w:sz w:val="24"/>
        </w:rPr>
      </w:pPr>
    </w:p>
    <w:p w:rsidRPr="003B38DD" w:rsidR="00E97F6E" w:rsidP="003B38DD" w:rsidRDefault="00E97F6E">
      <w:pPr>
        <w:rPr>
          <w:rFonts w:ascii="Times New Roman" w:hAnsi="Times New Roman" w:eastAsia="Verdana"/>
          <w:sz w:val="24"/>
        </w:rPr>
      </w:pPr>
      <w:r w:rsidRPr="003B38DD">
        <w:rPr>
          <w:rFonts w:ascii="Times New Roman" w:hAnsi="Times New Roman" w:eastAsia="Verdana"/>
          <w:sz w:val="24"/>
        </w:rPr>
        <w:t>B</w:t>
      </w:r>
    </w:p>
    <w:p w:rsidR="003B38DD" w:rsidP="003B38DD" w:rsidRDefault="003B38DD">
      <w:pPr>
        <w:rPr>
          <w:rFonts w:ascii="Times New Roman" w:hAnsi="Times New Roman" w:eastAsia="Verdana"/>
          <w:sz w:val="24"/>
        </w:rPr>
      </w:pPr>
    </w:p>
    <w:p w:rsidRPr="003B38DD" w:rsidR="00E97F6E" w:rsidP="003B38DD" w:rsidRDefault="00E97F6E">
      <w:pPr>
        <w:ind w:firstLine="284"/>
        <w:rPr>
          <w:rFonts w:ascii="Times New Roman" w:hAnsi="Times New Roman" w:eastAsia="Verdana"/>
          <w:sz w:val="24"/>
        </w:rPr>
      </w:pPr>
      <w:r w:rsidRPr="003B38DD">
        <w:rPr>
          <w:rFonts w:ascii="Times New Roman" w:hAnsi="Times New Roman" w:eastAsia="Verdana"/>
          <w:sz w:val="24"/>
        </w:rPr>
        <w:t>Artikel 73, vierde lid, tweede zin, komt te luiden:</w:t>
      </w:r>
    </w:p>
    <w:p w:rsidR="003B38DD" w:rsidP="003B38DD" w:rsidRDefault="00E97F6E">
      <w:pPr>
        <w:ind w:firstLine="284"/>
        <w:rPr>
          <w:rFonts w:ascii="Times New Roman" w:hAnsi="Times New Roman" w:eastAsia="Verdana"/>
          <w:sz w:val="24"/>
        </w:rPr>
      </w:pPr>
      <w:r w:rsidRPr="003B38DD">
        <w:rPr>
          <w:rFonts w:ascii="Times New Roman" w:hAnsi="Times New Roman" w:eastAsia="Verdana"/>
          <w:sz w:val="24"/>
        </w:rPr>
        <w:t>Waterschaps- en soortgelijke lasten en alle belastingen waarmee het onteigende is bezwaard, gaan met ingang van de dag van de inbezitneming op hem over.</w:t>
      </w:r>
    </w:p>
    <w:p w:rsidR="003B38DD" w:rsidP="003B38DD" w:rsidRDefault="003B38DD">
      <w:pPr>
        <w:rPr>
          <w:rFonts w:ascii="Times New Roman" w:hAnsi="Times New Roman" w:eastAsia="Verdana"/>
          <w:sz w:val="24"/>
        </w:rPr>
      </w:pPr>
    </w:p>
    <w:p w:rsidR="00E97F6E" w:rsidP="003B38DD" w:rsidRDefault="00E97F6E">
      <w:pPr>
        <w:rPr>
          <w:rFonts w:ascii="Times New Roman" w:hAnsi="Times New Roman" w:eastAsia="Verdana"/>
          <w:sz w:val="24"/>
        </w:rPr>
      </w:pPr>
      <w:r w:rsidRPr="00E97F6E">
        <w:rPr>
          <w:rFonts w:ascii="Times New Roman" w:hAnsi="Times New Roman" w:eastAsia="Verdana"/>
          <w:sz w:val="24"/>
        </w:rPr>
        <w:t>C</w:t>
      </w:r>
    </w:p>
    <w:p w:rsidRPr="00E97F6E" w:rsidR="003B38DD" w:rsidP="003B38DD" w:rsidRDefault="003B38DD">
      <w:pPr>
        <w:rPr>
          <w:rFonts w:ascii="Times New Roman" w:hAnsi="Times New Roman" w:eastAsia="Verdana"/>
          <w:sz w:val="24"/>
        </w:rPr>
      </w:pPr>
    </w:p>
    <w:p w:rsidRPr="000E2F8A" w:rsidR="00E97F6E" w:rsidP="000E2F8A" w:rsidRDefault="00E97F6E">
      <w:pPr>
        <w:ind w:firstLine="284"/>
        <w:rPr>
          <w:rFonts w:ascii="Times New Roman" w:hAnsi="Times New Roman" w:eastAsia="Verdana"/>
          <w:sz w:val="24"/>
        </w:rPr>
      </w:pPr>
      <w:r w:rsidRPr="000E2F8A">
        <w:rPr>
          <w:rFonts w:ascii="Times New Roman" w:hAnsi="Times New Roman" w:eastAsia="Verdana"/>
          <w:sz w:val="24"/>
        </w:rPr>
        <w:t>Artikel 74, eerste lid, komt te luiden:</w:t>
      </w:r>
    </w:p>
    <w:p w:rsidR="00E97F6E" w:rsidP="000E2F8A" w:rsidRDefault="00E97F6E">
      <w:pPr>
        <w:ind w:firstLine="284"/>
        <w:rPr>
          <w:rFonts w:ascii="Times New Roman" w:hAnsi="Times New Roman" w:eastAsia="Verdana"/>
          <w:sz w:val="24"/>
        </w:rPr>
      </w:pPr>
      <w:r w:rsidRPr="000E2F8A">
        <w:rPr>
          <w:rFonts w:ascii="Times New Roman" w:hAnsi="Times New Roman" w:eastAsia="Verdana"/>
          <w:sz w:val="24"/>
        </w:rPr>
        <w:t>1. Zodra mogelijk na de onteigening, biedt degene die de onteigening bevolen heeft aan de onteigende gerechtelijk een schadevergoeding aan, of, als onder degene die de onteigening bevolen heeft, beslag op de schadeloosstelling is gelegd, consigneert die het bedrag dat zonder het beslag aan de beslagene had moeten worden uitbetaald volgens de Wet op de consignatie van gelden.</w:t>
      </w:r>
    </w:p>
    <w:p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b/>
          <w:sz w:val="24"/>
        </w:rPr>
      </w:pPr>
      <w:r w:rsidRPr="008832D3">
        <w:rPr>
          <w:rFonts w:ascii="Times New Roman" w:hAnsi="Times New Roman" w:eastAsia="Verdana"/>
          <w:b/>
          <w:sz w:val="24"/>
        </w:rPr>
        <w:t>Artikel 2.6a (Spoorwegwet)</w:t>
      </w:r>
    </w:p>
    <w:p w:rsidRPr="008832D3" w:rsidR="008832D3" w:rsidP="008832D3" w:rsidRDefault="008832D3">
      <w:pPr>
        <w:rPr>
          <w:rFonts w:ascii="Times New Roman" w:hAnsi="Times New Roman" w:eastAsia="Verdana"/>
          <w:sz w:val="24"/>
        </w:rPr>
      </w:pPr>
    </w:p>
    <w:p w:rsidRPr="000E2F8A" w:rsidR="008832D3" w:rsidP="008832D3" w:rsidRDefault="008832D3">
      <w:pPr>
        <w:rPr>
          <w:rFonts w:ascii="Times New Roman" w:hAnsi="Times New Roman" w:eastAsia="Verdana"/>
          <w:sz w:val="24"/>
        </w:rPr>
      </w:pPr>
      <w:r w:rsidRPr="008832D3">
        <w:rPr>
          <w:rFonts w:ascii="Times New Roman" w:hAnsi="Times New Roman" w:eastAsia="Verdana"/>
          <w:sz w:val="24"/>
        </w:rPr>
        <w:tab/>
        <w:t>In artikel 87, eerste lid, vervalt "alsmede overtreding (…) hoofdspoorwegen".</w:t>
      </w:r>
    </w:p>
    <w:p w:rsidR="000E2F8A" w:rsidP="00E97F6E" w:rsidRDefault="000E2F8A">
      <w:pPr>
        <w:autoSpaceDE w:val="0"/>
        <w:adjustRightInd w:val="0"/>
        <w:rPr>
          <w:rFonts w:ascii="Times New Roman" w:hAnsi="Times New Roman" w:eastAsia="Verdana"/>
          <w:b/>
          <w:sz w:val="24"/>
        </w:rPr>
      </w:pPr>
    </w:p>
    <w:p w:rsidRPr="00E97F6E" w:rsidR="00E97F6E" w:rsidP="00E97F6E" w:rsidRDefault="00E97F6E">
      <w:pPr>
        <w:autoSpaceDE w:val="0"/>
        <w:adjustRightInd w:val="0"/>
        <w:rPr>
          <w:rFonts w:ascii="Times New Roman" w:hAnsi="Times New Roman" w:eastAsia="Verdana"/>
          <w:b/>
          <w:sz w:val="24"/>
        </w:rPr>
      </w:pPr>
      <w:r w:rsidRPr="00E97F6E">
        <w:rPr>
          <w:rFonts w:ascii="Times New Roman" w:hAnsi="Times New Roman" w:eastAsia="Verdana"/>
          <w:b/>
          <w:sz w:val="24"/>
        </w:rPr>
        <w:t>Artikel 2.7 (Vorderingswet)</w:t>
      </w:r>
    </w:p>
    <w:p w:rsidRPr="00E97F6E" w:rsidR="00E97F6E" w:rsidP="00E97F6E" w:rsidRDefault="00E97F6E">
      <w:pPr>
        <w:autoSpaceDE w:val="0"/>
        <w:adjustRightInd w:val="0"/>
        <w:rPr>
          <w:rFonts w:ascii="Times New Roman" w:hAnsi="Times New Roman" w:eastAsia="Verdana"/>
          <w:sz w:val="24"/>
        </w:rPr>
      </w:pPr>
    </w:p>
    <w:p w:rsidR="00E97F6E" w:rsidP="000E2F8A" w:rsidRDefault="00E97F6E">
      <w:pPr>
        <w:ind w:firstLine="284"/>
        <w:rPr>
          <w:rFonts w:ascii="Times New Roman" w:hAnsi="Times New Roman" w:eastAsia="Verdana"/>
          <w:sz w:val="24"/>
        </w:rPr>
      </w:pPr>
      <w:r w:rsidRPr="000E2F8A">
        <w:rPr>
          <w:rFonts w:ascii="Times New Roman" w:hAnsi="Times New Roman" w:eastAsia="Verdana"/>
          <w:sz w:val="24"/>
        </w:rPr>
        <w:t>In artikel 15, tweede lid, van de Vorderingswet wordt “de artikelen 40-45 van de Onteigeningswet” vervangen door “paragraaf 15.3.1 van de Omgevingswet”.</w:t>
      </w:r>
    </w:p>
    <w:p w:rsidRPr="000E2F8A" w:rsidR="000E2F8A" w:rsidP="000E2F8A" w:rsidRDefault="000E2F8A">
      <w:pPr>
        <w:rPr>
          <w:rFonts w:ascii="Times New Roman" w:hAnsi="Times New Roman" w:eastAsia="Verdana"/>
          <w:sz w:val="24"/>
        </w:rPr>
      </w:pPr>
    </w:p>
    <w:p w:rsidRPr="000E2F8A" w:rsidR="00E97F6E" w:rsidP="000E2F8A" w:rsidRDefault="00E97F6E">
      <w:pPr>
        <w:rPr>
          <w:rFonts w:ascii="Times New Roman" w:hAnsi="Times New Roman" w:eastAsia="Verdana"/>
          <w:b/>
          <w:sz w:val="24"/>
        </w:rPr>
      </w:pPr>
      <w:r w:rsidRPr="000E2F8A">
        <w:rPr>
          <w:rFonts w:ascii="Times New Roman" w:hAnsi="Times New Roman" w:eastAsia="Verdana"/>
          <w:b/>
          <w:sz w:val="24"/>
        </w:rPr>
        <w:t>Artikel 2.8 (Wet algemene regels herindeling)</w:t>
      </w:r>
    </w:p>
    <w:p w:rsidRPr="000E2F8A" w:rsidR="000E2F8A" w:rsidP="000E2F8A" w:rsidRDefault="000E2F8A">
      <w:pPr>
        <w:rPr>
          <w:rFonts w:ascii="Times New Roman" w:hAnsi="Times New Roman" w:eastAsia="Verdana"/>
          <w:sz w:val="24"/>
        </w:rPr>
      </w:pPr>
    </w:p>
    <w:p w:rsidRPr="000E2F8A" w:rsidR="00E97F6E" w:rsidP="00480B65" w:rsidRDefault="00E97F6E">
      <w:pPr>
        <w:ind w:firstLine="284"/>
        <w:rPr>
          <w:rFonts w:ascii="Times New Roman" w:hAnsi="Times New Roman" w:eastAsia="Verdana"/>
          <w:sz w:val="24"/>
        </w:rPr>
      </w:pPr>
      <w:r w:rsidRPr="000E2F8A">
        <w:rPr>
          <w:rFonts w:ascii="Times New Roman" w:hAnsi="Times New Roman" w:eastAsia="Verdana"/>
          <w:sz w:val="24"/>
        </w:rPr>
        <w:t>In artikel 34, eerste lid, van de Wet algemene regels herindeling wordt “besluiten waarbij gronden worden aangewezen tot gebied waarop een voorkeursrecht rust als bedoeld in artikel 2, eerste lid, van de Wet voorkeursrecht gemeenten” vervangen door “voorkeursrechtbeschikkingen als bedoeld in ar</w:t>
      </w:r>
      <w:r w:rsidR="000E2F8A">
        <w:rPr>
          <w:rFonts w:ascii="Times New Roman" w:hAnsi="Times New Roman" w:eastAsia="Verdana"/>
          <w:sz w:val="24"/>
        </w:rPr>
        <w:t>tikel 9.1 van de Omgevingswet”.</w:t>
      </w:r>
    </w:p>
    <w:p w:rsidR="000E2F8A" w:rsidP="00E97F6E" w:rsidRDefault="000E2F8A">
      <w:pPr>
        <w:autoSpaceDE w:val="0"/>
        <w:adjustRightInd w:val="0"/>
        <w:rPr>
          <w:rFonts w:ascii="Times New Roman" w:hAnsi="Times New Roman" w:eastAsia="Verdana"/>
          <w:b/>
          <w:sz w:val="24"/>
        </w:rPr>
      </w:pPr>
    </w:p>
    <w:p w:rsidRPr="00E97F6E" w:rsidR="00E97F6E" w:rsidP="00E97F6E" w:rsidRDefault="00E97F6E">
      <w:pPr>
        <w:autoSpaceDE w:val="0"/>
        <w:adjustRightInd w:val="0"/>
        <w:rPr>
          <w:rFonts w:ascii="Times New Roman" w:hAnsi="Times New Roman" w:eastAsia="Verdana"/>
          <w:b/>
          <w:sz w:val="24"/>
        </w:rPr>
      </w:pPr>
      <w:r w:rsidRPr="00E97F6E">
        <w:rPr>
          <w:rFonts w:ascii="Times New Roman" w:hAnsi="Times New Roman" w:eastAsia="Verdana"/>
          <w:b/>
          <w:sz w:val="24"/>
        </w:rPr>
        <w:t>Artikel 2.9 (Wet op belastingen van rechtsverkeer)</w:t>
      </w:r>
    </w:p>
    <w:p w:rsidRPr="00E97F6E" w:rsidR="00E97F6E" w:rsidP="00E97F6E" w:rsidRDefault="00E97F6E">
      <w:pPr>
        <w:autoSpaceDE w:val="0"/>
        <w:adjustRightInd w:val="0"/>
        <w:rPr>
          <w:rFonts w:ascii="Times New Roman" w:hAnsi="Times New Roman" w:eastAsia="Verdana"/>
          <w:b/>
          <w:sz w:val="24"/>
        </w:rPr>
      </w:pPr>
    </w:p>
    <w:p w:rsidRPr="00840C51" w:rsidR="00E97F6E" w:rsidP="00840C51" w:rsidRDefault="00E97F6E">
      <w:pPr>
        <w:ind w:firstLine="284"/>
        <w:rPr>
          <w:rFonts w:ascii="Times New Roman" w:hAnsi="Times New Roman" w:eastAsia="Verdana"/>
          <w:sz w:val="24"/>
        </w:rPr>
      </w:pPr>
      <w:r w:rsidRPr="00840C51">
        <w:rPr>
          <w:rFonts w:ascii="Times New Roman" w:hAnsi="Times New Roman" w:eastAsia="Verdana"/>
          <w:sz w:val="24"/>
        </w:rPr>
        <w:t>Artikel 15, eerste lid, onderdeel l, van de Wet op belastingen van rechtsverkeer komt te luiden:</w:t>
      </w:r>
    </w:p>
    <w:p w:rsidR="00E97F6E" w:rsidP="00840C51" w:rsidRDefault="00E97F6E">
      <w:pPr>
        <w:ind w:firstLine="284"/>
        <w:rPr>
          <w:rFonts w:ascii="Times New Roman" w:hAnsi="Times New Roman" w:eastAsia="Verdana"/>
          <w:sz w:val="24"/>
        </w:rPr>
      </w:pPr>
      <w:r w:rsidRPr="00840C51">
        <w:rPr>
          <w:rFonts w:ascii="Times New Roman" w:hAnsi="Times New Roman" w:eastAsia="Verdana"/>
          <w:sz w:val="24"/>
        </w:rPr>
        <w:lastRenderedPageBreak/>
        <w:t>l. krachtens de Wet inrichting landelijk gebied en afdeling 12.4 en artikel 12.47 in samenhang met artikel 12.44 van de Omgevingswet;</w:t>
      </w:r>
    </w:p>
    <w:p w:rsidRPr="00840C51" w:rsidR="00840C51" w:rsidP="00840C51" w:rsidRDefault="00840C51">
      <w:pPr>
        <w:rPr>
          <w:rFonts w:ascii="Times New Roman" w:hAnsi="Times New Roman" w:eastAsia="Verdana"/>
          <w:sz w:val="24"/>
        </w:rPr>
      </w:pPr>
    </w:p>
    <w:p w:rsidRPr="00E97F6E" w:rsidR="00E97F6E" w:rsidP="00E97F6E" w:rsidRDefault="00E97F6E">
      <w:pPr>
        <w:autoSpaceDE w:val="0"/>
        <w:adjustRightInd w:val="0"/>
        <w:rPr>
          <w:rFonts w:ascii="Times New Roman" w:hAnsi="Times New Roman" w:eastAsia="Verdana"/>
          <w:b/>
          <w:sz w:val="24"/>
        </w:rPr>
      </w:pPr>
      <w:r w:rsidRPr="00E97F6E">
        <w:rPr>
          <w:rFonts w:ascii="Times New Roman" w:hAnsi="Times New Roman" w:eastAsia="Verdana"/>
          <w:b/>
          <w:sz w:val="24"/>
        </w:rPr>
        <w:t>Artikel 2.10 (Wet op de economische delicten)</w:t>
      </w:r>
    </w:p>
    <w:p w:rsidRPr="00E97F6E" w:rsidR="00E97F6E" w:rsidP="00E97F6E" w:rsidRDefault="00E97F6E">
      <w:pPr>
        <w:autoSpaceDE w:val="0"/>
        <w:adjustRightInd w:val="0"/>
        <w:rPr>
          <w:rFonts w:ascii="Times New Roman" w:hAnsi="Times New Roman" w:eastAsia="Verdana"/>
          <w:b/>
          <w:sz w:val="24"/>
        </w:rPr>
      </w:pPr>
    </w:p>
    <w:p w:rsidRPr="00E97F6E" w:rsidR="00E97F6E" w:rsidP="00840C51" w:rsidRDefault="00E97F6E">
      <w:pPr>
        <w:autoSpaceDE w:val="0"/>
        <w:adjustRightInd w:val="0"/>
        <w:ind w:firstLine="284"/>
        <w:rPr>
          <w:rFonts w:ascii="Times New Roman" w:hAnsi="Times New Roman" w:eastAsia="Verdana"/>
          <w:b/>
          <w:sz w:val="24"/>
        </w:rPr>
      </w:pPr>
      <w:r w:rsidRPr="00E97F6E">
        <w:rPr>
          <w:rFonts w:ascii="Times New Roman" w:hAnsi="Times New Roman" w:eastAsia="Verdana"/>
          <w:sz w:val="24"/>
        </w:rPr>
        <w:t>De Wet op de economische delicten wordt als volgt gewijzigd:</w:t>
      </w:r>
    </w:p>
    <w:p w:rsidRPr="00E97F6E" w:rsidR="00E97F6E" w:rsidP="00E97F6E" w:rsidRDefault="00E97F6E">
      <w:pPr>
        <w:autoSpaceDE w:val="0"/>
        <w:adjustRightInd w:val="0"/>
        <w:rPr>
          <w:rFonts w:ascii="Times New Roman" w:hAnsi="Times New Roman" w:eastAsia="Verdana"/>
          <w:sz w:val="24"/>
        </w:rPr>
      </w:pPr>
    </w:p>
    <w:p w:rsidR="00E97F6E" w:rsidP="00776B7B" w:rsidRDefault="00E97F6E">
      <w:pPr>
        <w:rPr>
          <w:rFonts w:ascii="Times New Roman" w:hAnsi="Times New Roman" w:eastAsia="Verdana"/>
          <w:sz w:val="24"/>
        </w:rPr>
      </w:pPr>
      <w:r w:rsidRPr="00776B7B">
        <w:rPr>
          <w:rFonts w:ascii="Times New Roman" w:hAnsi="Times New Roman" w:eastAsia="Verdana"/>
          <w:sz w:val="24"/>
        </w:rPr>
        <w:t>A</w:t>
      </w:r>
    </w:p>
    <w:p w:rsidRPr="00776B7B" w:rsidR="00776B7B" w:rsidP="00776B7B" w:rsidRDefault="00776B7B">
      <w:pPr>
        <w:rPr>
          <w:rFonts w:ascii="Times New Roman" w:hAnsi="Times New Roman" w:eastAsia="Verdana"/>
          <w:sz w:val="24"/>
        </w:rPr>
      </w:pPr>
    </w:p>
    <w:p w:rsidR="00E97F6E" w:rsidP="00776B7B" w:rsidRDefault="00E97F6E">
      <w:pPr>
        <w:ind w:firstLine="284"/>
        <w:rPr>
          <w:rFonts w:ascii="Times New Roman" w:hAnsi="Times New Roman" w:eastAsia="Verdana"/>
          <w:sz w:val="24"/>
        </w:rPr>
      </w:pPr>
      <w:r w:rsidRPr="00776B7B">
        <w:rPr>
          <w:rFonts w:ascii="Times New Roman" w:hAnsi="Times New Roman" w:eastAsia="Verdana"/>
          <w:sz w:val="24"/>
        </w:rPr>
        <w:t>In artikel 1, onderdeel 4°, vervallen de zinsneden met betrekking tot de Wet agrarisch grondverkeer en de W</w:t>
      </w:r>
      <w:r w:rsidR="00776B7B">
        <w:rPr>
          <w:rFonts w:ascii="Times New Roman" w:hAnsi="Times New Roman" w:eastAsia="Verdana"/>
          <w:sz w:val="24"/>
        </w:rPr>
        <w:t>et inrichting landelijk gebied.</w:t>
      </w:r>
    </w:p>
    <w:p w:rsidRPr="00776B7B" w:rsidR="00776B7B" w:rsidP="00776B7B" w:rsidRDefault="00776B7B">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B</w:t>
      </w:r>
    </w:p>
    <w:p w:rsidRPr="00E97F6E" w:rsidR="00E97F6E" w:rsidP="00E97F6E" w:rsidRDefault="00E97F6E">
      <w:pPr>
        <w:rPr>
          <w:rFonts w:ascii="Times New Roman" w:hAnsi="Times New Roman" w:eastAsia="Verdana"/>
          <w:sz w:val="24"/>
        </w:rPr>
      </w:pPr>
    </w:p>
    <w:p w:rsidRPr="00E97F6E" w:rsidR="00E97F6E" w:rsidP="00776B7B" w:rsidRDefault="00E97F6E">
      <w:pPr>
        <w:ind w:firstLine="284"/>
        <w:rPr>
          <w:rFonts w:ascii="Times New Roman" w:hAnsi="Times New Roman" w:eastAsia="Verdana"/>
          <w:sz w:val="24"/>
        </w:rPr>
      </w:pPr>
      <w:r w:rsidRPr="00E97F6E">
        <w:rPr>
          <w:rFonts w:ascii="Times New Roman" w:hAnsi="Times New Roman" w:eastAsia="Verdana"/>
          <w:sz w:val="24"/>
        </w:rPr>
        <w:t xml:space="preserve">In artikel 1a, onderdeel 3°, wordt de zinsnede met betrekking tot de Omgevingswet als volgt gewijzigd: </w:t>
      </w:r>
    </w:p>
    <w:p w:rsidR="00776B7B" w:rsidP="00E97F6E" w:rsidRDefault="00776B7B">
      <w:pPr>
        <w:rPr>
          <w:rFonts w:ascii="Times New Roman" w:hAnsi="Times New Roman" w:eastAsia="Verdana"/>
          <w:sz w:val="24"/>
        </w:rPr>
      </w:pPr>
    </w:p>
    <w:p w:rsidRPr="00E97F6E" w:rsidR="00E97F6E" w:rsidP="00776B7B" w:rsidRDefault="00E97F6E">
      <w:pPr>
        <w:ind w:firstLine="284"/>
        <w:rPr>
          <w:rFonts w:ascii="Times New Roman" w:hAnsi="Times New Roman" w:eastAsia="Verdana"/>
          <w:sz w:val="24"/>
        </w:rPr>
      </w:pPr>
      <w:r w:rsidRPr="00E97F6E">
        <w:rPr>
          <w:rFonts w:ascii="Times New Roman" w:hAnsi="Times New Roman" w:eastAsia="Verdana"/>
          <w:sz w:val="24"/>
        </w:rPr>
        <w:t xml:space="preserve">1. “4.3, eerste lid, aanhef en onder g, en derde lid,” wordt vervangen door “4.3, eerste lid, aanhef en onder g en </w:t>
      </w:r>
      <w:r w:rsidR="008832D3">
        <w:rPr>
          <w:rFonts w:ascii="Times New Roman" w:hAnsi="Times New Roman" w:eastAsia="Verdana"/>
          <w:sz w:val="24"/>
        </w:rPr>
        <w:t>j</w:t>
      </w:r>
      <w:r w:rsidRPr="00E97F6E">
        <w:rPr>
          <w:rFonts w:ascii="Times New Roman" w:hAnsi="Times New Roman" w:eastAsia="Verdana"/>
          <w:sz w:val="24"/>
        </w:rPr>
        <w:t>, en derde lid,”.</w:t>
      </w:r>
    </w:p>
    <w:p w:rsidR="00776B7B" w:rsidP="00E97F6E" w:rsidRDefault="00776B7B">
      <w:pPr>
        <w:rPr>
          <w:rFonts w:ascii="Times New Roman" w:hAnsi="Times New Roman" w:eastAsia="Verdana"/>
          <w:sz w:val="24"/>
        </w:rPr>
      </w:pPr>
    </w:p>
    <w:p w:rsidRPr="00E97F6E" w:rsidR="00E97F6E" w:rsidP="00776B7B" w:rsidRDefault="00E97F6E">
      <w:pPr>
        <w:ind w:firstLine="284"/>
        <w:rPr>
          <w:rFonts w:ascii="Times New Roman" w:hAnsi="Times New Roman" w:eastAsia="Verdana"/>
          <w:sz w:val="24"/>
        </w:rPr>
      </w:pPr>
      <w:r w:rsidRPr="00E97F6E">
        <w:rPr>
          <w:rFonts w:ascii="Times New Roman" w:hAnsi="Times New Roman" w:eastAsia="Verdana"/>
          <w:sz w:val="24"/>
        </w:rPr>
        <w:t>2. “10.6 tot en met 10.10,” wordt vervangen door “10.6 tot en met 10.10f,”.</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C</w:t>
      </w:r>
    </w:p>
    <w:p w:rsidRPr="00E97F6E" w:rsidR="00E97F6E" w:rsidP="00E97F6E" w:rsidRDefault="00E97F6E">
      <w:pPr>
        <w:rPr>
          <w:rFonts w:ascii="Times New Roman" w:hAnsi="Times New Roman" w:eastAsia="Verdana"/>
          <w:sz w:val="24"/>
        </w:rPr>
      </w:pPr>
    </w:p>
    <w:p w:rsidR="00E97F6E" w:rsidP="00776B7B" w:rsidRDefault="00E97F6E">
      <w:pPr>
        <w:ind w:firstLine="284"/>
        <w:rPr>
          <w:rFonts w:ascii="Times New Roman" w:hAnsi="Times New Roman" w:eastAsia="Verdana"/>
          <w:sz w:val="24"/>
        </w:rPr>
      </w:pPr>
      <w:r w:rsidRPr="00E97F6E">
        <w:rPr>
          <w:rFonts w:ascii="Times New Roman" w:hAnsi="Times New Roman" w:eastAsia="Verdana"/>
          <w:sz w:val="24"/>
        </w:rPr>
        <w:t>In artikel 6, derde lid, wordt in de zinsnede met betrekking tot de Omgevingswet “10.6 tot en met 10.10,” vervangen door “10.6 tot en met 10.10f,”.</w:t>
      </w:r>
    </w:p>
    <w:p w:rsidRPr="00E97F6E" w:rsidR="00776B7B" w:rsidP="00776B7B" w:rsidRDefault="00776B7B">
      <w:pPr>
        <w:rPr>
          <w:rFonts w:ascii="Times New Roman" w:hAnsi="Times New Roman" w:eastAsia="Verdana"/>
          <w:b/>
          <w:sz w:val="24"/>
        </w:rPr>
      </w:pPr>
    </w:p>
    <w:p w:rsidR="00E97F6E" w:rsidP="00C029AE" w:rsidRDefault="00E97F6E">
      <w:pPr>
        <w:rPr>
          <w:rFonts w:ascii="Times New Roman" w:hAnsi="Times New Roman" w:eastAsia="Verdana"/>
          <w:b/>
          <w:sz w:val="24"/>
        </w:rPr>
      </w:pPr>
      <w:r w:rsidRPr="00C029AE">
        <w:rPr>
          <w:rFonts w:ascii="Times New Roman" w:hAnsi="Times New Roman" w:eastAsia="Verdana"/>
          <w:b/>
          <w:sz w:val="24"/>
        </w:rPr>
        <w:t>Artikel 2.11 (Wet op het financieel toezicht)</w:t>
      </w:r>
    </w:p>
    <w:p w:rsidRPr="00C029AE" w:rsidR="00C029AE" w:rsidP="00C029AE" w:rsidRDefault="00C029AE">
      <w:pPr>
        <w:rPr>
          <w:rFonts w:ascii="Times New Roman" w:hAnsi="Times New Roman" w:eastAsia="Verdana"/>
          <w:b/>
          <w:sz w:val="24"/>
        </w:rPr>
      </w:pPr>
    </w:p>
    <w:p w:rsidRPr="00C029AE" w:rsidR="00E97F6E" w:rsidP="0035422C" w:rsidRDefault="00E97F6E">
      <w:pPr>
        <w:ind w:firstLine="284"/>
        <w:rPr>
          <w:rFonts w:ascii="Times New Roman" w:hAnsi="Times New Roman" w:eastAsia="Verdana"/>
          <w:sz w:val="24"/>
        </w:rPr>
      </w:pPr>
      <w:r w:rsidRPr="00C029AE">
        <w:rPr>
          <w:rFonts w:ascii="Times New Roman" w:hAnsi="Times New Roman" w:eastAsia="Verdana"/>
          <w:sz w:val="24"/>
        </w:rPr>
        <w:t xml:space="preserve">Artikel 6:2, achtste lid, van de Wet op het financieel toezicht vervalt. </w:t>
      </w:r>
    </w:p>
    <w:p w:rsidR="00C029AE" w:rsidP="00C029AE" w:rsidRDefault="00C029AE">
      <w:pPr>
        <w:rPr>
          <w:rFonts w:ascii="Times New Roman" w:hAnsi="Times New Roman" w:eastAsia="Verdana"/>
          <w:b/>
          <w:sz w:val="24"/>
        </w:rPr>
      </w:pPr>
    </w:p>
    <w:p w:rsidR="00C029AE" w:rsidP="00C029AE" w:rsidRDefault="00C029AE">
      <w:pPr>
        <w:rPr>
          <w:rFonts w:ascii="Times New Roman" w:hAnsi="Times New Roman" w:eastAsia="Verdana"/>
          <w:b/>
          <w:sz w:val="24"/>
        </w:rPr>
      </w:pPr>
    </w:p>
    <w:p w:rsidRPr="00C029AE" w:rsidR="00E97F6E" w:rsidP="00C029AE" w:rsidRDefault="00C029AE">
      <w:pPr>
        <w:rPr>
          <w:rFonts w:ascii="Times New Roman" w:hAnsi="Times New Roman" w:eastAsia="Verdana"/>
          <w:b/>
          <w:sz w:val="24"/>
        </w:rPr>
      </w:pPr>
      <w:r w:rsidRPr="00C029AE">
        <w:rPr>
          <w:rFonts w:ascii="Times New Roman" w:hAnsi="Times New Roman" w:eastAsia="Verdana"/>
          <w:b/>
          <w:sz w:val="24"/>
        </w:rPr>
        <w:t>HOOFDSTUK 3 INTREKKING VAN WETTEN</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3.1 (Wet agrarisch grondverkeer)</w:t>
      </w:r>
    </w:p>
    <w:p w:rsidRPr="00E97F6E" w:rsidR="00E97F6E" w:rsidP="00E97F6E" w:rsidRDefault="00E97F6E">
      <w:pPr>
        <w:rPr>
          <w:rFonts w:ascii="Times New Roman" w:hAnsi="Times New Roman" w:eastAsia="Calibri"/>
          <w:sz w:val="24"/>
          <w:lang w:eastAsia="en-US"/>
        </w:rPr>
      </w:pPr>
    </w:p>
    <w:p w:rsidRPr="00E97F6E" w:rsidR="00E97F6E" w:rsidP="00C029A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Wet agrarisch grondverkeer wordt ingetrokken.</w:t>
      </w:r>
    </w:p>
    <w:p w:rsidR="00C029AE" w:rsidP="00C029AE" w:rsidRDefault="00C029AE">
      <w:pPr>
        <w:rPr>
          <w:rFonts w:ascii="Times New Roman" w:hAnsi="Times New Roman" w:eastAsia="Verdana"/>
          <w:b/>
          <w:sz w:val="24"/>
        </w:rPr>
      </w:pPr>
    </w:p>
    <w:p w:rsidRPr="00C029AE" w:rsidR="00E97F6E" w:rsidP="00C029AE" w:rsidRDefault="00E97F6E">
      <w:pPr>
        <w:rPr>
          <w:rFonts w:ascii="Times New Roman" w:hAnsi="Times New Roman" w:eastAsia="Verdana"/>
          <w:b/>
          <w:sz w:val="24"/>
        </w:rPr>
      </w:pPr>
      <w:r w:rsidRPr="00C029AE">
        <w:rPr>
          <w:rFonts w:ascii="Times New Roman" w:hAnsi="Times New Roman" w:eastAsia="Verdana"/>
          <w:b/>
          <w:sz w:val="24"/>
        </w:rPr>
        <w:t>Artikel 3.2 (Wet inrichting landelijk gebied)</w:t>
      </w:r>
    </w:p>
    <w:p w:rsidR="00C029AE" w:rsidP="00E97F6E" w:rsidRDefault="00C029AE">
      <w:pPr>
        <w:rPr>
          <w:rFonts w:ascii="Times New Roman" w:hAnsi="Times New Roman" w:eastAsia="Calibri"/>
          <w:sz w:val="24"/>
          <w:lang w:eastAsia="en-US"/>
        </w:rPr>
      </w:pPr>
    </w:p>
    <w:p w:rsidRPr="00E97F6E" w:rsidR="00E97F6E" w:rsidP="00C029A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Wet inrichting landelijk gebied wordt ingetrokken.</w:t>
      </w:r>
    </w:p>
    <w:p w:rsidRPr="00E97F6E" w:rsidR="00E97F6E" w:rsidP="00E97F6E" w:rsidRDefault="00E97F6E">
      <w:pPr>
        <w:rPr>
          <w:rFonts w:ascii="Times New Roman" w:hAnsi="Times New Roman"/>
          <w:b/>
          <w:bCs/>
          <w:sz w:val="24"/>
          <w:lang w:eastAsia="en-US"/>
        </w:rPr>
      </w:pPr>
    </w:p>
    <w:p w:rsidRPr="00E97F6E" w:rsidR="00E97F6E" w:rsidP="00E97F6E" w:rsidRDefault="00E97F6E">
      <w:pPr>
        <w:rPr>
          <w:rFonts w:ascii="Times New Roman" w:hAnsi="Times New Roman"/>
          <w:b/>
          <w:bCs/>
          <w:sz w:val="24"/>
          <w:lang w:eastAsia="en-US"/>
        </w:rPr>
      </w:pPr>
      <w:r w:rsidRPr="00E97F6E">
        <w:rPr>
          <w:rFonts w:ascii="Times New Roman" w:hAnsi="Times New Roman"/>
          <w:b/>
          <w:bCs/>
          <w:sz w:val="24"/>
          <w:lang w:eastAsia="en-US"/>
        </w:rPr>
        <w:t>Artikel 3.3 (Wet voorkeursrecht gemeenten)</w:t>
      </w:r>
    </w:p>
    <w:p w:rsidRPr="00E97F6E" w:rsidR="00E97F6E" w:rsidP="00E97F6E" w:rsidRDefault="00E97F6E">
      <w:pPr>
        <w:rPr>
          <w:rFonts w:ascii="Times New Roman" w:hAnsi="Times New Roman"/>
          <w:b/>
          <w:bCs/>
          <w:sz w:val="24"/>
          <w:lang w:eastAsia="en-US"/>
        </w:rPr>
      </w:pPr>
    </w:p>
    <w:p w:rsidRPr="00E97F6E" w:rsidR="00E97F6E" w:rsidP="00C029AE" w:rsidRDefault="00E97F6E">
      <w:pPr>
        <w:ind w:firstLine="284"/>
        <w:rPr>
          <w:rFonts w:ascii="Times New Roman" w:hAnsi="Times New Roman"/>
          <w:bCs/>
          <w:sz w:val="24"/>
          <w:lang w:eastAsia="en-US"/>
        </w:rPr>
      </w:pPr>
      <w:r w:rsidRPr="00E97F6E">
        <w:rPr>
          <w:rFonts w:ascii="Times New Roman" w:hAnsi="Times New Roman"/>
          <w:bCs/>
          <w:sz w:val="24"/>
          <w:lang w:eastAsia="en-US"/>
        </w:rPr>
        <w:t>De Wet voorkeursrecht gemeenten wordt ingetrokken.</w:t>
      </w:r>
    </w:p>
    <w:p w:rsidR="00C029AE" w:rsidP="00C029AE" w:rsidRDefault="00C029AE">
      <w:pPr>
        <w:rPr>
          <w:rFonts w:ascii="Times New Roman" w:hAnsi="Times New Roman" w:eastAsia="Verdana"/>
          <w:b/>
          <w:sz w:val="24"/>
        </w:rPr>
      </w:pPr>
    </w:p>
    <w:p w:rsidR="00C029AE" w:rsidP="00C029AE" w:rsidRDefault="00C029AE">
      <w:pPr>
        <w:rPr>
          <w:rFonts w:ascii="Times New Roman" w:hAnsi="Times New Roman" w:eastAsia="Verdana"/>
          <w:b/>
          <w:sz w:val="24"/>
        </w:rPr>
      </w:pPr>
    </w:p>
    <w:p w:rsidRPr="00C029AE" w:rsidR="00E97F6E" w:rsidP="00C029AE" w:rsidRDefault="00E0579B">
      <w:pPr>
        <w:rPr>
          <w:rFonts w:ascii="Times New Roman" w:hAnsi="Times New Roman" w:eastAsia="Verdana"/>
          <w:b/>
          <w:sz w:val="24"/>
        </w:rPr>
      </w:pPr>
      <w:r>
        <w:rPr>
          <w:rFonts w:ascii="Times New Roman" w:hAnsi="Times New Roman" w:eastAsia="Verdana"/>
          <w:b/>
          <w:sz w:val="24"/>
        </w:rPr>
        <w:t>HOOFDSTUK 4 OVERGANGSRECHT</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lastRenderedPageBreak/>
        <w:t>Artikel 4.1 (besluiten tot aanwijzing van gronden, rechtsgedingen en schadevergoeding Wet voorkeursrecht gemeenten)</w:t>
      </w:r>
    </w:p>
    <w:p w:rsidRPr="00E97F6E" w:rsidR="00E97F6E" w:rsidP="00E97F6E" w:rsidRDefault="00E97F6E">
      <w:pPr>
        <w:rPr>
          <w:rFonts w:ascii="Times New Roman" w:hAnsi="Times New Roman" w:eastAsia="Verdana"/>
          <w:b/>
          <w:sz w:val="24"/>
        </w:rPr>
      </w:pPr>
    </w:p>
    <w:p w:rsidR="00E97F6E" w:rsidP="00E0579B" w:rsidRDefault="00E97F6E">
      <w:pPr>
        <w:ind w:firstLine="284"/>
        <w:rPr>
          <w:rFonts w:ascii="Times New Roman" w:hAnsi="Times New Roman" w:eastAsia="Verdana"/>
          <w:sz w:val="24"/>
        </w:rPr>
      </w:pPr>
      <w:r w:rsidRPr="00E97F6E">
        <w:rPr>
          <w:rFonts w:ascii="Times New Roman" w:hAnsi="Times New Roman" w:eastAsia="Verdana"/>
          <w:sz w:val="24"/>
        </w:rPr>
        <w:t xml:space="preserve">1. Als voor de inwerkingtreding van deze wet op basis van de Wet voorkeursrecht gemeenten een besluit tot voorlopige aanwijzing van gronden of een besluit tot aanwijzing van gronden is genomen, blijft het oude recht van toepassing tot het besluit onherroepelijk wordt. </w:t>
      </w: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2. Als voor de inwerkingtreding van deze wet een besluit als bedoeld in artikel 10, zesde lid, of 12, eerste lid, van de Wet voorkeursrecht gemeenten is genomen, blijft het oude recht van toepassing tot he</w:t>
      </w:r>
      <w:r>
        <w:rPr>
          <w:rFonts w:ascii="Times New Roman" w:hAnsi="Times New Roman"/>
          <w:sz w:val="24"/>
          <w:szCs w:val="20"/>
        </w:rPr>
        <w:t>t besluit onherroepelijk wordt.</w:t>
      </w:r>
    </w:p>
    <w:p w:rsidRPr="00E97F6E" w:rsidR="00E97F6E" w:rsidP="00E0579B" w:rsidRDefault="00980FBD">
      <w:pPr>
        <w:ind w:firstLine="284"/>
        <w:rPr>
          <w:rFonts w:ascii="Times New Roman" w:hAnsi="Times New Roman" w:eastAsia="Verdana"/>
          <w:b/>
          <w:sz w:val="24"/>
        </w:rPr>
      </w:pPr>
      <w:r>
        <w:rPr>
          <w:rFonts w:ascii="Times New Roman" w:hAnsi="Times New Roman" w:eastAsia="Verdana"/>
          <w:sz w:val="24"/>
        </w:rPr>
        <w:t>3</w:t>
      </w:r>
      <w:r w:rsidRPr="00E97F6E" w:rsidR="00E97F6E">
        <w:rPr>
          <w:rFonts w:ascii="Times New Roman" w:hAnsi="Times New Roman" w:eastAsia="Verdana"/>
          <w:sz w:val="24"/>
        </w:rPr>
        <w:t>. Als voor de inwerkingtreding van deze wet een rechtsgeding met betrekking tot een op basis van de Wet voorkeursrecht gemeenten onherroepelijk gevestigd voorkeursrecht aanhangig is, blijft het oude recht van toepassing tot het rechtsgeding onherroepelijk is afgerond.</w:t>
      </w:r>
    </w:p>
    <w:p w:rsidRPr="00E97F6E" w:rsidR="00E97F6E" w:rsidP="00E0579B" w:rsidRDefault="00980FBD">
      <w:pPr>
        <w:ind w:firstLine="284"/>
        <w:rPr>
          <w:rFonts w:ascii="Times New Roman" w:hAnsi="Times New Roman" w:eastAsia="Verdana"/>
          <w:b/>
          <w:sz w:val="24"/>
        </w:rPr>
      </w:pPr>
      <w:r>
        <w:rPr>
          <w:rFonts w:ascii="Times New Roman" w:hAnsi="Times New Roman" w:eastAsia="Verdana"/>
          <w:sz w:val="24"/>
        </w:rPr>
        <w:t>4</w:t>
      </w:r>
      <w:r w:rsidRPr="00E97F6E" w:rsidR="00E97F6E">
        <w:rPr>
          <w:rFonts w:ascii="Times New Roman" w:hAnsi="Times New Roman" w:eastAsia="Verdana"/>
          <w:sz w:val="24"/>
        </w:rPr>
        <w:t>. Als voor de inwerkingtreding van deze wet een vordering tot schadevergoeding op grond van artikel 25 van de Wet voorkeursrecht gemeenten bij de gemeente, de provincie of de Staat is ingediend, blijft het oude recht van toepassing tot het tijdstip waarop een vonnis over die vordering in kracht van gewijsde is gegaan en, bij toewijzing van die vordering, de schade volledig is vergoed.</w:t>
      </w:r>
    </w:p>
    <w:p w:rsidRPr="00E97F6E" w:rsidR="00E97F6E" w:rsidP="00E97F6E" w:rsidRDefault="00E97F6E">
      <w:pPr>
        <w:rPr>
          <w:rFonts w:ascii="Times New Roman" w:hAnsi="Times New Roman" w:eastAsia="Verdana"/>
          <w:b/>
          <w:sz w:val="24"/>
        </w:rPr>
      </w:pPr>
    </w:p>
    <w:p w:rsidR="00E97F6E" w:rsidP="00E0579B" w:rsidRDefault="00E97F6E">
      <w:pPr>
        <w:rPr>
          <w:rFonts w:ascii="Times New Roman" w:hAnsi="Times New Roman" w:eastAsia="Verdana"/>
          <w:b/>
          <w:sz w:val="24"/>
        </w:rPr>
      </w:pPr>
      <w:r w:rsidRPr="00E0579B">
        <w:rPr>
          <w:rFonts w:ascii="Times New Roman" w:hAnsi="Times New Roman" w:eastAsia="Verdana"/>
          <w:b/>
          <w:sz w:val="24"/>
        </w:rPr>
        <w:t>Artikel 4.2 (gelijkstelling voorkeursrechten Wvg)</w:t>
      </w:r>
    </w:p>
    <w:p w:rsidRPr="00E0579B" w:rsidR="00E0579B" w:rsidP="00E0579B" w:rsidRDefault="00E0579B">
      <w:pPr>
        <w:rPr>
          <w:rFonts w:ascii="Times New Roman" w:hAnsi="Times New Roman" w:eastAsia="Verdana"/>
          <w:b/>
          <w:sz w:val="24"/>
        </w:rPr>
      </w:pP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1. Een onherroepelijk voorkeursrecht, gevestigd op grond van</w:t>
      </w:r>
      <w:r w:rsidRPr="00980FBD" w:rsidR="00980FBD">
        <w:t xml:space="preserve"> </w:t>
      </w:r>
      <w:r w:rsidRPr="00980FBD" w:rsidR="00980FBD">
        <w:rPr>
          <w:rFonts w:ascii="Times New Roman" w:hAnsi="Times New Roman" w:eastAsia="Verdana"/>
          <w:sz w:val="24"/>
        </w:rPr>
        <w:t>artikel 2 in samenhang met</w:t>
      </w:r>
      <w:r w:rsidRPr="00E97F6E">
        <w:rPr>
          <w:rFonts w:ascii="Times New Roman" w:hAnsi="Times New Roman" w:eastAsia="Verdana"/>
          <w:sz w:val="24"/>
        </w:rPr>
        <w:t xml:space="preserve"> artikel 3, eerste lid, van de Wet voorkeursrecht gemeenten geldt als een voorkeursrecht op grond van artikel 9.1, eerste lid, onder a, van de Omgevingswet. </w:t>
      </w:r>
    </w:p>
    <w:p w:rsidRPr="00980FBD" w:rsidR="00980FBD" w:rsidP="00980FBD" w:rsidRDefault="00980FBD">
      <w:pPr>
        <w:ind w:firstLine="284"/>
        <w:rPr>
          <w:rFonts w:ascii="Times New Roman" w:hAnsi="Times New Roman" w:eastAsia="Verdana"/>
          <w:sz w:val="24"/>
        </w:rPr>
      </w:pPr>
      <w:r w:rsidRPr="00980FBD">
        <w:rPr>
          <w:rFonts w:ascii="Times New Roman" w:hAnsi="Times New Roman" w:eastAsia="Verdana"/>
          <w:sz w:val="24"/>
        </w:rPr>
        <w:t xml:space="preserve">2. Een onherroepelijk voorkeursrecht gevestigd op grond van artikel 2 in samenhang met artikel 4, eerste lid, van de Wet voorkeursrecht gemeenten geldt als een voorkeursrecht op grond van artikel 9.1, eerste lid, onder b, van de Omgevingswet of als een voorkeursrecht op grond van een structuurvisie als bedoeld in artikel 2.1 van de Wet ruimtelijke ordening zolang nog geen gemeentelijke omgevingsvisie als bedoeld in artikel 3.1, eerste lid, van de Omgevingswet is vastgesteld. </w:t>
      </w: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 xml:space="preserve">3. Een onherroepelijk voorkeursrecht </w:t>
      </w:r>
      <w:r w:rsidRPr="00AB4E38" w:rsidR="00AB4E38">
        <w:rPr>
          <w:rFonts w:ascii="Times New Roman" w:hAnsi="Times New Roman" w:eastAsia="Verdana"/>
          <w:sz w:val="24"/>
        </w:rPr>
        <w:t xml:space="preserve">gevestigd op grond van artikel 2 in samenhang met </w:t>
      </w:r>
      <w:r w:rsidRPr="00E97F6E">
        <w:rPr>
          <w:rFonts w:ascii="Times New Roman" w:hAnsi="Times New Roman" w:eastAsia="Verdana"/>
          <w:sz w:val="24"/>
        </w:rPr>
        <w:t>artikel 5, eerste lid, van de Wet voorkeursrecht gemeenten geldt als een voorkeursrecht op grond van artikel 9.1, onder c, van de Omgevingswet.</w:t>
      </w: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4. Een onherroepelijk voorkeursrecht gevestigd op grond van artikel 6 van de Wet voorkeursrecht gemeenten geldt als een voorkeursrecht op basis van artikel 9.1, tweede lid, van de Omgevingswet.</w:t>
      </w: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5. Een onherroepelijk voorkeursrecht gevestigd op grond van artikel 9a, eerste lid, eerste zin, van de Wet voorkeursrecht gemeenten geldt als een voorkeursrecht op grond van artikel 9.1, eerste lid van de Omgevingswet.</w:t>
      </w:r>
    </w:p>
    <w:p w:rsidRPr="00E97F6E" w:rsidR="00E97F6E" w:rsidP="000C4BB1" w:rsidRDefault="00E97F6E">
      <w:pPr>
        <w:ind w:firstLine="284"/>
        <w:rPr>
          <w:rFonts w:ascii="Times New Roman" w:hAnsi="Times New Roman" w:eastAsia="Verdana"/>
          <w:b/>
          <w:sz w:val="24"/>
        </w:rPr>
      </w:pPr>
      <w:r w:rsidRPr="00E97F6E">
        <w:rPr>
          <w:rFonts w:ascii="Times New Roman" w:hAnsi="Times New Roman" w:eastAsia="Verdana"/>
          <w:sz w:val="24"/>
        </w:rPr>
        <w:t>6. Een onherroepelijk voorkeursrecht gevestigd op grond van artikel 9a, eerste lid, derde zin, van de Wet voorkeursrecht gemeenten geldt als een voorkeursrecht op grond van artikel 9.1, tweede lid, van de Omgevingswet.</w:t>
      </w: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 xml:space="preserve">7. Een onherroepelijk voorkeursrecht gevestigd op grond van artikel 9a, tweede lid, van de Wet voorkeursrecht gemeenten geldt als een voorkeursrecht op grond van artikel 9.1, </w:t>
      </w:r>
      <w:r w:rsidR="000C4BB1">
        <w:rPr>
          <w:rFonts w:ascii="Times New Roman" w:hAnsi="Times New Roman" w:eastAsia="Verdana"/>
          <w:sz w:val="24"/>
        </w:rPr>
        <w:t>eerste lid van de Omgevingswet.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4.3 (registratie voorkeursrechten)</w:t>
      </w:r>
    </w:p>
    <w:p w:rsidRPr="00E97F6E" w:rsidR="00E97F6E" w:rsidP="00E97F6E" w:rsidRDefault="00E97F6E">
      <w:pPr>
        <w:rPr>
          <w:rFonts w:ascii="Times New Roman" w:hAnsi="Times New Roman" w:eastAsia="Verdana"/>
          <w:b/>
          <w:sz w:val="24"/>
        </w:rPr>
      </w:pPr>
    </w:p>
    <w:p w:rsidRPr="00E97F6E" w:rsidR="00E97F6E" w:rsidP="00D10091" w:rsidRDefault="00E97F6E">
      <w:pPr>
        <w:ind w:firstLine="284"/>
        <w:rPr>
          <w:rFonts w:ascii="Times New Roman" w:hAnsi="Times New Roman" w:eastAsia="Verdana"/>
          <w:sz w:val="24"/>
        </w:rPr>
      </w:pPr>
      <w:r w:rsidRPr="00E97F6E">
        <w:rPr>
          <w:rFonts w:ascii="Times New Roman" w:hAnsi="Times New Roman" w:eastAsia="Verdana"/>
          <w:sz w:val="24"/>
        </w:rPr>
        <w:lastRenderedPageBreak/>
        <w:t>1. Voorkeursrechten die op het tijdstip van inwerkingtreding van deze wet staan ingeschreven in het gemeentelijke beperkingenregister als bedoeld in artikel 1 van de Wet kenbaarheid publiekrechtelijke beperkingen worden uiterlijk een jaar na inwerkingtreding van hoofdstuk 9 van de Omgevingswet in de openbare registers ingeschreven.</w:t>
      </w:r>
    </w:p>
    <w:p w:rsidRPr="00E97F6E" w:rsidR="00E97F6E" w:rsidP="00D10091" w:rsidRDefault="00E97F6E">
      <w:pPr>
        <w:ind w:firstLine="284"/>
        <w:rPr>
          <w:rFonts w:ascii="Times New Roman" w:hAnsi="Times New Roman" w:eastAsia="Verdana"/>
          <w:sz w:val="24"/>
        </w:rPr>
      </w:pPr>
      <w:r w:rsidRPr="00E97F6E">
        <w:rPr>
          <w:rFonts w:ascii="Times New Roman" w:hAnsi="Times New Roman" w:eastAsia="Verdana"/>
          <w:sz w:val="24"/>
        </w:rPr>
        <w:t xml:space="preserve">2. Het eerste lid is niet van toepassing op een voorkeursrecht dat aan het einde van de termijn waarbinnen het uiterlijk moet zijn ingeschreven niet meer van kracht is. </w:t>
      </w:r>
    </w:p>
    <w:p w:rsidRPr="00E97F6E" w:rsidR="00E97F6E" w:rsidP="00E97F6E" w:rsidRDefault="00E97F6E">
      <w:pPr>
        <w:rPr>
          <w:rFonts w:ascii="Times New Roman" w:hAnsi="Times New Roman" w:eastAsia="Verdana"/>
          <w:sz w:val="24"/>
        </w:rPr>
      </w:pPr>
    </w:p>
    <w:p w:rsidRPr="00E97F6E" w:rsidR="00E97F6E" w:rsidP="00E97F6E" w:rsidRDefault="00E97F6E">
      <w:pPr>
        <w:tabs>
          <w:tab w:val="left" w:pos="7410"/>
        </w:tabs>
        <w:rPr>
          <w:rFonts w:ascii="Times New Roman" w:hAnsi="Times New Roman" w:eastAsia="Verdana"/>
          <w:b/>
          <w:sz w:val="24"/>
        </w:rPr>
      </w:pPr>
      <w:r w:rsidRPr="00E97F6E">
        <w:rPr>
          <w:rFonts w:ascii="Times New Roman" w:hAnsi="Times New Roman" w:eastAsia="Verdana"/>
          <w:b/>
          <w:sz w:val="24"/>
        </w:rPr>
        <w:t>Artikel 4.4 (procedures onteigeningswet)</w:t>
      </w:r>
    </w:p>
    <w:p w:rsidRPr="00E97F6E" w:rsidR="00E97F6E" w:rsidP="00E97F6E" w:rsidRDefault="00E97F6E">
      <w:pPr>
        <w:rPr>
          <w:rFonts w:ascii="Times New Roman" w:hAnsi="Times New Roman" w:eastAsia="Verdana"/>
          <w:sz w:val="24"/>
        </w:rPr>
      </w:pPr>
    </w:p>
    <w:p w:rsidRPr="00E97F6E" w:rsidR="00E97F6E" w:rsidP="00D10091" w:rsidRDefault="00E97F6E">
      <w:pPr>
        <w:ind w:firstLine="284"/>
        <w:rPr>
          <w:rFonts w:ascii="Times New Roman" w:hAnsi="Times New Roman" w:eastAsia="Verdana"/>
          <w:sz w:val="24"/>
        </w:rPr>
      </w:pPr>
      <w:r w:rsidRPr="00E97F6E">
        <w:rPr>
          <w:rFonts w:ascii="Times New Roman" w:hAnsi="Times New Roman" w:eastAsia="Verdana"/>
          <w:sz w:val="24"/>
        </w:rPr>
        <w:t>1. Als voor de inwerkingtreding van deze wet een verzoek tot het nemen van een besluit als bedoeld in artikel 62, eerste lid, 72a, eerste lid, 72b, eerste lid, 72c, tweede lid, 78, eerste lid, en 122, tweede lid, van de onteigeningswet is ingediend, blijft het oude recht van toepassing</w:t>
      </w:r>
    </w:p>
    <w:p w:rsidRPr="00E97F6E" w:rsidR="00E97F6E" w:rsidP="00D10091" w:rsidRDefault="00E97F6E">
      <w:pPr>
        <w:ind w:firstLine="284"/>
        <w:rPr>
          <w:rFonts w:ascii="Times New Roman" w:hAnsi="Times New Roman" w:eastAsia="Verdana"/>
          <w:sz w:val="24"/>
        </w:rPr>
      </w:pPr>
      <w:r w:rsidRPr="00E97F6E">
        <w:rPr>
          <w:rFonts w:ascii="Times New Roman" w:hAnsi="Times New Roman" w:eastAsia="Verdana"/>
          <w:sz w:val="24"/>
        </w:rPr>
        <w:t>2. Als voor de inwerkingtreding van deze wet een rechtsgeding met betrekking tot een voltooide onteigening op grond van de onteigeningswet aanhangig is, blijft het oude recht van toepassing tot het tijdstip waarop het vonnis kracht van gewijsde heeft gekregen en ten uitvoer is gebracht.</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w:t>
      </w:r>
      <w:r w:rsidR="008832D3">
        <w:rPr>
          <w:rFonts w:ascii="Times New Roman" w:hAnsi="Times New Roman" w:eastAsia="Verdana"/>
          <w:b/>
          <w:sz w:val="24"/>
        </w:rPr>
        <w:t>5</w:t>
      </w:r>
      <w:r w:rsidRPr="00E97F6E">
        <w:rPr>
          <w:rFonts w:ascii="Times New Roman" w:hAnsi="Times New Roman" w:eastAsia="Verdana"/>
          <w:b/>
          <w:sz w:val="24"/>
        </w:rPr>
        <w:t xml:space="preserve"> (overgangsrecht inrichting gebieden)</w:t>
      </w:r>
    </w:p>
    <w:p w:rsidRPr="00E97F6E" w:rsidR="00E97F6E" w:rsidP="00E97F6E" w:rsidRDefault="00E97F6E">
      <w:pPr>
        <w:rPr>
          <w:rFonts w:ascii="Times New Roman" w:hAnsi="Times New Roman" w:eastAsia="Verdana"/>
          <w:b/>
          <w:sz w:val="24"/>
        </w:rPr>
      </w:pP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1. A</w:t>
      </w:r>
      <w:r w:rsidR="00DB7A0E">
        <w:rPr>
          <w:rFonts w:ascii="Times New Roman" w:hAnsi="Times New Roman" w:eastAsia="Verdana"/>
          <w:sz w:val="24"/>
        </w:rPr>
        <w:t>ls een ontwerp van een besluit:</w:t>
      </w: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a. tot vaststelling van een inrichtingsplan als bedoeld in artikel 17 van de Wet inrichting landelijk gebied,</w:t>
      </w: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b. tot vaststelling van een ruilplan als bedoeld in artikel 47 van de Wet inrichting landelijk gebied,</w:t>
      </w: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c. tot vaststelling van een lijst der geldelijke regelingen als bedoeld in artikel 47 van de Wet inrichting landelijk gebied,</w:t>
      </w:r>
    </w:p>
    <w:p w:rsidR="008B04B2" w:rsidP="00DB7A0E" w:rsidRDefault="00E97F6E">
      <w:pPr>
        <w:ind w:firstLine="284"/>
        <w:rPr>
          <w:rFonts w:ascii="Times New Roman" w:hAnsi="Times New Roman" w:eastAsia="Verdana"/>
          <w:sz w:val="24"/>
        </w:rPr>
      </w:pPr>
      <w:r w:rsidRPr="00E97F6E">
        <w:rPr>
          <w:rFonts w:ascii="Times New Roman" w:hAnsi="Times New Roman" w:eastAsia="Verdana"/>
          <w:sz w:val="24"/>
        </w:rPr>
        <w:t>d. als bedoeld in artikel 45 van de Wet inrichting landelijk gebied,</w:t>
      </w:r>
      <w:r w:rsidR="00DB7A0E">
        <w:rPr>
          <w:rFonts w:ascii="Times New Roman" w:hAnsi="Times New Roman" w:eastAsia="Verdana"/>
          <w:sz w:val="24"/>
        </w:rPr>
        <w:t xml:space="preserve"> </w:t>
      </w: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voor de inwerkingtreding van de Omgevingswet ter inzage is gelegd, blijft het oude recht van toepassing tot het besluit onherroepelijk wordt.</w:t>
      </w:r>
    </w:p>
    <w:p w:rsidRPr="00E97F6E" w:rsidR="00E97F6E" w:rsidP="00DB7A0E" w:rsidRDefault="00E97F6E">
      <w:pPr>
        <w:ind w:firstLine="284"/>
        <w:rPr>
          <w:rFonts w:ascii="Times New Roman" w:hAnsi="Times New Roman" w:eastAsia="Verdana"/>
          <w:sz w:val="24"/>
        </w:rPr>
      </w:pPr>
      <w:r w:rsidRPr="00E97F6E">
        <w:rPr>
          <w:rFonts w:ascii="Times New Roman" w:hAnsi="Times New Roman" w:eastAsia="Verdana"/>
          <w:sz w:val="24"/>
        </w:rPr>
        <w:t>2. Als voor de inwerkingtreding van de Omgevingswet voor een besluit als bedoeld in artikel 44 van de Wet inrichting landelijk gebied toepassing is gegeven aan artikel 4:8 van de Algemene wet bestuursrecht of het besluit is bekendgemaakt, blijft het oude recht van toepassing tot het besluit onherroepelijk wordt.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w:t>
      </w:r>
      <w:r w:rsidR="008832D3">
        <w:rPr>
          <w:rFonts w:ascii="Times New Roman" w:hAnsi="Times New Roman" w:eastAsia="Verdana"/>
          <w:b/>
          <w:sz w:val="24"/>
        </w:rPr>
        <w:t>6</w:t>
      </w:r>
      <w:r w:rsidRPr="00E97F6E">
        <w:rPr>
          <w:rFonts w:ascii="Times New Roman" w:hAnsi="Times New Roman" w:eastAsia="Verdana"/>
          <w:b/>
          <w:sz w:val="24"/>
        </w:rPr>
        <w:t xml:space="preserve"> (overgangsrecht inrichting gebieden)</w:t>
      </w:r>
    </w:p>
    <w:p w:rsidRPr="00E97F6E" w:rsidR="00E97F6E" w:rsidP="00E97F6E" w:rsidRDefault="00E97F6E">
      <w:pPr>
        <w:rPr>
          <w:rFonts w:ascii="Times New Roman" w:hAnsi="Times New Roman" w:eastAsia="Verdana"/>
          <w:sz w:val="24"/>
        </w:rPr>
      </w:pPr>
    </w:p>
    <w:p w:rsidRPr="00E97F6E" w:rsidR="00E97F6E" w:rsidP="001600A0" w:rsidRDefault="00E97F6E">
      <w:pPr>
        <w:ind w:firstLine="284"/>
        <w:rPr>
          <w:rFonts w:ascii="Times New Roman" w:hAnsi="Times New Roman" w:eastAsia="Verdana"/>
          <w:sz w:val="24"/>
        </w:rPr>
      </w:pPr>
      <w:r w:rsidRPr="00E97F6E">
        <w:rPr>
          <w:rFonts w:ascii="Times New Roman" w:hAnsi="Times New Roman" w:eastAsia="Verdana"/>
          <w:sz w:val="24"/>
        </w:rPr>
        <w:t>1. Een inrichtingsplan als bedoeld in artikel 17 van de Wet inrichting landelijk gebied geldt voor de onderdelen waartegen beroep openstaat als inrichtingsbesluit als bedoeld in artikel 12.7 van de Omgevingswet en voor de overige onderdelen als een inrichtingsprogramma als bedoeld in artikel 3.14a van de Omgevingswet.</w:t>
      </w:r>
    </w:p>
    <w:p w:rsidRPr="00E97F6E" w:rsidR="00E97F6E" w:rsidP="001600A0" w:rsidRDefault="00E97F6E">
      <w:pPr>
        <w:ind w:firstLine="284"/>
        <w:rPr>
          <w:rFonts w:ascii="Times New Roman" w:hAnsi="Times New Roman" w:eastAsia="Verdana"/>
          <w:sz w:val="24"/>
        </w:rPr>
      </w:pPr>
      <w:r w:rsidRPr="00E97F6E">
        <w:rPr>
          <w:rFonts w:ascii="Times New Roman" w:hAnsi="Times New Roman" w:eastAsia="Verdana"/>
          <w:sz w:val="24"/>
        </w:rPr>
        <w:t>2. Een ruilplan als bedoeld in artikel 47 van de Wet inrichting landelijk gebied geldt als ruilbesluit als bedoeld in artikel 12.22 van de Omgevingswet.</w:t>
      </w:r>
    </w:p>
    <w:p w:rsidRPr="00E97F6E" w:rsidR="00E97F6E" w:rsidP="001600A0" w:rsidRDefault="00E97F6E">
      <w:pPr>
        <w:ind w:firstLine="284"/>
        <w:rPr>
          <w:rFonts w:ascii="Times New Roman" w:hAnsi="Times New Roman" w:eastAsia="Verdana"/>
          <w:sz w:val="24"/>
        </w:rPr>
      </w:pPr>
      <w:r w:rsidRPr="00E97F6E">
        <w:rPr>
          <w:rFonts w:ascii="Times New Roman" w:hAnsi="Times New Roman" w:eastAsia="Verdana"/>
          <w:sz w:val="24"/>
        </w:rPr>
        <w:t>3. In afwijking van het eerste lid vervalt een inrichtingsplan voor zover dat voorziet in de toewijzing en regeling van het beheer en onderhoud van waterlopen, dijken of kaden met de daartoe behorende kunstwerken, bedoeld in artikel 28, onder b, van de Wet inrichting landelijk gebied, op het tijdstip waarop deze wet in werking treedt.</w:t>
      </w:r>
    </w:p>
    <w:p w:rsidRPr="00E97F6E" w:rsidR="00E97F6E" w:rsidP="00E97F6E" w:rsidRDefault="00E97F6E">
      <w:pPr>
        <w:rPr>
          <w:rFonts w:ascii="Times New Roman" w:hAnsi="Times New Roman" w:eastAsia="Verdana"/>
          <w:sz w:val="24"/>
        </w:rPr>
      </w:pPr>
    </w:p>
    <w:p w:rsidR="00E97F6E" w:rsidP="001600A0" w:rsidRDefault="00E97F6E">
      <w:pPr>
        <w:rPr>
          <w:rFonts w:ascii="Times New Roman" w:hAnsi="Times New Roman" w:eastAsia="Verdana"/>
          <w:b/>
          <w:sz w:val="24"/>
        </w:rPr>
      </w:pPr>
      <w:r w:rsidRPr="001600A0">
        <w:rPr>
          <w:rFonts w:ascii="Times New Roman" w:hAnsi="Times New Roman" w:eastAsia="Verdana"/>
          <w:b/>
          <w:sz w:val="24"/>
        </w:rPr>
        <w:t>Artikel 4.</w:t>
      </w:r>
      <w:r w:rsidR="008832D3">
        <w:rPr>
          <w:rFonts w:ascii="Times New Roman" w:hAnsi="Times New Roman" w:eastAsia="Verdana"/>
          <w:b/>
          <w:sz w:val="24"/>
        </w:rPr>
        <w:t>7</w:t>
      </w:r>
      <w:r w:rsidRPr="001600A0">
        <w:rPr>
          <w:rFonts w:ascii="Times New Roman" w:hAnsi="Times New Roman" w:eastAsia="Verdana"/>
          <w:b/>
          <w:sz w:val="24"/>
        </w:rPr>
        <w:t xml:space="preserve"> (overgangsrecht inrichting gebieden)</w:t>
      </w:r>
    </w:p>
    <w:p w:rsidRPr="001600A0" w:rsidR="001600A0" w:rsidP="001600A0" w:rsidRDefault="001600A0">
      <w:pPr>
        <w:rPr>
          <w:rFonts w:ascii="Times New Roman" w:hAnsi="Times New Roman" w:eastAsia="Verdana"/>
          <w:b/>
          <w:sz w:val="24"/>
        </w:rPr>
      </w:pPr>
    </w:p>
    <w:p w:rsidRPr="00E97F6E" w:rsidR="00E97F6E" w:rsidP="001600A0" w:rsidRDefault="00E97F6E">
      <w:pPr>
        <w:ind w:firstLine="284"/>
        <w:rPr>
          <w:rFonts w:ascii="Times New Roman" w:hAnsi="Times New Roman" w:eastAsia="Verdana"/>
          <w:sz w:val="24"/>
        </w:rPr>
      </w:pPr>
      <w:r w:rsidRPr="00E97F6E">
        <w:rPr>
          <w:rFonts w:ascii="Times New Roman" w:hAnsi="Times New Roman" w:eastAsia="Verdana"/>
          <w:sz w:val="24"/>
        </w:rPr>
        <w:t xml:space="preserve">1. De </w:t>
      </w:r>
      <w:hyperlink w:history="1" r:id="rId8">
        <w:r w:rsidRPr="00E97F6E">
          <w:rPr>
            <w:rFonts w:ascii="Times New Roman" w:hAnsi="Times New Roman" w:eastAsia="Verdana"/>
            <w:sz w:val="24"/>
          </w:rPr>
          <w:t>Landinrichtingswet</w:t>
        </w:r>
      </w:hyperlink>
      <w:r w:rsidRPr="00E97F6E">
        <w:rPr>
          <w:rFonts w:ascii="Times New Roman" w:hAnsi="Times New Roman" w:eastAsia="Verdana"/>
          <w:sz w:val="24"/>
        </w:rPr>
        <w:t xml:space="preserve"> blijft van toepassing op landinrichtingsprojecten die al in voorbereiding of in uitvoering waren op 1 januari 2007, waarbij in </w:t>
      </w:r>
      <w:hyperlink w:history="1" r:id="rId9">
        <w:r w:rsidRPr="00E97F6E">
          <w:rPr>
            <w:rFonts w:ascii="Times New Roman" w:hAnsi="Times New Roman" w:eastAsia="Verdana"/>
            <w:sz w:val="24"/>
          </w:rPr>
          <w:t>artikel 187, eerste lid, van de Landinrichtingswet</w:t>
        </w:r>
      </w:hyperlink>
      <w:r w:rsidRPr="00E97F6E">
        <w:rPr>
          <w:rFonts w:ascii="Times New Roman" w:hAnsi="Times New Roman" w:eastAsia="Verdana"/>
          <w:sz w:val="24"/>
        </w:rPr>
        <w:t xml:space="preserve"> in plaats van de zinsnede «vast recht, als bedoeld in de </w:t>
      </w:r>
      <w:hyperlink w:history="1" r:id="rId10">
        <w:r w:rsidRPr="00E97F6E">
          <w:rPr>
            <w:rFonts w:ascii="Times New Roman" w:hAnsi="Times New Roman" w:eastAsia="Verdana"/>
            <w:sz w:val="24"/>
          </w:rPr>
          <w:t>Wet tarieven in burgerlijke zaken</w:t>
        </w:r>
      </w:hyperlink>
      <w:r w:rsidRPr="00E97F6E">
        <w:rPr>
          <w:rFonts w:ascii="Times New Roman" w:hAnsi="Times New Roman" w:eastAsia="Verdana"/>
          <w:sz w:val="24"/>
        </w:rPr>
        <w:t xml:space="preserve"> (Stb. 1960, 541)» wordt gelezen: «griffierecht, als bedoeld in de </w:t>
      </w:r>
      <w:hyperlink w:history="1" r:id="rId11">
        <w:r w:rsidRPr="00E97F6E">
          <w:rPr>
            <w:rFonts w:ascii="Times New Roman" w:hAnsi="Times New Roman" w:eastAsia="Verdana"/>
            <w:sz w:val="24"/>
          </w:rPr>
          <w:t>Wet griffierechten burgerlijke zaken</w:t>
        </w:r>
      </w:hyperlink>
      <w:r w:rsidRPr="00E97F6E">
        <w:rPr>
          <w:rFonts w:ascii="Times New Roman" w:hAnsi="Times New Roman" w:eastAsia="Verdana"/>
          <w:sz w:val="24"/>
        </w:rPr>
        <w:t xml:space="preserve">» en waarbij, nadat de lijst der geldelijke regelingen door de rechtbank is gesloten op grond van </w:t>
      </w:r>
      <w:hyperlink w:history="1" r:id="rId12">
        <w:r w:rsidRPr="00E97F6E">
          <w:rPr>
            <w:rFonts w:ascii="Times New Roman" w:hAnsi="Times New Roman" w:eastAsia="Verdana"/>
            <w:sz w:val="24"/>
          </w:rPr>
          <w:t>artikel 217, eerste lid, van de Landinrichtingswet</w:t>
        </w:r>
      </w:hyperlink>
      <w:r w:rsidRPr="00E97F6E">
        <w:rPr>
          <w:rFonts w:ascii="Times New Roman" w:hAnsi="Times New Roman" w:eastAsia="Verdana"/>
          <w:sz w:val="24"/>
        </w:rPr>
        <w:t xml:space="preserve">, het door de eigenaar verschuldigde bedrag, bedoeld in </w:t>
      </w:r>
      <w:hyperlink w:history="1" r:id="rId13">
        <w:r w:rsidRPr="00E97F6E">
          <w:rPr>
            <w:rFonts w:ascii="Times New Roman" w:hAnsi="Times New Roman" w:eastAsia="Verdana"/>
            <w:sz w:val="24"/>
          </w:rPr>
          <w:t>artikel 223, tweede lid, van de Landinrichtingswet</w:t>
        </w:r>
      </w:hyperlink>
      <w:r w:rsidRPr="00E97F6E">
        <w:rPr>
          <w:rFonts w:ascii="Times New Roman" w:hAnsi="Times New Roman" w:eastAsia="Verdana"/>
          <w:sz w:val="24"/>
        </w:rPr>
        <w:t xml:space="preserve"> wordt gecorrigeerd met een door gedeputeerde staten vastgestelde correctiefactor, zijnde het quotiënt van de definitieve kosten en de kosten zoals deze oorspronkelijk in de lijst der geldelijke regelingen waren opgenomen.</w:t>
      </w:r>
    </w:p>
    <w:p w:rsidRPr="00E97F6E" w:rsidR="00E97F6E" w:rsidP="00C328B7" w:rsidRDefault="00E97F6E">
      <w:pPr>
        <w:ind w:firstLine="284"/>
        <w:rPr>
          <w:rFonts w:ascii="Times New Roman" w:hAnsi="Times New Roman" w:eastAsia="Verdana"/>
          <w:sz w:val="24"/>
        </w:rPr>
      </w:pPr>
      <w:r w:rsidRPr="00E97F6E">
        <w:rPr>
          <w:rFonts w:ascii="Times New Roman" w:hAnsi="Times New Roman" w:eastAsia="Verdana"/>
          <w:sz w:val="24"/>
        </w:rPr>
        <w:t xml:space="preserve">2. </w:t>
      </w:r>
      <w:hyperlink w:history="1" r:id="rId14">
        <w:r w:rsidRPr="00E97F6E">
          <w:rPr>
            <w:rFonts w:ascii="Times New Roman" w:hAnsi="Times New Roman" w:eastAsia="Verdana"/>
            <w:sz w:val="24"/>
          </w:rPr>
          <w:t>De Herinrichtingswet Oost-Groningen en de Gronings-Drentse Veenkoloniën</w:t>
        </w:r>
      </w:hyperlink>
      <w:r w:rsidRPr="00E97F6E">
        <w:rPr>
          <w:rFonts w:ascii="Times New Roman" w:hAnsi="Times New Roman" w:eastAsia="Verdana"/>
          <w:sz w:val="24"/>
        </w:rPr>
        <w:t xml:space="preserve"> blijft van toepassing op herinrichtingsprojecten op grond van die wet die al in voorbereiding of in uitvoering waren op 1 juli 2014.</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w:t>
      </w:r>
      <w:r w:rsidR="008832D3">
        <w:rPr>
          <w:rFonts w:ascii="Times New Roman" w:hAnsi="Times New Roman" w:eastAsia="Verdana"/>
          <w:b/>
          <w:sz w:val="24"/>
        </w:rPr>
        <w:t>8</w:t>
      </w:r>
      <w:r w:rsidRPr="00E97F6E">
        <w:rPr>
          <w:rFonts w:ascii="Times New Roman" w:hAnsi="Times New Roman" w:eastAsia="Verdana"/>
          <w:b/>
          <w:sz w:val="24"/>
        </w:rPr>
        <w:t xml:space="preserve"> (schade gedoogplicht inrichting en onteigening)</w:t>
      </w:r>
    </w:p>
    <w:p w:rsidRPr="00E97F6E" w:rsidR="00E97F6E" w:rsidP="00E97F6E" w:rsidRDefault="00E97F6E">
      <w:pPr>
        <w:rPr>
          <w:rFonts w:ascii="Times New Roman" w:hAnsi="Times New Roman" w:eastAsia="Verdana"/>
          <w:sz w:val="24"/>
        </w:rPr>
      </w:pPr>
    </w:p>
    <w:p w:rsidRPr="00E97F6E" w:rsidR="00E97F6E" w:rsidP="00C328B7" w:rsidRDefault="00E97F6E">
      <w:pPr>
        <w:ind w:firstLine="284"/>
        <w:rPr>
          <w:rFonts w:ascii="Times New Roman" w:hAnsi="Times New Roman" w:eastAsia="Verdana"/>
          <w:sz w:val="24"/>
        </w:rPr>
      </w:pPr>
      <w:r w:rsidRPr="00E97F6E">
        <w:rPr>
          <w:rFonts w:ascii="Times New Roman" w:hAnsi="Times New Roman" w:eastAsia="Verdana"/>
          <w:sz w:val="24"/>
        </w:rPr>
        <w:t>Als voor de inwerkingtreding van deze wet schade is ontstaan als gevolg van een gedoogplicht als bedoeld in:</w:t>
      </w:r>
    </w:p>
    <w:p w:rsidRPr="00E97F6E" w:rsidR="00E97F6E" w:rsidP="00C328B7" w:rsidRDefault="00E97F6E">
      <w:pPr>
        <w:ind w:firstLine="284"/>
        <w:rPr>
          <w:rFonts w:ascii="Times New Roman" w:hAnsi="Times New Roman" w:eastAsia="Verdana"/>
          <w:sz w:val="24"/>
        </w:rPr>
      </w:pPr>
      <w:r w:rsidRPr="00E97F6E">
        <w:rPr>
          <w:rFonts w:ascii="Times New Roman" w:hAnsi="Times New Roman" w:eastAsia="Verdana"/>
          <w:sz w:val="24"/>
        </w:rPr>
        <w:t>a. de artikelen 22 en 41 van de Wet inrichting landelijk gebied, of</w:t>
      </w:r>
    </w:p>
    <w:p w:rsidR="00E45E75" w:rsidP="00C328B7" w:rsidRDefault="00E97F6E">
      <w:pPr>
        <w:ind w:firstLine="284"/>
        <w:rPr>
          <w:rFonts w:ascii="Times New Roman" w:hAnsi="Times New Roman" w:eastAsia="Verdana"/>
          <w:sz w:val="24"/>
        </w:rPr>
      </w:pPr>
      <w:r w:rsidRPr="00E97F6E">
        <w:rPr>
          <w:rFonts w:ascii="Times New Roman" w:hAnsi="Times New Roman" w:eastAsia="Verdana"/>
          <w:sz w:val="24"/>
        </w:rPr>
        <w:t>b. artikel 64b, tweede lid, van de onteigeningswet,</w:t>
      </w:r>
    </w:p>
    <w:p w:rsidRPr="00E97F6E" w:rsidR="00E97F6E" w:rsidP="00C328B7" w:rsidRDefault="00E97F6E">
      <w:pPr>
        <w:ind w:firstLine="284"/>
        <w:rPr>
          <w:rFonts w:ascii="Times New Roman" w:hAnsi="Times New Roman" w:eastAsia="Verdana"/>
          <w:sz w:val="24"/>
        </w:rPr>
      </w:pPr>
      <w:r w:rsidRPr="00E97F6E">
        <w:rPr>
          <w:rFonts w:ascii="Times New Roman" w:hAnsi="Times New Roman" w:eastAsia="Verdana"/>
          <w:sz w:val="24"/>
        </w:rPr>
        <w:t>blijft het oude recht van toepassing op een vordering tot schadevergoeding die is gedaan binnen vijf jaar na de inwerkingtreding van de wet en bij toewijzing van die vordering, tot de schade volledig is vergoed.</w:t>
      </w:r>
    </w:p>
    <w:p w:rsidR="00AB4E38" w:rsidP="00AB4E38" w:rsidRDefault="00AB4E38">
      <w:pPr>
        <w:tabs>
          <w:tab w:val="left" w:pos="284"/>
        </w:tabs>
        <w:rPr>
          <w:rFonts w:ascii="Times New Roman" w:hAnsi="Times New Roman"/>
          <w:b/>
          <w:sz w:val="24"/>
          <w:szCs w:val="20"/>
        </w:rPr>
      </w:pPr>
    </w:p>
    <w:p w:rsidRPr="00AB4E38" w:rsidR="00AB4E38" w:rsidP="00AB4E38" w:rsidRDefault="00AB4E38">
      <w:pPr>
        <w:tabs>
          <w:tab w:val="left" w:pos="284"/>
        </w:tabs>
        <w:rPr>
          <w:rFonts w:ascii="Times New Roman" w:hAnsi="Times New Roman"/>
          <w:b/>
          <w:sz w:val="24"/>
          <w:szCs w:val="20"/>
        </w:rPr>
      </w:pPr>
      <w:r w:rsidRPr="00AB4E38">
        <w:rPr>
          <w:rFonts w:ascii="Times New Roman" w:hAnsi="Times New Roman"/>
          <w:b/>
          <w:sz w:val="24"/>
          <w:szCs w:val="20"/>
        </w:rPr>
        <w:t>Artikel 4.9 (financiële bijdragen voor ontwikkelingen van een gebied)</w:t>
      </w:r>
    </w:p>
    <w:p w:rsidRPr="00AB4E38" w:rsidR="00AB4E38" w:rsidP="00AB4E38" w:rsidRDefault="00AB4E38">
      <w:pPr>
        <w:tabs>
          <w:tab w:val="left" w:pos="284"/>
        </w:tabs>
        <w:rPr>
          <w:rFonts w:ascii="Times New Roman" w:hAnsi="Times New Roman"/>
          <w:sz w:val="24"/>
          <w:szCs w:val="20"/>
        </w:rPr>
      </w:pP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 xml:space="preserve">Zolang nog geen gemeentelijke omgevingsvisie als bedoeld in artikel 3.1, eerste lid, van de Omgevingswet is vastgesteld, kan het college van burgemeester en wethouders in een overeenkomst als bedoeld in artikel 13.22, eerste lid, van de Omgevingswet ook bepalingen opnemen over financiële bijdragen voor ontwikkelingen van een gebied op basis van een structuurvisie als bedoeld in artikel 2.1, eerste lid, van de Wet ruimtelijke ordening. </w:t>
      </w:r>
    </w:p>
    <w:p w:rsidR="00E97F6E" w:rsidP="00E97F6E" w:rsidRDefault="00E97F6E">
      <w:pPr>
        <w:rPr>
          <w:rFonts w:ascii="Times New Roman" w:hAnsi="Times New Roman" w:eastAsia="Verdana"/>
          <w:sz w:val="24"/>
        </w:rPr>
      </w:pPr>
    </w:p>
    <w:p w:rsidRPr="00E97F6E" w:rsidR="00C328B7" w:rsidP="00E97F6E" w:rsidRDefault="00C328B7">
      <w:pPr>
        <w:rPr>
          <w:rFonts w:ascii="Times New Roman" w:hAnsi="Times New Roman" w:eastAsia="Verdana"/>
          <w:sz w:val="24"/>
        </w:rPr>
      </w:pPr>
    </w:p>
    <w:p w:rsidRPr="008832D3" w:rsidR="008832D3" w:rsidP="008832D3" w:rsidRDefault="008832D3">
      <w:pPr>
        <w:tabs>
          <w:tab w:val="left" w:pos="284"/>
        </w:tabs>
        <w:rPr>
          <w:rFonts w:ascii="Times New Roman" w:hAnsi="Times New Roman"/>
          <w:b/>
          <w:sz w:val="24"/>
          <w:szCs w:val="20"/>
        </w:rPr>
      </w:pPr>
      <w:r w:rsidRPr="008832D3">
        <w:rPr>
          <w:rFonts w:ascii="Times New Roman" w:hAnsi="Times New Roman"/>
          <w:b/>
          <w:sz w:val="24"/>
          <w:szCs w:val="20"/>
        </w:rPr>
        <w:t>HOOFDSTUK 4a OVERIGE BEPALINGEN</w:t>
      </w:r>
    </w:p>
    <w:p w:rsidRPr="008832D3" w:rsidR="008832D3" w:rsidP="008832D3" w:rsidRDefault="008832D3">
      <w:pPr>
        <w:tabs>
          <w:tab w:val="left" w:pos="284"/>
        </w:tabs>
        <w:rPr>
          <w:rFonts w:ascii="Times New Roman" w:hAnsi="Times New Roman"/>
          <w:b/>
          <w:sz w:val="24"/>
          <w:szCs w:val="20"/>
        </w:rPr>
      </w:pPr>
    </w:p>
    <w:p w:rsidRPr="008832D3" w:rsidR="008832D3" w:rsidP="008832D3" w:rsidRDefault="008832D3">
      <w:pPr>
        <w:tabs>
          <w:tab w:val="left" w:pos="284"/>
        </w:tabs>
        <w:rPr>
          <w:rFonts w:ascii="Times New Roman" w:hAnsi="Times New Roman"/>
          <w:b/>
          <w:sz w:val="24"/>
          <w:szCs w:val="20"/>
        </w:rPr>
      </w:pPr>
      <w:r w:rsidRPr="008832D3">
        <w:rPr>
          <w:rFonts w:ascii="Times New Roman" w:hAnsi="Times New Roman"/>
          <w:b/>
          <w:sz w:val="24"/>
          <w:szCs w:val="20"/>
        </w:rPr>
        <w:t>Artikel 4a.1 (Aanvullingswet geluid Omgevingswet)</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Als het bij koninklijke boodschap van 5 oktober 2018 ingediende voorstel van wet tot wijziging van de Omgevingswet en enkele andere wetten met het oog op de beheersing van geluid afkomstig van wegen, spoorwegen en industrieterreinen (Aanvullingswet geluid Omgevingswet) (Kamerstukken 35054) tot wet is of wordt verheven en</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A. artikel 1.1, onder X, van die wet eerder in werking is getreden of treedt dan artikel 1.1, onder K, onder 2, van deze wet, komt artikel 1.1, onder K, onder 2, van deze wet te luiden:</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 xml:space="preserve">2. In artikel 16.24 wordt “de paragrafen 16.3.1a tot en met 16.3.6” vervangen door “de paragrafen 16.3.1a tot en met 16.3.9”. </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lastRenderedPageBreak/>
        <w:tab/>
        <w:t>B. artikel 2.3, onder 1, onder b en c, van die wet eerder in werking is getreden of treedt dan artikel 2.1, onder B, onder 1, onder b, van deze wet, komt artikel 2.1, onder B, onder 1, onder b, van deze wet te luiden:</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b. In de zinsnede met betrekking tot de Omgevingswet wordt, onder verlettering van de onderdelen o tot en met q tot p tot en met r, een onderdeel ingevoegd,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o. artikel 11.3.</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C. artikel 2.3, onder 2, onder b, van die wet eerder in werking is getreden of treedt dan artikel 2.1, onder B, onder 2, onder b, van deze wet, komt artikel 2.1, onder B, onder 2, onder b, van deze wet te luiden:</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b. In de zinsnede met betrekking tot de Omgevingswet worden, onder verlettering van de onderdelen j en k tot l en m, twee onderdelen ingevoegd,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j. artikel 12.7</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k. artikel 12.18.</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b/>
          <w:sz w:val="24"/>
          <w:szCs w:val="20"/>
        </w:rPr>
      </w:pPr>
      <w:r w:rsidRPr="008832D3">
        <w:rPr>
          <w:rFonts w:ascii="Times New Roman" w:hAnsi="Times New Roman"/>
          <w:b/>
          <w:sz w:val="24"/>
          <w:szCs w:val="20"/>
        </w:rPr>
        <w:t>Artikel 4a.2 (Aanvullingswet bodem Omgevingswet)</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Als het bij koninklijke boodschap van 22 januari 2018 ingediende voorstel van wet tot wijziging van de Omgevingswet en enkele andere wetten met het oog op</w:t>
      </w:r>
      <w:r w:rsidRPr="008832D3">
        <w:rPr>
          <w:rFonts w:ascii="Times New Roman" w:hAnsi="Times New Roman"/>
          <w:bCs/>
          <w:sz w:val="24"/>
          <w:szCs w:val="20"/>
        </w:rPr>
        <w:t xml:space="preserve"> het beschermen van de bodem, met inbegrip van het grondwater, en het duurzaam en doelmatig gebruik van de bodem (Aanvullingswet bodem Omgevingswet) (Kamerstukken 34864)</w:t>
      </w:r>
      <w:r w:rsidRPr="008832D3">
        <w:rPr>
          <w:rFonts w:ascii="Times New Roman" w:hAnsi="Times New Roman"/>
          <w:sz w:val="24"/>
          <w:szCs w:val="20"/>
        </w:rPr>
        <w:t xml:space="preserve"> tot wet is of wordt verheven en artikel 1.1, onder B, van die wet eerder in werking is getreden of treedt dan artikel 1.1, onder C en D, van deze wet, wordt artikel 1.1 van deze wet als volgt gewijzigd:</w:t>
      </w:r>
    </w:p>
    <w:p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r>
    </w:p>
    <w:p w:rsidRPr="00AB4E38" w:rsidR="00AB4E38" w:rsidP="00AB4E38" w:rsidRDefault="00AB4E38">
      <w:pPr>
        <w:tabs>
          <w:tab w:val="left" w:pos="284"/>
        </w:tabs>
        <w:rPr>
          <w:rFonts w:ascii="Times New Roman" w:hAnsi="Times New Roman"/>
          <w:sz w:val="24"/>
          <w:szCs w:val="20"/>
        </w:rPr>
      </w:pPr>
      <w:r>
        <w:rPr>
          <w:rFonts w:ascii="Times New Roman" w:hAnsi="Times New Roman"/>
          <w:sz w:val="24"/>
          <w:szCs w:val="20"/>
        </w:rPr>
        <w:tab/>
      </w:r>
      <w:r w:rsidRPr="00AB4E38">
        <w:rPr>
          <w:rFonts w:ascii="Times New Roman" w:hAnsi="Times New Roman"/>
          <w:sz w:val="24"/>
          <w:szCs w:val="20"/>
        </w:rPr>
        <w:t xml:space="preserve">1. In artikel 5.7, derde lid, onder a, wordt “eenzelfde” vervangen door “dezelfde”.  </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r>
      <w:r w:rsidR="00AB4E38">
        <w:rPr>
          <w:rFonts w:ascii="Times New Roman" w:hAnsi="Times New Roman"/>
          <w:sz w:val="24"/>
          <w:szCs w:val="20"/>
        </w:rPr>
        <w:t>2</w:t>
      </w:r>
      <w:r w:rsidRPr="008832D3">
        <w:rPr>
          <w:rFonts w:ascii="Times New Roman" w:hAnsi="Times New Roman"/>
          <w:sz w:val="24"/>
          <w:szCs w:val="20"/>
        </w:rPr>
        <w:t>. In onderdeel C wordt, onder vernummering van onderdeel 3 tot 4, een onderdeel ingevoegd,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3. In artikel 4.12, eerste lid, onder a, onder 3˚, wordt “met betrekking tot” vervangen door “als het gaat om”.</w:t>
      </w:r>
    </w:p>
    <w:p w:rsidRPr="008832D3" w:rsidR="008832D3" w:rsidP="008832D3" w:rsidRDefault="008832D3">
      <w:pPr>
        <w:tabs>
          <w:tab w:val="left" w:pos="284"/>
        </w:tabs>
        <w:rPr>
          <w:rFonts w:ascii="Times New Roman" w:hAnsi="Times New Roman"/>
          <w:sz w:val="24"/>
          <w:szCs w:val="20"/>
        </w:rPr>
      </w:pPr>
    </w:p>
    <w:p w:rsidRPr="008832D3" w:rsidR="008832D3" w:rsidP="008832D3" w:rsidRDefault="00AB4E38">
      <w:pPr>
        <w:tabs>
          <w:tab w:val="left" w:pos="284"/>
        </w:tabs>
        <w:rPr>
          <w:rFonts w:ascii="Times New Roman" w:hAnsi="Times New Roman"/>
          <w:sz w:val="24"/>
          <w:szCs w:val="20"/>
        </w:rPr>
      </w:pPr>
      <w:r>
        <w:rPr>
          <w:rFonts w:ascii="Times New Roman" w:hAnsi="Times New Roman"/>
          <w:sz w:val="24"/>
          <w:szCs w:val="20"/>
        </w:rPr>
        <w:tab/>
        <w:t>3</w:t>
      </w:r>
      <w:r w:rsidRPr="008832D3" w:rsidR="008832D3">
        <w:rPr>
          <w:rFonts w:ascii="Times New Roman" w:hAnsi="Times New Roman"/>
          <w:sz w:val="24"/>
          <w:szCs w:val="20"/>
        </w:rPr>
        <w:t>. Onderdeel D komt te luiden:</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D</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Hoofdstuk 5 wordt als volgt gewijzigd:</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1. Aan artikel 5.11, eerste lid, onder d, wordt een onderdeel toegevoegd,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3°. als het gaat om het op of in de bodem brengen van meststoffen,.</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i/>
          <w:iCs/>
          <w:sz w:val="24"/>
          <w:szCs w:val="20"/>
        </w:rPr>
      </w:pPr>
      <w:r w:rsidRPr="008832D3">
        <w:rPr>
          <w:rFonts w:ascii="Times New Roman" w:hAnsi="Times New Roman"/>
          <w:sz w:val="24"/>
          <w:szCs w:val="20"/>
        </w:rPr>
        <w:tab/>
        <w:t xml:space="preserve">2. In artikel 5.34, tweede lid, aanhef, wordt de zinsnede “de artikelen 12.1, vierde lid, 13.5, eerste tot en met vijfde lid, en 13.6,” vervangen door “de artikelen 13.5, eerste lid tot en met vijfde lid en 13.6”.    </w:t>
      </w:r>
    </w:p>
    <w:p w:rsidRPr="008832D3" w:rsidR="008832D3" w:rsidP="008832D3" w:rsidRDefault="008832D3">
      <w:pPr>
        <w:tabs>
          <w:tab w:val="left" w:pos="284"/>
        </w:tabs>
        <w:rPr>
          <w:rFonts w:ascii="Times New Roman" w:hAnsi="Times New Roman"/>
          <w:b/>
          <w:sz w:val="24"/>
          <w:szCs w:val="20"/>
        </w:rPr>
      </w:pPr>
    </w:p>
    <w:p w:rsidRPr="008832D3" w:rsidR="008832D3" w:rsidP="008832D3" w:rsidRDefault="008832D3">
      <w:pPr>
        <w:tabs>
          <w:tab w:val="left" w:pos="284"/>
        </w:tabs>
        <w:rPr>
          <w:rFonts w:ascii="Times New Roman" w:hAnsi="Times New Roman"/>
          <w:b/>
          <w:sz w:val="24"/>
          <w:szCs w:val="20"/>
        </w:rPr>
      </w:pPr>
      <w:r w:rsidRPr="008832D3">
        <w:rPr>
          <w:rFonts w:ascii="Times New Roman" w:hAnsi="Times New Roman"/>
          <w:b/>
          <w:sz w:val="24"/>
          <w:szCs w:val="20"/>
        </w:rPr>
        <w:t>Artikel 4a.3 (Aanvullingswet natuur Omgevingswet)</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8832D3" w:rsidRDefault="008832D3">
      <w:pPr>
        <w:numPr>
          <w:ilvl w:val="1"/>
          <w:numId w:val="28"/>
        </w:numPr>
        <w:tabs>
          <w:tab w:val="left" w:pos="284"/>
        </w:tabs>
        <w:rPr>
          <w:rFonts w:ascii="Times New Roman" w:hAnsi="Times New Roman"/>
          <w:sz w:val="24"/>
          <w:szCs w:val="20"/>
        </w:rPr>
      </w:pPr>
      <w:r w:rsidRPr="008832D3">
        <w:rPr>
          <w:rFonts w:ascii="Times New Roman" w:hAnsi="Times New Roman"/>
          <w:sz w:val="24"/>
          <w:szCs w:val="20"/>
        </w:rPr>
        <w:t xml:space="preserve">Als het bij koninklijke boodschap van 29 juni 2018 ingediende voorstel van wet tot wijziging van de Omgevingswet en enkele andere wetten in verband met de overgang van de Wet </w:t>
      </w:r>
      <w:r w:rsidRPr="008832D3">
        <w:rPr>
          <w:rFonts w:ascii="Times New Roman" w:hAnsi="Times New Roman"/>
          <w:sz w:val="24"/>
          <w:szCs w:val="20"/>
        </w:rPr>
        <w:lastRenderedPageBreak/>
        <w:t>natuurbescherming naar de Omgevingswet (Aanvullingswet natuur Omgevingswet) (Kamerstukken 34985) tot wet is of wordt verheven en</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A. artikel 1.1, onder K, onder 1 en 2, van die wet eerder in werking is getreden of treedt dan de artikelen 1.1, onder C, onder 1, en 2.10, onder B, onder 1, van deze wet, wordt deze wet 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Artikel 1.1, onder C, onder 1, wordt 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a. In de aanhef wordt “onderdeel i” vervangen door “onderdeel o”.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b. Het voorgestelde onderdeel j wordt verletterd tot p. </w:t>
      </w:r>
    </w:p>
    <w:p w:rsidRPr="008832D3" w:rsidR="008832D3" w:rsidP="008832D3" w:rsidRDefault="008832D3">
      <w:p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2. Artikel 2.10, onder B, onder 1, komt te luiden:</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1. “4.3, eerste lid, aanhef en onder g en k, en vierde lid” wordt vervangen door “4.3, eerste lid, aanhef en onder g, k en p, en vierde lid”.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B. artikel 1.1, onder L, van die wet eerder in werking is getreden of treedt dan artikel 1.1,</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onder C, onder 2, van deze wet, wordt artikel 1.1, onder C, onder 2, van deze wet als</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In de aanhef wordt “onderdeel c” vervangen door “onderdeel i”.</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Het voorgestelde onderdeel d wordt verletterd tot j.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C. artikel 1.1, onder O, van die wet eerder in werking is getreden of treedt dan artikel 1.1,</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onder C, onder 3, van deze wet, wordt artikel 1.1, onder C, onder 3, van deze wet als</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1. In de aanhef wordt “artikel 4.29” vervangen door “artikel 4.38”.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Het voorgestelde artikel 4.30 wordt vernummerd tot 4.39. </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 xml:space="preserve">D. artikel 1.1, onder Qb, van die wet eerder in werking is getreden of treedt dan artikel 1.1, onder Ca, van deze wet, wordt in artikel 1.1, onder </w:t>
      </w:r>
      <w:r w:rsidR="00AB4E38">
        <w:rPr>
          <w:rFonts w:ascii="Times New Roman" w:hAnsi="Times New Roman"/>
          <w:sz w:val="24"/>
          <w:szCs w:val="20"/>
        </w:rPr>
        <w:t>D, onder 1</w:t>
      </w:r>
      <w:r w:rsidRPr="008832D3">
        <w:rPr>
          <w:rFonts w:ascii="Times New Roman" w:hAnsi="Times New Roman"/>
          <w:sz w:val="24"/>
          <w:szCs w:val="20"/>
        </w:rPr>
        <w:t>, van deze wet “artikel 5.7, derde lid, onder a” vervangen door “artikel 5.7, vierde lid, onder a”.</w:t>
      </w:r>
      <w:r w:rsidRPr="008832D3">
        <w:rPr>
          <w:rFonts w:ascii="Times New Roman" w:hAnsi="Times New Roman"/>
          <w:sz w:val="24"/>
          <w:szCs w:val="20"/>
        </w:rPr>
        <w:tab/>
      </w:r>
    </w:p>
    <w:p w:rsidRPr="008832D3" w:rsidR="008832D3" w:rsidP="008832D3" w:rsidRDefault="008832D3">
      <w:p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E. artikel 1.1, onder AA, van die wet eerder in werking is getreden of treedt dan de artikelen 1.1, onder F en H, en 2.10, onder B, onder 2, en C, van deze wet, wordt deze wet </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Artikel 1.1 wordt 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a. Onderdeel F wordt als volgt gewijzigd:</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1˚. In de aanhef wordt “artikel 10.10” vervangen door “artikel 10.10b”. </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De voorgestelde artikelen 10.10a tot en met 10.10f worden vernummerd tot 10.10c tot en met 10.10h.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b. Onderdeel H wordt als volgt gewijzigd:</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lastRenderedPageBreak/>
        <w:tab/>
      </w:r>
      <w:r w:rsidRPr="008832D3" w:rsidR="008832D3">
        <w:rPr>
          <w:rFonts w:ascii="Times New Roman" w:hAnsi="Times New Roman"/>
          <w:sz w:val="24"/>
          <w:szCs w:val="20"/>
        </w:rPr>
        <w:t>1˚. In het voorgestelde artikel 12.19 wordt “artikel 10.10d, eerste lid,” vervangen door “artikel 10.10f, eerste lid”.</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2˚. In het voorgestelde artikel 12.37, eerste lid, onder c, onder 3°, wordt “de artikelen 10.10a tot en met 10.10e” vervangen door “de artikelen 10.10c tot en met 10.10g”.</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In artikel 2.10, onder B, onder 2, wordt “10.6 tot en met 10.10f,” vervangen door “10.6 tot en met 10.10, 10.10c tot en met 10.10h,”.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3. Artikel 2.10, onder C, komt te luiden:</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C</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In artikel 6, derde lid, wordt in de zinsnede met betrekking tot de Omgevingswet “10.6 tot en met 10.10a” vervangen door “10.6 tot en met 10.10a, 10.10c tot en met 10.10h”. </w:t>
      </w:r>
    </w:p>
    <w:p w:rsidRPr="008832D3" w:rsidR="008832D3" w:rsidP="008832D3" w:rsidRDefault="008832D3">
      <w:p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F. artikel 1.1, onder ACc, van die wet eerder in werking is getreden of treedt dan artikel 1.1, onder J, onder 1, van deze wet, wordt in artikel 1.1, onder J, onder 1, van deze wet in het voorgestelde artikel 15.25, tweede lid, “artikel 15.1, eerste lid, onder c, e, j of k” vervangen door “artikel 15.1, eerste lid, onder d, f, k of l”.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G. artikel 1.1, onder AD, van die wet eerder in werking is getreden of treedt dan artikel 1.1, onder J, van deze wet, worden in artikel 1.1, onder J, van deze wet, onder vernummering van de onderdelen 1 en 2 tot 3 en 4, twee onderdelen ingevoegd, luidende: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1. </w:t>
      </w:r>
      <w:r>
        <w:rPr>
          <w:rFonts w:ascii="Times New Roman" w:hAnsi="Times New Roman"/>
          <w:sz w:val="24"/>
          <w:szCs w:val="20"/>
        </w:rPr>
        <w:t>A</w:t>
      </w:r>
      <w:r w:rsidRPr="008832D3" w:rsidR="008832D3">
        <w:rPr>
          <w:rFonts w:ascii="Times New Roman" w:hAnsi="Times New Roman"/>
          <w:sz w:val="24"/>
          <w:szCs w:val="20"/>
        </w:rPr>
        <w:t>fdeling 15.4 wordt vernummerd tot 15.5.</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w:t>
      </w:r>
      <w:r>
        <w:rPr>
          <w:rFonts w:ascii="Times New Roman" w:hAnsi="Times New Roman"/>
          <w:sz w:val="24"/>
          <w:szCs w:val="20"/>
        </w:rPr>
        <w:t>A</w:t>
      </w:r>
      <w:r w:rsidRPr="008832D3" w:rsidR="008832D3">
        <w:rPr>
          <w:rFonts w:ascii="Times New Roman" w:hAnsi="Times New Roman"/>
          <w:sz w:val="24"/>
          <w:szCs w:val="20"/>
        </w:rPr>
        <w:t xml:space="preserve">rtikel 15.17 wordt vernummerd tot 15.53.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H. artikel 1.1, onder AI, van die wet eerder in werking is getreden of treedt dan artikel 1.1, </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 xml:space="preserve">onder K, onder </w:t>
      </w:r>
      <w:r w:rsidR="00AB4E38">
        <w:rPr>
          <w:rFonts w:ascii="Times New Roman" w:hAnsi="Times New Roman"/>
          <w:sz w:val="24"/>
          <w:szCs w:val="20"/>
        </w:rPr>
        <w:t>12</w:t>
      </w:r>
      <w:r w:rsidRPr="008832D3">
        <w:rPr>
          <w:rFonts w:ascii="Times New Roman" w:hAnsi="Times New Roman"/>
          <w:sz w:val="24"/>
          <w:szCs w:val="20"/>
        </w:rPr>
        <w:t xml:space="preserve">, van deze wet, wordt in artikel 1.1, onder K, onder </w:t>
      </w:r>
      <w:r w:rsidR="00AB4E38">
        <w:rPr>
          <w:rFonts w:ascii="Times New Roman" w:hAnsi="Times New Roman"/>
          <w:sz w:val="24"/>
          <w:szCs w:val="20"/>
        </w:rPr>
        <w:t>12</w:t>
      </w:r>
      <w:r w:rsidRPr="008832D3">
        <w:rPr>
          <w:rFonts w:ascii="Times New Roman" w:hAnsi="Times New Roman"/>
          <w:sz w:val="24"/>
          <w:szCs w:val="20"/>
        </w:rPr>
        <w:t xml:space="preserve">, van deze wet </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 xml:space="preserve">“artikel 16.87” vervangen door “artikel 16.87a”.  </w:t>
      </w:r>
    </w:p>
    <w:p w:rsidR="00AB4E38" w:rsidP="00AB4E38" w:rsidRDefault="00AB4E38">
      <w:pPr>
        <w:tabs>
          <w:tab w:val="left" w:pos="284"/>
        </w:tabs>
        <w:rPr>
          <w:rFonts w:ascii="Times New Roman" w:hAnsi="Times New Roman"/>
          <w:sz w:val="24"/>
          <w:szCs w:val="20"/>
        </w:rPr>
      </w:pP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I. artikel 1.1, onder AP, van die wet eerder in werking is getreden of treedt dan artikel 1.1, onder Kb, onder 1, van deze wet, wordt artikel 1.1, onder Kb, onder 1, van deze wet als volgt gewijzigd:</w:t>
      </w:r>
    </w:p>
    <w:p w:rsidRPr="00AB4E38" w:rsidR="00AB4E38" w:rsidP="00AB4E38" w:rsidRDefault="00AB4E38">
      <w:pPr>
        <w:tabs>
          <w:tab w:val="left" w:pos="284"/>
        </w:tabs>
        <w:rPr>
          <w:rFonts w:ascii="Times New Roman" w:hAnsi="Times New Roman"/>
          <w:sz w:val="24"/>
          <w:szCs w:val="20"/>
        </w:rPr>
      </w:pP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1. Onderdeel a komt te luiden:</w:t>
      </w: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a. Onderdeel d vervalt, onder verlettering van de onderdelen e tot en met k tot d tot en met j.</w:t>
      </w:r>
    </w:p>
    <w:p w:rsidRPr="00AB4E38" w:rsidR="00AB4E38" w:rsidP="00AB4E38" w:rsidRDefault="00AB4E38">
      <w:pPr>
        <w:tabs>
          <w:tab w:val="left" w:pos="284"/>
        </w:tabs>
        <w:rPr>
          <w:rFonts w:ascii="Times New Roman" w:hAnsi="Times New Roman"/>
          <w:sz w:val="24"/>
          <w:szCs w:val="20"/>
        </w:rPr>
      </w:pP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2. Onderdeel b komt te luiden:</w:t>
      </w: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b. Onder verlettering van de onderdelen i (nieuw) en j (nieuw) tot j en k wordt een onderdeel ingevoegd, luidende:</w:t>
      </w:r>
    </w:p>
    <w:p w:rsidR="008832D3"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i. de verordening governance van de energie-unie,.</w:t>
      </w:r>
    </w:p>
    <w:p w:rsidRPr="00AB4E38" w:rsidR="00971124" w:rsidP="00AB4E38" w:rsidRDefault="00971124">
      <w:pPr>
        <w:tabs>
          <w:tab w:val="left" w:pos="284"/>
        </w:tabs>
        <w:rPr>
          <w:rFonts w:ascii="Times New Roman" w:hAnsi="Times New Roman"/>
          <w:sz w:val="24"/>
          <w:szCs w:val="20"/>
        </w:rPr>
      </w:pPr>
    </w:p>
    <w:p w:rsidRPr="008832D3" w:rsidR="008832D3" w:rsidP="008832D3" w:rsidRDefault="008832D3">
      <w:pPr>
        <w:numPr>
          <w:ilvl w:val="0"/>
          <w:numId w:val="28"/>
        </w:numPr>
        <w:tabs>
          <w:tab w:val="left" w:pos="284"/>
        </w:tabs>
        <w:rPr>
          <w:rFonts w:ascii="Times New Roman" w:hAnsi="Times New Roman"/>
          <w:b/>
          <w:sz w:val="24"/>
          <w:szCs w:val="20"/>
        </w:rPr>
      </w:pPr>
      <w:r w:rsidRPr="008832D3">
        <w:rPr>
          <w:rFonts w:ascii="Times New Roman" w:hAnsi="Times New Roman"/>
          <w:b/>
          <w:sz w:val="24"/>
          <w:szCs w:val="20"/>
        </w:rPr>
        <w:t>Artikel 4a.4 (Wijziging Crisis- en herstelwet)</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3005CE" w:rsidRDefault="003005CE">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Als het bij koninklijke boodschap van 5 september 2018 tot wijziging van de Crisis- en herstelwet in verband met het versnellen van woningbouw en het faciliteren van duurzame </w:t>
      </w:r>
      <w:r w:rsidRPr="008832D3" w:rsidR="008832D3">
        <w:rPr>
          <w:rFonts w:ascii="Times New Roman" w:hAnsi="Times New Roman"/>
          <w:sz w:val="24"/>
          <w:szCs w:val="20"/>
        </w:rPr>
        <w:lastRenderedPageBreak/>
        <w:t>ontwikkeling, zoals het verduurzamen van het energiegebruik (Kamerstukken 35013) tot wet is of wordt verheven en eerder in werking treedt dan de artikelen 1.1, onder L, en 2.4a, onder 2, onder a, van deze wet, wordt deze wet 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1. Artikel 1.1, onder L, komt te luiden:</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L</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Hoofdstuk 23 wordt als volgt gewijzigd:</w:t>
      </w:r>
    </w:p>
    <w:p w:rsidRPr="008832D3" w:rsidR="008832D3" w:rsidP="008832D3" w:rsidRDefault="008832D3">
      <w:pPr>
        <w:tabs>
          <w:tab w:val="left" w:pos="284"/>
        </w:tabs>
        <w:rPr>
          <w:rFonts w:ascii="Times New Roman" w:hAnsi="Times New Roman"/>
          <w:sz w:val="24"/>
          <w:szCs w:val="20"/>
        </w:rPr>
      </w:pPr>
    </w:p>
    <w:p w:rsidRPr="008832D3" w:rsidR="008832D3" w:rsidP="003005CE" w:rsidRDefault="003005CE">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In artikel 23.3, eerste lid, worden, onder verlettering van de onderdelen c en d tot f en g, drie onderdelen ingevoegd,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c. de Gaswet,</w:t>
      </w:r>
    </w:p>
    <w:p w:rsidRPr="008832D3" w:rsidR="008832D3" w:rsidP="008832D3" w:rsidRDefault="008832D3">
      <w:pPr>
        <w:numPr>
          <w:ilvl w:val="1"/>
          <w:numId w:val="28"/>
        </w:numPr>
        <w:tabs>
          <w:tab w:val="left" w:pos="284"/>
        </w:tabs>
        <w:rPr>
          <w:rFonts w:ascii="Times New Roman" w:hAnsi="Times New Roman"/>
          <w:sz w:val="24"/>
          <w:szCs w:val="20"/>
        </w:rPr>
      </w:pPr>
      <w:r w:rsidRPr="008832D3">
        <w:rPr>
          <w:rFonts w:ascii="Times New Roman" w:hAnsi="Times New Roman"/>
          <w:sz w:val="24"/>
          <w:szCs w:val="20"/>
        </w:rPr>
        <w:t>d. de Huisvestingswet 2014,</w:t>
      </w:r>
    </w:p>
    <w:p w:rsidRPr="008832D3" w:rsidR="008832D3" w:rsidP="008832D3" w:rsidRDefault="008832D3">
      <w:pPr>
        <w:numPr>
          <w:ilvl w:val="1"/>
          <w:numId w:val="28"/>
        </w:numPr>
        <w:tabs>
          <w:tab w:val="left" w:pos="284"/>
        </w:tabs>
        <w:rPr>
          <w:rFonts w:ascii="Times New Roman" w:hAnsi="Times New Roman"/>
          <w:sz w:val="24"/>
          <w:szCs w:val="20"/>
        </w:rPr>
      </w:pPr>
      <w:r w:rsidRPr="008832D3">
        <w:rPr>
          <w:rFonts w:ascii="Times New Roman" w:hAnsi="Times New Roman"/>
          <w:sz w:val="24"/>
          <w:szCs w:val="20"/>
        </w:rPr>
        <w:t>e. de Leegstandswet,.</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2. In artikel 23.5, eerste lid, wordt “de hoofdstukken 2, 3, 4, 5, 12, 16, 17, 18, 19, 20 en artikel 23.3” vervangen door “de hoofdstukken 2, 3, 4 en 5, afdeling 13.6, de hoofdstukken 16, 17, 18, 19 en 20 en artikel 23.3”.</w:t>
      </w:r>
    </w:p>
    <w:p w:rsidRPr="008832D3" w:rsidR="008832D3" w:rsidP="008832D3" w:rsidRDefault="008832D3">
      <w:pPr>
        <w:tabs>
          <w:tab w:val="left" w:pos="284"/>
        </w:tabs>
        <w:rPr>
          <w:rFonts w:ascii="Times New Roman" w:hAnsi="Times New Roman"/>
          <w:sz w:val="24"/>
          <w:szCs w:val="20"/>
        </w:rPr>
      </w:pPr>
    </w:p>
    <w:p w:rsidRPr="008832D3" w:rsidR="008832D3" w:rsidP="003005CE" w:rsidRDefault="003005CE">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2. Artikel 2.4a, onder 2, onder a, komt te luiden:</w:t>
      </w:r>
    </w:p>
    <w:p w:rsidRPr="008832D3" w:rsidR="008832D3" w:rsidP="008832D3" w:rsidRDefault="008832D3">
      <w:pPr>
        <w:numPr>
          <w:ilvl w:val="1"/>
          <w:numId w:val="28"/>
        </w:numPr>
        <w:tabs>
          <w:tab w:val="left" w:pos="284"/>
        </w:tabs>
        <w:rPr>
          <w:rFonts w:ascii="Times New Roman" w:hAnsi="Times New Roman"/>
          <w:sz w:val="24"/>
          <w:szCs w:val="20"/>
        </w:rPr>
      </w:pPr>
      <w:r w:rsidRPr="008832D3">
        <w:rPr>
          <w:rFonts w:ascii="Times New Roman" w:hAnsi="Times New Roman"/>
          <w:sz w:val="24"/>
          <w:szCs w:val="20"/>
        </w:rPr>
        <w:t>a. In onderdeel c wordt na “bestemmingsplan” ingevoegd “of inpassingsplan” en wordt “artikel 2.4, eerste lid, onder k, van de Crisis- en herstelwet” vervangen door “artikel 2.4, eerste lid, onder o, van de Crisis- en herstelwet”.</w:t>
      </w:r>
      <w:r w:rsidRPr="008832D3" w:rsidDel="00CF5800">
        <w:rPr>
          <w:rFonts w:ascii="Times New Roman" w:hAnsi="Times New Roman"/>
          <w:sz w:val="24"/>
          <w:szCs w:val="20"/>
        </w:rPr>
        <w:t xml:space="preserve"> </w:t>
      </w:r>
    </w:p>
    <w:p w:rsidR="008832D3" w:rsidP="005158CB" w:rsidRDefault="008832D3">
      <w:pPr>
        <w:rPr>
          <w:rFonts w:ascii="Times New Roman" w:hAnsi="Times New Roman" w:eastAsia="Verdana"/>
          <w:b/>
          <w:sz w:val="24"/>
        </w:rPr>
      </w:pPr>
    </w:p>
    <w:p w:rsidR="008832D3" w:rsidP="005158CB" w:rsidRDefault="008832D3">
      <w:pPr>
        <w:rPr>
          <w:rFonts w:ascii="Times New Roman" w:hAnsi="Times New Roman" w:eastAsia="Verdana"/>
          <w:b/>
          <w:sz w:val="24"/>
        </w:rPr>
      </w:pPr>
    </w:p>
    <w:p w:rsidR="00E97F6E" w:rsidP="005158CB" w:rsidRDefault="00E97F6E">
      <w:pPr>
        <w:rPr>
          <w:rFonts w:ascii="Times New Roman" w:hAnsi="Times New Roman" w:eastAsia="Verdana"/>
          <w:b/>
          <w:sz w:val="24"/>
        </w:rPr>
      </w:pPr>
      <w:r w:rsidRPr="005158CB">
        <w:rPr>
          <w:rFonts w:ascii="Times New Roman" w:hAnsi="Times New Roman" w:eastAsia="Verdana"/>
          <w:b/>
          <w:sz w:val="24"/>
        </w:rPr>
        <w:t>HOOFDSTUK 5 SLOTBEPALINGEN</w:t>
      </w:r>
    </w:p>
    <w:p w:rsidRPr="005158CB" w:rsidR="005158CB" w:rsidP="005158CB" w:rsidRDefault="005158CB">
      <w:pPr>
        <w:rPr>
          <w:rFonts w:ascii="Times New Roman" w:hAnsi="Times New Roman" w:eastAsia="Verdana"/>
          <w:b/>
          <w:sz w:val="24"/>
        </w:rPr>
      </w:pPr>
    </w:p>
    <w:p w:rsidRPr="005158CB" w:rsidR="00E97F6E" w:rsidP="005158CB" w:rsidRDefault="00E97F6E">
      <w:pPr>
        <w:rPr>
          <w:rFonts w:ascii="Times New Roman" w:hAnsi="Times New Roman" w:eastAsia="Verdana"/>
          <w:b/>
          <w:sz w:val="24"/>
        </w:rPr>
      </w:pPr>
      <w:r w:rsidRPr="005158CB">
        <w:rPr>
          <w:rFonts w:ascii="Times New Roman" w:hAnsi="Times New Roman" w:eastAsia="Verdana"/>
          <w:b/>
          <w:sz w:val="24"/>
        </w:rPr>
        <w:t>Artikel 5.1</w:t>
      </w:r>
      <w:r w:rsidRPr="005158CB" w:rsidR="005158CB">
        <w:rPr>
          <w:rFonts w:ascii="Times New Roman" w:hAnsi="Times New Roman" w:eastAsia="Verdana"/>
          <w:b/>
          <w:sz w:val="24"/>
        </w:rPr>
        <w:t xml:space="preserve"> </w:t>
      </w:r>
      <w:r w:rsidRPr="005158CB">
        <w:rPr>
          <w:rFonts w:ascii="Times New Roman" w:hAnsi="Times New Roman" w:eastAsia="Verdana"/>
          <w:b/>
          <w:sz w:val="24"/>
        </w:rPr>
        <w:t>(inwerkingtreding)</w:t>
      </w:r>
    </w:p>
    <w:p w:rsidRPr="005158CB" w:rsidR="005158CB" w:rsidP="005158CB" w:rsidRDefault="005158CB">
      <w:pPr>
        <w:rPr>
          <w:rFonts w:ascii="Times New Roman" w:hAnsi="Times New Roman" w:eastAsia="Verdana"/>
          <w:sz w:val="24"/>
        </w:rPr>
      </w:pPr>
    </w:p>
    <w:p w:rsidR="00E97F6E" w:rsidP="005158CB" w:rsidRDefault="00E97F6E">
      <w:pPr>
        <w:ind w:firstLine="284"/>
        <w:rPr>
          <w:rFonts w:ascii="Times New Roman" w:hAnsi="Times New Roman" w:eastAsia="Verdana"/>
          <w:sz w:val="24"/>
        </w:rPr>
      </w:pPr>
      <w:r w:rsidRPr="005158CB">
        <w:rPr>
          <w:rFonts w:ascii="Times New Roman" w:hAnsi="Times New Roman" w:eastAsia="Verdana"/>
          <w:sz w:val="24"/>
        </w:rPr>
        <w:t>De artikelen van deze wet treden in werking op een bij koninklijk besluit te bepalen tijdstip dat voor de verschillende hoofdstukken, artikelen of onderdelen daarvan verschillend kan worden vastgesteld.</w:t>
      </w:r>
    </w:p>
    <w:p w:rsidRPr="005158CB" w:rsidR="005158CB" w:rsidP="005158CB" w:rsidRDefault="005158CB">
      <w:pPr>
        <w:rPr>
          <w:rFonts w:ascii="Times New Roman" w:hAnsi="Times New Roman" w:eastAsia="Verdana"/>
          <w:sz w:val="24"/>
        </w:rPr>
      </w:pPr>
    </w:p>
    <w:p w:rsidRPr="005158CB" w:rsidR="00E97F6E" w:rsidP="005158CB" w:rsidRDefault="00E97F6E">
      <w:pPr>
        <w:rPr>
          <w:rFonts w:ascii="Times New Roman" w:hAnsi="Times New Roman" w:eastAsia="Verdana"/>
          <w:b/>
          <w:sz w:val="24"/>
        </w:rPr>
      </w:pPr>
      <w:r w:rsidRPr="005158CB">
        <w:rPr>
          <w:rFonts w:ascii="Times New Roman" w:hAnsi="Times New Roman" w:eastAsia="Verdana"/>
          <w:b/>
          <w:sz w:val="24"/>
        </w:rPr>
        <w:t>Artikel 5.2</w:t>
      </w:r>
      <w:r w:rsidRPr="005158CB" w:rsidR="005158CB">
        <w:rPr>
          <w:rFonts w:ascii="Times New Roman" w:hAnsi="Times New Roman" w:eastAsia="Verdana"/>
          <w:b/>
          <w:sz w:val="24"/>
        </w:rPr>
        <w:t xml:space="preserve"> </w:t>
      </w:r>
      <w:r w:rsidRPr="005158CB">
        <w:rPr>
          <w:rFonts w:ascii="Times New Roman" w:hAnsi="Times New Roman" w:eastAsia="Verdana"/>
          <w:b/>
          <w:sz w:val="24"/>
        </w:rPr>
        <w:t>(citeertitel)</w:t>
      </w:r>
    </w:p>
    <w:p w:rsidRPr="005158CB" w:rsidR="005158CB" w:rsidP="005158CB" w:rsidRDefault="005158CB">
      <w:pPr>
        <w:rPr>
          <w:rFonts w:ascii="Times New Roman" w:hAnsi="Times New Roman" w:eastAsia="Verdana"/>
          <w:sz w:val="24"/>
        </w:rPr>
      </w:pPr>
    </w:p>
    <w:p w:rsidR="00E97F6E" w:rsidP="005158CB" w:rsidRDefault="00E97F6E">
      <w:pPr>
        <w:ind w:firstLine="284"/>
        <w:rPr>
          <w:rFonts w:ascii="Times New Roman" w:hAnsi="Times New Roman" w:eastAsia="Verdana"/>
          <w:sz w:val="24"/>
        </w:rPr>
      </w:pPr>
      <w:r w:rsidRPr="005158CB">
        <w:rPr>
          <w:rFonts w:ascii="Times New Roman" w:hAnsi="Times New Roman" w:eastAsia="Verdana"/>
          <w:sz w:val="24"/>
        </w:rPr>
        <w:t>Deze wet wordt aangehaald als: Aanvullingswet grondeigendom Omgevingswet.</w:t>
      </w:r>
    </w:p>
    <w:p w:rsidR="005158CB" w:rsidP="005158CB" w:rsidRDefault="005158CB">
      <w:pPr>
        <w:rPr>
          <w:rFonts w:ascii="Times New Roman" w:hAnsi="Times New Roman" w:eastAsia="Verdana"/>
          <w:sz w:val="24"/>
        </w:rPr>
      </w:pPr>
    </w:p>
    <w:p w:rsidRPr="005158CB" w:rsidR="005158CB" w:rsidP="005158CB" w:rsidRDefault="005158CB">
      <w:pPr>
        <w:rPr>
          <w:rFonts w:ascii="Times New Roman" w:hAnsi="Times New Roman" w:eastAsia="Verdana"/>
          <w:sz w:val="24"/>
        </w:rPr>
      </w:pPr>
    </w:p>
    <w:p w:rsidRPr="005158CB" w:rsidR="00E97F6E" w:rsidP="005158CB" w:rsidRDefault="00E97F6E">
      <w:pPr>
        <w:ind w:firstLine="284"/>
        <w:rPr>
          <w:rFonts w:ascii="Times New Roman" w:hAnsi="Times New Roman"/>
          <w:i/>
          <w:sz w:val="24"/>
        </w:rPr>
      </w:pPr>
      <w:r w:rsidRPr="005158CB">
        <w:rPr>
          <w:rFonts w:ascii="Times New Roman" w:hAnsi="Times New Roman"/>
          <w:iCs/>
          <w:sz w:val="24"/>
        </w:rPr>
        <w:t>Lasten en bevelen dat deze in het Staatsblad zal worden geplaatst en dat alle ministeries, autoriteiten, colleges en ambtenaren die zulks aangaat, aan de nauwkeurige uitvoering de hand zullen houden.</w:t>
      </w:r>
    </w:p>
    <w:p w:rsidRPr="005158CB" w:rsidR="00E97F6E" w:rsidP="005158CB" w:rsidRDefault="00E97F6E">
      <w:pPr>
        <w:rPr>
          <w:rFonts w:ascii="Times New Roman" w:hAnsi="Times New Roman" w:eastAsia="Verdana"/>
          <w:sz w:val="24"/>
        </w:rPr>
      </w:pPr>
    </w:p>
    <w:p w:rsidRPr="009772A4" w:rsidR="00E97F6E" w:rsidP="009772A4" w:rsidRDefault="005158CB">
      <w:pPr>
        <w:rPr>
          <w:rFonts w:ascii="Times New Roman" w:hAnsi="Times New Roman" w:eastAsia="Verdana"/>
          <w:sz w:val="24"/>
        </w:rPr>
      </w:pPr>
      <w:r w:rsidRPr="009772A4">
        <w:rPr>
          <w:rFonts w:ascii="Times New Roman" w:hAnsi="Times New Roman" w:eastAsia="Verdana"/>
          <w:sz w:val="24"/>
        </w:rPr>
        <w:t>Gegeven</w:t>
      </w:r>
    </w:p>
    <w:p w:rsidR="00E97F6E" w:rsidP="009772A4" w:rsidRDefault="00E97F6E">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Pr="009772A4" w:rsidR="009772A4" w:rsidP="009772A4" w:rsidRDefault="009772A4">
      <w:pPr>
        <w:rPr>
          <w:rFonts w:ascii="Times New Roman" w:hAnsi="Times New Roman" w:eastAsia="Verdana"/>
          <w:sz w:val="24"/>
        </w:rPr>
      </w:pPr>
    </w:p>
    <w:p w:rsidRPr="009772A4" w:rsidR="00E97F6E" w:rsidP="009772A4" w:rsidRDefault="00E97F6E">
      <w:pPr>
        <w:rPr>
          <w:rFonts w:ascii="Times New Roman" w:hAnsi="Times New Roman" w:eastAsia="Verdana"/>
          <w:sz w:val="24"/>
        </w:rPr>
      </w:pPr>
      <w:r w:rsidRPr="009772A4">
        <w:rPr>
          <w:rFonts w:ascii="Times New Roman" w:hAnsi="Times New Roman" w:eastAsia="Verdana"/>
          <w:sz w:val="24"/>
        </w:rPr>
        <w:t>De Minister van Binnenlandse Zaken en Koninkrijksrelaties,</w:t>
      </w:r>
    </w:p>
    <w:p w:rsidRPr="009772A4" w:rsidR="00E97F6E" w:rsidP="009772A4" w:rsidRDefault="00E97F6E">
      <w:pPr>
        <w:rPr>
          <w:rFonts w:ascii="Times New Roman" w:hAnsi="Times New Roman" w:eastAsia="Verdana"/>
          <w:sz w:val="24"/>
        </w:rPr>
      </w:pPr>
    </w:p>
    <w:p w:rsidR="00E97F6E" w:rsidP="009772A4" w:rsidRDefault="00E97F6E">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Pr="009772A4" w:rsidR="009772A4" w:rsidP="009772A4" w:rsidRDefault="009772A4">
      <w:pPr>
        <w:rPr>
          <w:rFonts w:ascii="Times New Roman" w:hAnsi="Times New Roman" w:eastAsia="Verdana"/>
          <w:sz w:val="24"/>
        </w:rPr>
      </w:pPr>
    </w:p>
    <w:p w:rsidRPr="009772A4" w:rsidR="00E97F6E" w:rsidP="009772A4" w:rsidRDefault="00E97F6E">
      <w:pPr>
        <w:rPr>
          <w:rFonts w:ascii="Times New Roman" w:hAnsi="Times New Roman" w:eastAsia="Verdana"/>
          <w:sz w:val="24"/>
        </w:rPr>
      </w:pPr>
      <w:r w:rsidRPr="009772A4">
        <w:rPr>
          <w:rFonts w:ascii="Times New Roman" w:hAnsi="Times New Roman" w:eastAsia="Verdana"/>
          <w:sz w:val="24"/>
        </w:rPr>
        <w:t>De Minister van Landbouw, Natuur en Voedselkwaliteit,</w:t>
      </w:r>
    </w:p>
    <w:p w:rsidRPr="009772A4" w:rsidR="00E97F6E" w:rsidP="009772A4" w:rsidRDefault="00E97F6E">
      <w:pPr>
        <w:rPr>
          <w:rFonts w:ascii="Times New Roman" w:hAnsi="Times New Roman" w:eastAsia="Verdana"/>
          <w:sz w:val="24"/>
        </w:rPr>
      </w:pPr>
    </w:p>
    <w:p w:rsidR="00E97F6E" w:rsidP="009772A4" w:rsidRDefault="00E97F6E">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Pr="009772A4" w:rsidR="009772A4" w:rsidP="009772A4" w:rsidRDefault="009772A4">
      <w:pPr>
        <w:rPr>
          <w:rFonts w:ascii="Times New Roman" w:hAnsi="Times New Roman" w:eastAsia="Verdana"/>
          <w:sz w:val="24"/>
        </w:rPr>
      </w:pPr>
    </w:p>
    <w:p w:rsidRPr="009772A4" w:rsidR="00E97F6E" w:rsidP="009772A4" w:rsidRDefault="00E97F6E">
      <w:pPr>
        <w:rPr>
          <w:rFonts w:ascii="Times New Roman" w:hAnsi="Times New Roman"/>
          <w:sz w:val="24"/>
        </w:rPr>
      </w:pPr>
      <w:r w:rsidRPr="009772A4">
        <w:rPr>
          <w:rFonts w:ascii="Times New Roman" w:hAnsi="Times New Roman" w:eastAsia="Verdana"/>
          <w:sz w:val="24"/>
        </w:rPr>
        <w:t>De Minister voor Rechtsbescherming,</w:t>
      </w:r>
    </w:p>
    <w:sectPr w:rsidRPr="009772A4" w:rsidR="00E97F6E" w:rsidSect="00A11E73">
      <w:footerReference w:type="even" r:id="rId15"/>
      <w:footerReference w:type="default" r:id="rId16"/>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A3" w:rsidRDefault="000D6EA3">
      <w:pPr>
        <w:spacing w:line="20" w:lineRule="exact"/>
      </w:pPr>
    </w:p>
  </w:endnote>
  <w:endnote w:type="continuationSeparator" w:id="0">
    <w:p w:rsidR="000D6EA3" w:rsidRDefault="000D6EA3">
      <w:pPr>
        <w:pStyle w:val="Amendement"/>
      </w:pPr>
      <w:r>
        <w:rPr>
          <w:b w:val="0"/>
          <w:bCs w:val="0"/>
        </w:rPr>
        <w:t xml:space="preserve"> </w:t>
      </w:r>
    </w:p>
  </w:endnote>
  <w:endnote w:type="continuationNotice" w:id="1">
    <w:p w:rsidR="000D6EA3" w:rsidRDefault="000D6EA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MNP A+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A3" w:rsidRDefault="000D6EA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D6EA3" w:rsidRDefault="000D6EA3"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A3" w:rsidRPr="002168F4" w:rsidRDefault="000D6EA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80919">
      <w:rPr>
        <w:rStyle w:val="Paginanummer"/>
        <w:rFonts w:ascii="Times New Roman" w:hAnsi="Times New Roman"/>
        <w:noProof/>
      </w:rPr>
      <w:t>1</w:t>
    </w:r>
    <w:r w:rsidRPr="002168F4">
      <w:rPr>
        <w:rStyle w:val="Paginanummer"/>
        <w:rFonts w:ascii="Times New Roman" w:hAnsi="Times New Roman"/>
      </w:rPr>
      <w:fldChar w:fldCharType="end"/>
    </w:r>
  </w:p>
  <w:p w:rsidR="000D6EA3" w:rsidRPr="002168F4" w:rsidRDefault="000D6EA3"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A3" w:rsidRDefault="000D6EA3">
      <w:pPr>
        <w:pStyle w:val="Amendement"/>
      </w:pPr>
      <w:r>
        <w:rPr>
          <w:b w:val="0"/>
          <w:bCs w:val="0"/>
        </w:rPr>
        <w:separator/>
      </w:r>
    </w:p>
  </w:footnote>
  <w:footnote w:type="continuationSeparator" w:id="0">
    <w:p w:rsidR="000D6EA3" w:rsidRDefault="000D6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564D5D"/>
    <w:multiLevelType w:val="multilevel"/>
    <w:tmpl w:val="A0399853"/>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A1B4F4"/>
    <w:multiLevelType w:val="multilevel"/>
    <w:tmpl w:val="B9422720"/>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B96522"/>
    <w:multiLevelType w:val="multilevel"/>
    <w:tmpl w:val="9E73B77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D4AE634"/>
    <w:multiLevelType w:val="multilevel"/>
    <w:tmpl w:val="14D5A1C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F351C77"/>
    <w:multiLevelType w:val="multilevel"/>
    <w:tmpl w:val="C8ED6B03"/>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683ACC6"/>
    <w:multiLevelType w:val="multilevel"/>
    <w:tmpl w:val="0F55E5F3"/>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593278D"/>
    <w:multiLevelType w:val="multilevel"/>
    <w:tmpl w:val="8DFEDA8C"/>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6891592"/>
    <w:multiLevelType w:val="multilevel"/>
    <w:tmpl w:val="23A8A6E5"/>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CCBF4C7"/>
    <w:multiLevelType w:val="multilevel"/>
    <w:tmpl w:val="2AC2FE6B"/>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2D7E8C00"/>
    <w:lvl w:ilvl="0">
      <w:start w:val="1"/>
      <w:numFmt w:val="bullet"/>
      <w:pStyle w:val="Lijstopsomteken1"/>
      <w:lvlText w:val=""/>
      <w:lvlJc w:val="left"/>
      <w:pPr>
        <w:tabs>
          <w:tab w:val="num" w:pos="360"/>
        </w:tabs>
        <w:ind w:left="360" w:hanging="360"/>
      </w:pPr>
      <w:rPr>
        <w:rFonts w:ascii="Symbol" w:hAnsi="Symbol" w:hint="default"/>
      </w:rPr>
    </w:lvl>
  </w:abstractNum>
  <w:abstractNum w:abstractNumId="10" w15:restartNumberingAfterBreak="0">
    <w:nsid w:val="015F4C2F"/>
    <w:multiLevelType w:val="multilevel"/>
    <w:tmpl w:val="3EB02239"/>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F37688"/>
    <w:multiLevelType w:val="hybridMultilevel"/>
    <w:tmpl w:val="3D0EA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C43CC5"/>
    <w:multiLevelType w:val="multilevel"/>
    <w:tmpl w:val="5DF6028C"/>
    <w:lvl w:ilvl="0">
      <w:start w:val="1"/>
      <w:numFmt w:val="none"/>
      <w:suff w:val="nothing"/>
      <w:lvlText w:val="%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50B5D0"/>
    <w:multiLevelType w:val="multilevel"/>
    <w:tmpl w:val="1DEF96DE"/>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1D5ED8"/>
    <w:multiLevelType w:val="hybridMultilevel"/>
    <w:tmpl w:val="35D6D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F64899"/>
    <w:multiLevelType w:val="hybridMultilevel"/>
    <w:tmpl w:val="CA0809AE"/>
    <w:lvl w:ilvl="0" w:tplc="74D0B3A0">
      <w:numFmt w:val="bullet"/>
      <w:lvlText w:val="-"/>
      <w:lvlJc w:val="left"/>
      <w:pPr>
        <w:ind w:left="360" w:hanging="360"/>
      </w:pPr>
      <w:rPr>
        <w:rFonts w:ascii="Verdana" w:eastAsiaTheme="minorHAnsi" w:hAnsi="Verdana" w:cstheme="minorBidi" w:hint="default"/>
      </w:rPr>
    </w:lvl>
    <w:lvl w:ilvl="1" w:tplc="74D0B3A0">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5B0980"/>
    <w:multiLevelType w:val="multilevel"/>
    <w:tmpl w:val="AF035045"/>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460CB"/>
    <w:multiLevelType w:val="hybridMultilevel"/>
    <w:tmpl w:val="91B43F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98E2181"/>
    <w:multiLevelType w:val="hybridMultilevel"/>
    <w:tmpl w:val="B77A5B06"/>
    <w:lvl w:ilvl="0" w:tplc="04130001">
      <w:start w:val="1"/>
      <w:numFmt w:val="bullet"/>
      <w:lvlText w:val=""/>
      <w:lvlJc w:val="left"/>
      <w:pPr>
        <w:ind w:left="360" w:hanging="360"/>
      </w:pPr>
      <w:rPr>
        <w:rFonts w:ascii="Symbol" w:hAnsi="Symbol" w:hint="default"/>
      </w:rPr>
    </w:lvl>
    <w:lvl w:ilvl="1" w:tplc="74D0B3A0">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0BD3471"/>
    <w:multiLevelType w:val="multilevel"/>
    <w:tmpl w:val="EAB6D0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6D56334"/>
    <w:multiLevelType w:val="multilevel"/>
    <w:tmpl w:val="0413001F"/>
    <w:styleLink w:val="111111"/>
    <w:lvl w:ilvl="0">
      <w:start w:val="1"/>
      <w:numFmt w:val="decimal"/>
      <w:pStyle w:val="Lijstopsomteken"/>
      <w:lvlText w:val="%1."/>
      <w:lvlJc w:val="left"/>
      <w:pPr>
        <w:ind w:left="360" w:hanging="360"/>
      </w:pPr>
      <w:rPr>
        <w:rFonts w:ascii="Verdana" w:hAnsi="Verdana"/>
        <w:dstrike w:val="0"/>
        <w:sz w:val="16"/>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152D3E"/>
    <w:multiLevelType w:val="hybridMultilevel"/>
    <w:tmpl w:val="C20CD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F33700"/>
    <w:multiLevelType w:val="hybridMultilevel"/>
    <w:tmpl w:val="78D2ABA6"/>
    <w:styleLink w:val="Gemporteerdestijl1"/>
    <w:lvl w:ilvl="0" w:tplc="739EF46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8E7CC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19" w:hanging="316"/>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76EF36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31" w:hanging="231"/>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941F7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59" w:hanging="316"/>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7627F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79" w:hanging="316"/>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8A7A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91" w:hanging="231"/>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72D2F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19" w:hanging="316"/>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F2A284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39" w:hanging="316"/>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E6040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51" w:hanging="231"/>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652FE0C8"/>
    <w:multiLevelType w:val="multilevel"/>
    <w:tmpl w:val="38E05F7E"/>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AB301E"/>
    <w:multiLevelType w:val="hybridMultilevel"/>
    <w:tmpl w:val="34FACCD8"/>
    <w:styleLink w:val="Gemporteerdestijl2"/>
    <w:lvl w:ilvl="0" w:tplc="1C0669C4">
      <w:start w:val="1"/>
      <w:numFmt w:val="decimal"/>
      <w:lvlText w:val="%1."/>
      <w:lvlJc w:val="left"/>
      <w:pPr>
        <w:ind w:left="568" w:hanging="284"/>
      </w:pPr>
      <w:rPr>
        <w:rFonts w:ascii="Verdana" w:eastAsiaTheme="minorHAnsi" w:hAnsi="Verdana" w:cstheme="minorBidi"/>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BC3F38">
      <w:start w:val="1"/>
      <w:numFmt w:val="lowerLetter"/>
      <w:lvlText w:val="%2."/>
      <w:lvlJc w:val="left"/>
      <w:pPr>
        <w:ind w:left="128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96CAA8">
      <w:start w:val="1"/>
      <w:numFmt w:val="lowerRoman"/>
      <w:lvlText w:val="%3."/>
      <w:lvlJc w:val="left"/>
      <w:pPr>
        <w:ind w:left="2008" w:hanging="208"/>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1ADF8E">
      <w:start w:val="1"/>
      <w:numFmt w:val="decimal"/>
      <w:lvlText w:val="%4."/>
      <w:lvlJc w:val="left"/>
      <w:pPr>
        <w:ind w:left="272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AA28F6">
      <w:start w:val="1"/>
      <w:numFmt w:val="lowerLetter"/>
      <w:lvlText w:val="%5."/>
      <w:lvlJc w:val="left"/>
      <w:pPr>
        <w:ind w:left="344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0AF582">
      <w:start w:val="1"/>
      <w:numFmt w:val="lowerRoman"/>
      <w:lvlText w:val="%6."/>
      <w:lvlJc w:val="left"/>
      <w:pPr>
        <w:ind w:left="4168" w:hanging="208"/>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8A6172A">
      <w:start w:val="1"/>
      <w:numFmt w:val="decimal"/>
      <w:lvlText w:val="%7."/>
      <w:lvlJc w:val="left"/>
      <w:pPr>
        <w:ind w:left="488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3CC264">
      <w:start w:val="1"/>
      <w:numFmt w:val="lowerLetter"/>
      <w:lvlText w:val="%8."/>
      <w:lvlJc w:val="left"/>
      <w:pPr>
        <w:ind w:left="560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224FAA">
      <w:start w:val="1"/>
      <w:numFmt w:val="lowerRoman"/>
      <w:lvlText w:val="%9."/>
      <w:lvlJc w:val="left"/>
      <w:pPr>
        <w:ind w:left="6328" w:hanging="208"/>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6283A6E"/>
    <w:multiLevelType w:val="multilevel"/>
    <w:tmpl w:val="12DEF52E"/>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0A7A81"/>
    <w:multiLevelType w:val="hybridMultilevel"/>
    <w:tmpl w:val="E03E30C6"/>
    <w:styleLink w:val="Gemporteerdestijl3"/>
    <w:lvl w:ilvl="0" w:tplc="7946E1A2">
      <w:start w:val="1"/>
      <w:numFmt w:val="decimal"/>
      <w:lvlText w:val="%1."/>
      <w:lvlJc w:val="left"/>
      <w:pPr>
        <w:ind w:left="56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765DFA">
      <w:start w:val="1"/>
      <w:numFmt w:val="lowerLetter"/>
      <w:lvlText w:val="%2."/>
      <w:lvlJc w:val="left"/>
      <w:pPr>
        <w:ind w:left="128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441B10">
      <w:start w:val="1"/>
      <w:numFmt w:val="lowerRoman"/>
      <w:lvlText w:val="%3."/>
      <w:lvlJc w:val="left"/>
      <w:pPr>
        <w:ind w:left="2008" w:hanging="208"/>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B2A71A">
      <w:start w:val="1"/>
      <w:numFmt w:val="decimal"/>
      <w:lvlText w:val="%4."/>
      <w:lvlJc w:val="left"/>
      <w:pPr>
        <w:ind w:left="272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C5CFC2A">
      <w:start w:val="1"/>
      <w:numFmt w:val="lowerLetter"/>
      <w:lvlText w:val="%5."/>
      <w:lvlJc w:val="left"/>
      <w:pPr>
        <w:ind w:left="344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78CC644">
      <w:start w:val="1"/>
      <w:numFmt w:val="lowerRoman"/>
      <w:lvlText w:val="%6."/>
      <w:lvlJc w:val="left"/>
      <w:pPr>
        <w:ind w:left="4168" w:hanging="208"/>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3C5DD6">
      <w:start w:val="1"/>
      <w:numFmt w:val="decimal"/>
      <w:lvlText w:val="%7."/>
      <w:lvlJc w:val="left"/>
      <w:pPr>
        <w:ind w:left="488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3BE49C4">
      <w:start w:val="1"/>
      <w:numFmt w:val="lowerLetter"/>
      <w:lvlText w:val="%8."/>
      <w:lvlJc w:val="left"/>
      <w:pPr>
        <w:ind w:left="5608" w:hanging="284"/>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34A36E">
      <w:start w:val="1"/>
      <w:numFmt w:val="lowerRoman"/>
      <w:lvlText w:val="%9."/>
      <w:lvlJc w:val="left"/>
      <w:pPr>
        <w:ind w:left="6328" w:hanging="208"/>
      </w:pPr>
      <w:rPr>
        <w:rFonts w:hAnsi="Arial Unicode MS"/>
        <w:i/>
        <w:i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7E77780C"/>
    <w:multiLevelType w:val="hybridMultilevel"/>
    <w:tmpl w:val="5D3420E4"/>
    <w:styleLink w:val="List7"/>
    <w:lvl w:ilvl="0" w:tplc="46A8E804">
      <w:start w:val="1"/>
      <w:numFmt w:val="bullet"/>
      <w:lvlText w:val="-"/>
      <w:lvlJc w:val="left"/>
      <w:pPr>
        <w:tabs>
          <w:tab w:val="left" w:pos="424"/>
        </w:tabs>
        <w:ind w:left="347" w:hanging="3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9B1ADACC">
      <w:start w:val="1"/>
      <w:numFmt w:val="bullet"/>
      <w:lvlText w:val="o"/>
      <w:lvlJc w:val="left"/>
      <w:pPr>
        <w:tabs>
          <w:tab w:val="left" w:pos="424"/>
        </w:tabs>
        <w:ind w:left="205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7910C36E">
      <w:start w:val="1"/>
      <w:numFmt w:val="bullet"/>
      <w:lvlText w:val="▪"/>
      <w:lvlJc w:val="left"/>
      <w:pPr>
        <w:tabs>
          <w:tab w:val="left" w:pos="424"/>
        </w:tabs>
        <w:ind w:left="277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DEAE3470">
      <w:start w:val="1"/>
      <w:numFmt w:val="bullet"/>
      <w:lvlText w:val="•"/>
      <w:lvlJc w:val="left"/>
      <w:pPr>
        <w:tabs>
          <w:tab w:val="left" w:pos="424"/>
        </w:tabs>
        <w:ind w:left="349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2F8439C2">
      <w:start w:val="1"/>
      <w:numFmt w:val="bullet"/>
      <w:lvlText w:val="o"/>
      <w:lvlJc w:val="left"/>
      <w:pPr>
        <w:tabs>
          <w:tab w:val="left" w:pos="424"/>
        </w:tabs>
        <w:ind w:left="421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FE29314">
      <w:start w:val="1"/>
      <w:numFmt w:val="bullet"/>
      <w:lvlText w:val="▪"/>
      <w:lvlJc w:val="left"/>
      <w:pPr>
        <w:tabs>
          <w:tab w:val="left" w:pos="424"/>
        </w:tabs>
        <w:ind w:left="493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E2FA1CF2">
      <w:start w:val="1"/>
      <w:numFmt w:val="bullet"/>
      <w:lvlText w:val="•"/>
      <w:lvlJc w:val="left"/>
      <w:pPr>
        <w:tabs>
          <w:tab w:val="left" w:pos="424"/>
        </w:tabs>
        <w:ind w:left="5656" w:hanging="1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3529B7C">
      <w:start w:val="1"/>
      <w:numFmt w:val="bullet"/>
      <w:lvlText w:val="o"/>
      <w:lvlJc w:val="left"/>
      <w:pPr>
        <w:tabs>
          <w:tab w:val="left" w:pos="424"/>
        </w:tabs>
        <w:ind w:left="6376" w:hanging="1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5C3A7A7C">
      <w:start w:val="1"/>
      <w:numFmt w:val="bullet"/>
      <w:lvlText w:val="▪"/>
      <w:lvlJc w:val="left"/>
      <w:pPr>
        <w:tabs>
          <w:tab w:val="left" w:pos="424"/>
        </w:tabs>
        <w:ind w:left="7096" w:hanging="1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25"/>
  </w:num>
  <w:num w:numId="3">
    <w:abstractNumId w:val="6"/>
  </w:num>
  <w:num w:numId="4">
    <w:abstractNumId w:val="5"/>
  </w:num>
  <w:num w:numId="5">
    <w:abstractNumId w:val="7"/>
  </w:num>
  <w:num w:numId="6">
    <w:abstractNumId w:val="1"/>
  </w:num>
  <w:num w:numId="7">
    <w:abstractNumId w:val="3"/>
  </w:num>
  <w:num w:numId="8">
    <w:abstractNumId w:val="0"/>
  </w:num>
  <w:num w:numId="9">
    <w:abstractNumId w:val="10"/>
  </w:num>
  <w:num w:numId="10">
    <w:abstractNumId w:val="13"/>
  </w:num>
  <w:num w:numId="11">
    <w:abstractNumId w:val="8"/>
  </w:num>
  <w:num w:numId="12">
    <w:abstractNumId w:val="16"/>
  </w:num>
  <w:num w:numId="13">
    <w:abstractNumId w:val="4"/>
  </w:num>
  <w:num w:numId="14">
    <w:abstractNumId w:val="23"/>
  </w:num>
  <w:num w:numId="15">
    <w:abstractNumId w:val="9"/>
  </w:num>
  <w:num w:numId="16">
    <w:abstractNumId w:val="20"/>
  </w:num>
  <w:num w:numId="17">
    <w:abstractNumId w:val="19"/>
  </w:num>
  <w:num w:numId="18">
    <w:abstractNumId w:val="27"/>
  </w:num>
  <w:num w:numId="19">
    <w:abstractNumId w:val="18"/>
  </w:num>
  <w:num w:numId="20">
    <w:abstractNumId w:val="15"/>
  </w:num>
  <w:num w:numId="21">
    <w:abstractNumId w:val="22"/>
  </w:num>
  <w:num w:numId="22">
    <w:abstractNumId w:val="24"/>
  </w:num>
  <w:num w:numId="23">
    <w:abstractNumId w:val="26"/>
  </w:num>
  <w:num w:numId="24">
    <w:abstractNumId w:val="17"/>
  </w:num>
  <w:num w:numId="25">
    <w:abstractNumId w:val="11"/>
  </w:num>
  <w:num w:numId="26">
    <w:abstractNumId w:val="21"/>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6E"/>
    <w:rsid w:val="00012DBE"/>
    <w:rsid w:val="000507A1"/>
    <w:rsid w:val="000627FD"/>
    <w:rsid w:val="0007205D"/>
    <w:rsid w:val="00096060"/>
    <w:rsid w:val="000A1D81"/>
    <w:rsid w:val="000A434D"/>
    <w:rsid w:val="000C4BB1"/>
    <w:rsid w:val="000D6EA3"/>
    <w:rsid w:val="000E2F8A"/>
    <w:rsid w:val="00101EBB"/>
    <w:rsid w:val="00111ED3"/>
    <w:rsid w:val="00122FEE"/>
    <w:rsid w:val="001257B8"/>
    <w:rsid w:val="001309A7"/>
    <w:rsid w:val="00157E0E"/>
    <w:rsid w:val="001600A0"/>
    <w:rsid w:val="00176A95"/>
    <w:rsid w:val="0017750E"/>
    <w:rsid w:val="001C190E"/>
    <w:rsid w:val="001C52BF"/>
    <w:rsid w:val="002168F4"/>
    <w:rsid w:val="0023718A"/>
    <w:rsid w:val="00255825"/>
    <w:rsid w:val="00280618"/>
    <w:rsid w:val="002A727C"/>
    <w:rsid w:val="002F215E"/>
    <w:rsid w:val="003005CE"/>
    <w:rsid w:val="00302F71"/>
    <w:rsid w:val="003238C1"/>
    <w:rsid w:val="00325DA3"/>
    <w:rsid w:val="003411DA"/>
    <w:rsid w:val="00341702"/>
    <w:rsid w:val="00343766"/>
    <w:rsid w:val="0035422C"/>
    <w:rsid w:val="00357EAC"/>
    <w:rsid w:val="0039287A"/>
    <w:rsid w:val="00393077"/>
    <w:rsid w:val="003B38DD"/>
    <w:rsid w:val="003B6A6E"/>
    <w:rsid w:val="003D45CD"/>
    <w:rsid w:val="003D5A38"/>
    <w:rsid w:val="00401CDD"/>
    <w:rsid w:val="00427714"/>
    <w:rsid w:val="00433526"/>
    <w:rsid w:val="00452DFD"/>
    <w:rsid w:val="00460AED"/>
    <w:rsid w:val="00480B65"/>
    <w:rsid w:val="004A4FC6"/>
    <w:rsid w:val="004B67C2"/>
    <w:rsid w:val="004C26B3"/>
    <w:rsid w:val="004D627B"/>
    <w:rsid w:val="005158CB"/>
    <w:rsid w:val="005263FA"/>
    <w:rsid w:val="0053075C"/>
    <w:rsid w:val="0056042F"/>
    <w:rsid w:val="0056551C"/>
    <w:rsid w:val="0056683A"/>
    <w:rsid w:val="00573ABA"/>
    <w:rsid w:val="00576BAA"/>
    <w:rsid w:val="005926B2"/>
    <w:rsid w:val="005B560A"/>
    <w:rsid w:val="005B69EC"/>
    <w:rsid w:val="005D013F"/>
    <w:rsid w:val="005D1D7B"/>
    <w:rsid w:val="005D2707"/>
    <w:rsid w:val="005E5A3D"/>
    <w:rsid w:val="00606255"/>
    <w:rsid w:val="006078AF"/>
    <w:rsid w:val="0061290D"/>
    <w:rsid w:val="00640EAE"/>
    <w:rsid w:val="006427D8"/>
    <w:rsid w:val="0064305D"/>
    <w:rsid w:val="0064795A"/>
    <w:rsid w:val="006979FA"/>
    <w:rsid w:val="006A2513"/>
    <w:rsid w:val="006B607A"/>
    <w:rsid w:val="006D4EC3"/>
    <w:rsid w:val="00710FF1"/>
    <w:rsid w:val="007300E8"/>
    <w:rsid w:val="0074201E"/>
    <w:rsid w:val="00776B7B"/>
    <w:rsid w:val="007B3D6B"/>
    <w:rsid w:val="007C64E6"/>
    <w:rsid w:val="007C7F42"/>
    <w:rsid w:val="007D41DE"/>
    <w:rsid w:val="007D451C"/>
    <w:rsid w:val="008239BF"/>
    <w:rsid w:val="00826224"/>
    <w:rsid w:val="00840C51"/>
    <w:rsid w:val="00861A16"/>
    <w:rsid w:val="008832D3"/>
    <w:rsid w:val="008878FE"/>
    <w:rsid w:val="0089451A"/>
    <w:rsid w:val="00896072"/>
    <w:rsid w:val="008B04B2"/>
    <w:rsid w:val="009159CC"/>
    <w:rsid w:val="00930A23"/>
    <w:rsid w:val="009377F5"/>
    <w:rsid w:val="00946A20"/>
    <w:rsid w:val="00952A1E"/>
    <w:rsid w:val="00971124"/>
    <w:rsid w:val="00975537"/>
    <w:rsid w:val="009772A4"/>
    <w:rsid w:val="00980919"/>
    <w:rsid w:val="00980FBD"/>
    <w:rsid w:val="009A2D21"/>
    <w:rsid w:val="009B4A81"/>
    <w:rsid w:val="009C7354"/>
    <w:rsid w:val="009E6D7F"/>
    <w:rsid w:val="00A11E73"/>
    <w:rsid w:val="00A2521E"/>
    <w:rsid w:val="00A4510A"/>
    <w:rsid w:val="00A86E12"/>
    <w:rsid w:val="00A92F8A"/>
    <w:rsid w:val="00AB0767"/>
    <w:rsid w:val="00AB4E38"/>
    <w:rsid w:val="00AC0C9E"/>
    <w:rsid w:val="00AE436A"/>
    <w:rsid w:val="00B33662"/>
    <w:rsid w:val="00B7609B"/>
    <w:rsid w:val="00B84E8F"/>
    <w:rsid w:val="00B87B25"/>
    <w:rsid w:val="00BB04E4"/>
    <w:rsid w:val="00BD205F"/>
    <w:rsid w:val="00BD44FF"/>
    <w:rsid w:val="00BE4B06"/>
    <w:rsid w:val="00BF5DB7"/>
    <w:rsid w:val="00C029AE"/>
    <w:rsid w:val="00C128EE"/>
    <w:rsid w:val="00C135B1"/>
    <w:rsid w:val="00C328B7"/>
    <w:rsid w:val="00C4272A"/>
    <w:rsid w:val="00C50A0A"/>
    <w:rsid w:val="00C6757E"/>
    <w:rsid w:val="00C72562"/>
    <w:rsid w:val="00C84B2C"/>
    <w:rsid w:val="00C92DF8"/>
    <w:rsid w:val="00CB3578"/>
    <w:rsid w:val="00CB416F"/>
    <w:rsid w:val="00CD4432"/>
    <w:rsid w:val="00D032C6"/>
    <w:rsid w:val="00D10091"/>
    <w:rsid w:val="00D106D5"/>
    <w:rsid w:val="00D20AFA"/>
    <w:rsid w:val="00D27E52"/>
    <w:rsid w:val="00D40C2D"/>
    <w:rsid w:val="00D524AC"/>
    <w:rsid w:val="00D55648"/>
    <w:rsid w:val="00D741EB"/>
    <w:rsid w:val="00D77477"/>
    <w:rsid w:val="00D840D8"/>
    <w:rsid w:val="00D879CB"/>
    <w:rsid w:val="00D96F62"/>
    <w:rsid w:val="00DA2647"/>
    <w:rsid w:val="00DA514B"/>
    <w:rsid w:val="00DB7A0E"/>
    <w:rsid w:val="00DD125E"/>
    <w:rsid w:val="00DE3F89"/>
    <w:rsid w:val="00E0579B"/>
    <w:rsid w:val="00E16443"/>
    <w:rsid w:val="00E210DE"/>
    <w:rsid w:val="00E24C06"/>
    <w:rsid w:val="00E36EE9"/>
    <w:rsid w:val="00E45E75"/>
    <w:rsid w:val="00E97F6E"/>
    <w:rsid w:val="00EA2CC2"/>
    <w:rsid w:val="00EA5C06"/>
    <w:rsid w:val="00EC5671"/>
    <w:rsid w:val="00ED2B9E"/>
    <w:rsid w:val="00EF3A06"/>
    <w:rsid w:val="00EF5E9B"/>
    <w:rsid w:val="00F13442"/>
    <w:rsid w:val="00F20418"/>
    <w:rsid w:val="00F25232"/>
    <w:rsid w:val="00F3698A"/>
    <w:rsid w:val="00F370F3"/>
    <w:rsid w:val="00F37C24"/>
    <w:rsid w:val="00F41AFB"/>
    <w:rsid w:val="00F42B34"/>
    <w:rsid w:val="00F70A52"/>
    <w:rsid w:val="00F72D8F"/>
    <w:rsid w:val="00F956D4"/>
    <w:rsid w:val="00FC18CF"/>
    <w:rsid w:val="00FE0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09B20"/>
  <w15:docId w15:val="{5008DD12-3C6F-4B2C-89D4-BFD3D3D4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rsid w:val="00E97F6E"/>
    <w:pPr>
      <w:keepNext/>
      <w:keepLines/>
      <w:spacing w:before="200" w:after="200" w:line="276" w:lineRule="auto"/>
      <w:ind w:left="864" w:hanging="864"/>
      <w:outlineLvl w:val="3"/>
    </w:pPr>
    <w:rPr>
      <w:rFonts w:eastAsia="Verdana" w:cs="Verdana"/>
      <w:b/>
      <w:color w:val="000000"/>
      <w:sz w:val="18"/>
      <w:szCs w:val="20"/>
    </w:rPr>
  </w:style>
  <w:style w:type="paragraph" w:styleId="Kop5">
    <w:name w:val="heading 5"/>
    <w:basedOn w:val="Standaard"/>
    <w:next w:val="Standaard"/>
    <w:link w:val="Kop5Char"/>
    <w:rsid w:val="00E97F6E"/>
    <w:pPr>
      <w:keepNext/>
      <w:keepLines/>
      <w:spacing w:before="200" w:after="200" w:line="276" w:lineRule="auto"/>
      <w:ind w:left="1008" w:hanging="1008"/>
      <w:outlineLvl w:val="4"/>
    </w:pPr>
    <w:rPr>
      <w:rFonts w:ascii="Calibri" w:eastAsia="Calibri" w:hAnsi="Calibri" w:cs="Calibri"/>
      <w:color w:val="243F61"/>
      <w:sz w:val="18"/>
      <w:szCs w:val="20"/>
    </w:rPr>
  </w:style>
  <w:style w:type="paragraph" w:styleId="Kop6">
    <w:name w:val="heading 6"/>
    <w:basedOn w:val="Standaard"/>
    <w:next w:val="Standaard"/>
    <w:link w:val="Kop6Char"/>
    <w:rsid w:val="00E97F6E"/>
    <w:pPr>
      <w:keepNext/>
      <w:keepLines/>
      <w:spacing w:before="200" w:after="200" w:line="276" w:lineRule="auto"/>
      <w:ind w:left="1152" w:hanging="1152"/>
      <w:outlineLvl w:val="5"/>
    </w:pPr>
    <w:rPr>
      <w:rFonts w:ascii="Calibri" w:eastAsia="Calibri" w:hAnsi="Calibri" w:cs="Calibri"/>
      <w:i/>
      <w:color w:val="243F61"/>
      <w:sz w:val="18"/>
      <w:szCs w:val="20"/>
    </w:rPr>
  </w:style>
  <w:style w:type="paragraph" w:styleId="Kop7">
    <w:name w:val="heading 7"/>
    <w:basedOn w:val="Standaard"/>
    <w:next w:val="Standaard"/>
    <w:link w:val="Kop7Char"/>
    <w:uiPriority w:val="9"/>
    <w:semiHidden/>
    <w:unhideWhenUsed/>
    <w:qFormat/>
    <w:rsid w:val="00E97F6E"/>
    <w:pPr>
      <w:keepNext/>
      <w:keepLines/>
      <w:spacing w:before="40" w:line="259" w:lineRule="auto"/>
      <w:outlineLvl w:val="6"/>
    </w:pPr>
    <w:rPr>
      <w:rFonts w:ascii="Calibri Light" w:hAnsi="Calibri Light"/>
      <w:i/>
      <w:iCs/>
      <w:color w:val="404040"/>
      <w:sz w:val="18"/>
      <w:szCs w:val="22"/>
      <w:lang w:val="en-US" w:eastAsia="en-US"/>
    </w:rPr>
  </w:style>
  <w:style w:type="paragraph" w:styleId="Kop8">
    <w:name w:val="heading 8"/>
    <w:basedOn w:val="Standaard"/>
    <w:next w:val="Standaard"/>
    <w:link w:val="Kop8Char"/>
    <w:uiPriority w:val="9"/>
    <w:semiHidden/>
    <w:unhideWhenUsed/>
    <w:qFormat/>
    <w:rsid w:val="00E97F6E"/>
    <w:pPr>
      <w:keepNext/>
      <w:keepLines/>
      <w:spacing w:before="40" w:line="259" w:lineRule="auto"/>
      <w:outlineLvl w:val="7"/>
    </w:pPr>
    <w:rPr>
      <w:rFonts w:ascii="Calibri Light" w:hAnsi="Calibri Light"/>
      <w:color w:val="404040"/>
      <w:sz w:val="18"/>
      <w:szCs w:val="22"/>
      <w:lang w:val="en-US" w:eastAsia="en-US"/>
    </w:rPr>
  </w:style>
  <w:style w:type="paragraph" w:styleId="Kop9">
    <w:name w:val="heading 9"/>
    <w:basedOn w:val="Standaard"/>
    <w:next w:val="Standaard"/>
    <w:link w:val="Kop9Char"/>
    <w:uiPriority w:val="9"/>
    <w:semiHidden/>
    <w:unhideWhenUsed/>
    <w:qFormat/>
    <w:rsid w:val="00E97F6E"/>
    <w:pPr>
      <w:keepNext/>
      <w:keepLines/>
      <w:spacing w:before="40" w:line="259" w:lineRule="auto"/>
      <w:outlineLvl w:val="8"/>
    </w:pPr>
    <w:rPr>
      <w:rFonts w:ascii="Calibri Light" w:hAnsi="Calibri Light"/>
      <w:i/>
      <w:iCs/>
      <w:color w:val="404040"/>
      <w:sz w:val="18"/>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1"/>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aliases w:val="Voetnootverwijzing_par,a_Fußnotentext,Schriftart: 9 pt,Schriftart: 8 pt,Voetnoottekst Char1,Voetnoottekst Char2 Char,Voetnoottekst Char1 Char Char,Voetnoottekst Char3 Char Char Char,Voetnoottekst Char2 Char Char Char Char"/>
    <w:basedOn w:val="Standaard"/>
    <w:link w:val="VoetnoottekstChar"/>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E97F6E"/>
    <w:rPr>
      <w:rFonts w:ascii="Verdana" w:eastAsia="Verdana" w:hAnsi="Verdana" w:cs="Verdana"/>
      <w:b/>
      <w:color w:val="000000"/>
      <w:sz w:val="18"/>
    </w:rPr>
  </w:style>
  <w:style w:type="character" w:customStyle="1" w:styleId="Kop5Char">
    <w:name w:val="Kop 5 Char"/>
    <w:basedOn w:val="Standaardalinea-lettertype"/>
    <w:link w:val="Kop5"/>
    <w:rsid w:val="00E97F6E"/>
    <w:rPr>
      <w:rFonts w:ascii="Calibri" w:eastAsia="Calibri" w:hAnsi="Calibri" w:cs="Calibri"/>
      <w:color w:val="243F61"/>
      <w:sz w:val="18"/>
    </w:rPr>
  </w:style>
  <w:style w:type="character" w:customStyle="1" w:styleId="Kop6Char">
    <w:name w:val="Kop 6 Char"/>
    <w:basedOn w:val="Standaardalinea-lettertype"/>
    <w:link w:val="Kop6"/>
    <w:rsid w:val="00E97F6E"/>
    <w:rPr>
      <w:rFonts w:ascii="Calibri" w:eastAsia="Calibri" w:hAnsi="Calibri" w:cs="Calibri"/>
      <w:i/>
      <w:color w:val="243F61"/>
      <w:sz w:val="18"/>
    </w:rPr>
  </w:style>
  <w:style w:type="character" w:customStyle="1" w:styleId="Kop7Char">
    <w:name w:val="Kop 7 Char"/>
    <w:basedOn w:val="Standaardalinea-lettertype"/>
    <w:link w:val="Kop7"/>
    <w:uiPriority w:val="9"/>
    <w:semiHidden/>
    <w:rsid w:val="00E97F6E"/>
    <w:rPr>
      <w:rFonts w:ascii="Calibri Light" w:hAnsi="Calibri Light"/>
      <w:i/>
      <w:iCs/>
      <w:color w:val="404040"/>
      <w:sz w:val="18"/>
      <w:szCs w:val="22"/>
      <w:lang w:val="en-US" w:eastAsia="en-US"/>
    </w:rPr>
  </w:style>
  <w:style w:type="character" w:customStyle="1" w:styleId="Kop8Char">
    <w:name w:val="Kop 8 Char"/>
    <w:basedOn w:val="Standaardalinea-lettertype"/>
    <w:link w:val="Kop8"/>
    <w:uiPriority w:val="9"/>
    <w:semiHidden/>
    <w:rsid w:val="00E97F6E"/>
    <w:rPr>
      <w:rFonts w:ascii="Calibri Light" w:hAnsi="Calibri Light"/>
      <w:color w:val="404040"/>
      <w:sz w:val="18"/>
      <w:szCs w:val="22"/>
      <w:lang w:val="en-US" w:eastAsia="en-US"/>
    </w:rPr>
  </w:style>
  <w:style w:type="character" w:customStyle="1" w:styleId="Kop9Char">
    <w:name w:val="Kop 9 Char"/>
    <w:basedOn w:val="Standaardalinea-lettertype"/>
    <w:link w:val="Kop9"/>
    <w:uiPriority w:val="9"/>
    <w:semiHidden/>
    <w:rsid w:val="00E97F6E"/>
    <w:rPr>
      <w:rFonts w:ascii="Calibri Light" w:hAnsi="Calibri Light"/>
      <w:i/>
      <w:iCs/>
      <w:color w:val="404040"/>
      <w:sz w:val="18"/>
      <w:szCs w:val="22"/>
      <w:lang w:val="en-US" w:eastAsia="en-US"/>
    </w:rPr>
  </w:style>
  <w:style w:type="paragraph" w:styleId="Aanhef">
    <w:name w:val="Salutation"/>
    <w:basedOn w:val="Standaard"/>
    <w:next w:val="Standaard"/>
    <w:link w:val="AanhefChar"/>
    <w:rsid w:val="00E97F6E"/>
    <w:pPr>
      <w:autoSpaceDN w:val="0"/>
      <w:spacing w:before="100" w:after="240" w:line="240" w:lineRule="exact"/>
      <w:textAlignment w:val="baseline"/>
    </w:pPr>
    <w:rPr>
      <w:rFonts w:eastAsia="DejaVu Sans" w:cs="Lohit Hindi"/>
      <w:color w:val="000000"/>
      <w:sz w:val="18"/>
      <w:szCs w:val="18"/>
    </w:rPr>
  </w:style>
  <w:style w:type="character" w:customStyle="1" w:styleId="AanhefChar">
    <w:name w:val="Aanhef Char"/>
    <w:basedOn w:val="Standaardalinea-lettertype"/>
    <w:link w:val="Aanhef"/>
    <w:rsid w:val="00E97F6E"/>
    <w:rPr>
      <w:rFonts w:ascii="Verdana" w:eastAsia="DejaVu Sans" w:hAnsi="Verdana" w:cs="Lohit Hindi"/>
      <w:color w:val="000000"/>
      <w:sz w:val="18"/>
      <w:szCs w:val="18"/>
    </w:rPr>
  </w:style>
  <w:style w:type="paragraph" w:customStyle="1" w:styleId="ACW85Documentgegevens">
    <w:name w:val="ACW 8.5 Documentgegevens"/>
    <w:basedOn w:val="Standaard"/>
    <w:next w:val="Standaard"/>
    <w:rsid w:val="00E97F6E"/>
    <w:pPr>
      <w:autoSpaceDN w:val="0"/>
      <w:spacing w:before="20" w:line="240" w:lineRule="exact"/>
      <w:textAlignment w:val="baseline"/>
    </w:pPr>
    <w:rPr>
      <w:rFonts w:eastAsia="DejaVu Sans" w:cs="Lohit Hindi"/>
      <w:color w:val="000000"/>
      <w:sz w:val="17"/>
      <w:szCs w:val="17"/>
    </w:rPr>
  </w:style>
  <w:style w:type="paragraph" w:customStyle="1" w:styleId="ACWAanhef">
    <w:name w:val="ACW Aanhef"/>
    <w:basedOn w:val="Standaard"/>
    <w:next w:val="Standaard"/>
    <w:rsid w:val="00E97F6E"/>
    <w:pPr>
      <w:autoSpaceDN w:val="0"/>
      <w:spacing w:before="240" w:after="240" w:line="280" w:lineRule="exact"/>
      <w:textAlignment w:val="baseline"/>
    </w:pPr>
    <w:rPr>
      <w:rFonts w:eastAsia="DejaVu Sans" w:cs="Lohit Hindi"/>
      <w:color w:val="000000"/>
      <w:sz w:val="17"/>
      <w:szCs w:val="17"/>
    </w:rPr>
  </w:style>
  <w:style w:type="paragraph" w:customStyle="1" w:styleId="ACWDocumentnaam">
    <w:name w:val="ACW Documentnaam"/>
    <w:basedOn w:val="Standaard"/>
    <w:next w:val="Standaard"/>
    <w:rsid w:val="00E97F6E"/>
    <w:pPr>
      <w:autoSpaceDN w:val="0"/>
      <w:spacing w:line="240" w:lineRule="exact"/>
      <w:textAlignment w:val="baseline"/>
    </w:pPr>
    <w:rPr>
      <w:rFonts w:eastAsia="DejaVu Sans" w:cs="Lohit Hindi"/>
      <w:color w:val="000000"/>
      <w:sz w:val="25"/>
      <w:szCs w:val="25"/>
    </w:rPr>
  </w:style>
  <w:style w:type="paragraph" w:customStyle="1" w:styleId="ACWKopjesVerdana7">
    <w:name w:val="ACW Kopjes Verdana 7"/>
    <w:basedOn w:val="Standaard"/>
    <w:next w:val="Standaard"/>
    <w:rsid w:val="00E97F6E"/>
    <w:pPr>
      <w:autoSpaceDN w:val="0"/>
      <w:spacing w:before="60" w:line="220" w:lineRule="exact"/>
      <w:textAlignment w:val="baseline"/>
    </w:pPr>
    <w:rPr>
      <w:rFonts w:eastAsia="DejaVu Sans" w:cs="Lohit Hindi"/>
      <w:color w:val="000000"/>
      <w:sz w:val="14"/>
      <w:szCs w:val="14"/>
    </w:rPr>
  </w:style>
  <w:style w:type="paragraph" w:customStyle="1" w:styleId="ACWOndertekening85">
    <w:name w:val="ACW Ondertekening 8.5"/>
    <w:basedOn w:val="Standaard"/>
    <w:next w:val="Standaard"/>
    <w:rsid w:val="00E97F6E"/>
    <w:pPr>
      <w:autoSpaceDN w:val="0"/>
      <w:spacing w:line="240" w:lineRule="exact"/>
      <w:textAlignment w:val="baseline"/>
    </w:pPr>
    <w:rPr>
      <w:rFonts w:eastAsia="DejaVu Sans" w:cs="Lohit Hindi"/>
      <w:color w:val="000000"/>
      <w:sz w:val="17"/>
      <w:szCs w:val="17"/>
    </w:rPr>
  </w:style>
  <w:style w:type="paragraph" w:customStyle="1" w:styleId="ACWOndertekening85cursief">
    <w:name w:val="ACW Ondertekening 8.5 cursief"/>
    <w:basedOn w:val="Standaard"/>
    <w:next w:val="Standaard"/>
    <w:rsid w:val="00E97F6E"/>
    <w:pPr>
      <w:autoSpaceDN w:val="0"/>
      <w:spacing w:line="240" w:lineRule="exact"/>
      <w:textAlignment w:val="baseline"/>
    </w:pPr>
    <w:rPr>
      <w:rFonts w:eastAsia="DejaVu Sans" w:cs="Lohit Hindi"/>
      <w:i/>
      <w:color w:val="000000"/>
      <w:sz w:val="17"/>
      <w:szCs w:val="17"/>
    </w:rPr>
  </w:style>
  <w:style w:type="paragraph" w:customStyle="1" w:styleId="ACWSlotzin">
    <w:name w:val="ACW Slotzin"/>
    <w:basedOn w:val="Standaard"/>
    <w:next w:val="Standaard"/>
    <w:rsid w:val="00E97F6E"/>
    <w:pPr>
      <w:autoSpaceDN w:val="0"/>
      <w:spacing w:before="240" w:line="280" w:lineRule="exact"/>
      <w:textAlignment w:val="baseline"/>
    </w:pPr>
    <w:rPr>
      <w:rFonts w:eastAsia="DejaVu Sans" w:cs="Lohit Hindi"/>
      <w:color w:val="000000"/>
      <w:sz w:val="17"/>
      <w:szCs w:val="17"/>
    </w:rPr>
  </w:style>
  <w:style w:type="paragraph" w:customStyle="1" w:styleId="ACWStandaardVerdana85">
    <w:name w:val="ACW Standaard Verdana 8.5"/>
    <w:basedOn w:val="Standaard"/>
    <w:next w:val="Standaard"/>
    <w:rsid w:val="00E97F6E"/>
    <w:pPr>
      <w:autoSpaceDN w:val="0"/>
      <w:spacing w:line="280" w:lineRule="exact"/>
      <w:textAlignment w:val="baseline"/>
    </w:pPr>
    <w:rPr>
      <w:rFonts w:eastAsia="DejaVu Sans" w:cs="Lohit Hindi"/>
      <w:color w:val="000000"/>
      <w:sz w:val="17"/>
      <w:szCs w:val="17"/>
    </w:rPr>
  </w:style>
  <w:style w:type="paragraph" w:customStyle="1" w:styleId="Afzendgegevens">
    <w:name w:val="Afzendgegevens"/>
    <w:basedOn w:val="Standaard"/>
    <w:next w:val="Standaard"/>
    <w:rsid w:val="00E97F6E"/>
    <w:pPr>
      <w:tabs>
        <w:tab w:val="left" w:pos="2267"/>
      </w:tabs>
      <w:autoSpaceDN w:val="0"/>
      <w:spacing w:line="180" w:lineRule="exact"/>
      <w:textAlignment w:val="baseline"/>
    </w:pPr>
    <w:rPr>
      <w:rFonts w:eastAsia="DejaVu Sans" w:cs="Lohit Hindi"/>
      <w:color w:val="000000"/>
      <w:sz w:val="13"/>
      <w:szCs w:val="13"/>
    </w:rPr>
  </w:style>
  <w:style w:type="paragraph" w:customStyle="1" w:styleId="Afzendgegevenscursief">
    <w:name w:val="Afzendgegevens cursief"/>
    <w:next w:val="Standaard"/>
    <w:rsid w:val="00E97F6E"/>
    <w:pPr>
      <w:tabs>
        <w:tab w:val="left" w:pos="170"/>
      </w:tabs>
      <w:autoSpaceDN w:val="0"/>
      <w:spacing w:line="180" w:lineRule="exact"/>
      <w:textAlignment w:val="baseline"/>
    </w:pPr>
    <w:rPr>
      <w:rFonts w:ascii="Verdana" w:eastAsia="DejaVu Sans" w:hAnsi="Verdana" w:cs="Lohit Hindi"/>
      <w:i/>
      <w:color w:val="000000"/>
      <w:sz w:val="13"/>
      <w:szCs w:val="13"/>
    </w:rPr>
  </w:style>
  <w:style w:type="paragraph" w:customStyle="1" w:styleId="Afzendgegevenskop">
    <w:name w:val="Afzendgegevens kop"/>
    <w:basedOn w:val="Standaard"/>
    <w:next w:val="Standaard"/>
    <w:rsid w:val="00E97F6E"/>
    <w:pPr>
      <w:autoSpaceDN w:val="0"/>
      <w:spacing w:line="180" w:lineRule="exact"/>
      <w:textAlignment w:val="baseline"/>
    </w:pPr>
    <w:rPr>
      <w:rFonts w:eastAsia="DejaVu Sans" w:cs="Lohit Hindi"/>
      <w:color w:val="000000"/>
      <w:sz w:val="13"/>
      <w:szCs w:val="13"/>
    </w:rPr>
  </w:style>
  <w:style w:type="paragraph" w:customStyle="1" w:styleId="AfzendgegevensKop0">
    <w:name w:val="Afzendgegevens_Kop"/>
    <w:basedOn w:val="Afzendgegevens"/>
    <w:next w:val="Standaard"/>
    <w:rsid w:val="00E97F6E"/>
    <w:rPr>
      <w:b/>
    </w:rPr>
  </w:style>
  <w:style w:type="paragraph" w:customStyle="1" w:styleId="Algemenevoorwaarden">
    <w:name w:val="Algemene voorwaarden"/>
    <w:next w:val="Standaard"/>
    <w:rsid w:val="00E97F6E"/>
    <w:pPr>
      <w:autoSpaceDN w:val="0"/>
      <w:spacing w:line="180" w:lineRule="exact"/>
      <w:textAlignment w:val="baseline"/>
    </w:pPr>
    <w:rPr>
      <w:rFonts w:ascii="Verdana" w:eastAsia="DejaVu Sans" w:hAnsi="Verdana" w:cs="Lohit Hindi"/>
      <w:i/>
      <w:color w:val="000000"/>
      <w:sz w:val="13"/>
      <w:szCs w:val="13"/>
    </w:rPr>
  </w:style>
  <w:style w:type="paragraph" w:customStyle="1" w:styleId="ANVSeindblad1">
    <w:name w:val="ANVS eindblad 1"/>
    <w:basedOn w:val="Standaard"/>
    <w:next w:val="Standaard"/>
    <w:rsid w:val="00E97F6E"/>
    <w:pPr>
      <w:autoSpaceDN w:val="0"/>
      <w:spacing w:before="220" w:line="240" w:lineRule="exact"/>
      <w:textAlignment w:val="baseline"/>
    </w:pPr>
    <w:rPr>
      <w:rFonts w:eastAsia="DejaVu Sans" w:cs="Lohit Hindi"/>
      <w:color w:val="000000"/>
      <w:sz w:val="18"/>
      <w:szCs w:val="18"/>
    </w:rPr>
  </w:style>
  <w:style w:type="paragraph" w:customStyle="1" w:styleId="ANVSeindblad2">
    <w:name w:val="ANVS eindblad 2"/>
    <w:basedOn w:val="Standaard"/>
    <w:next w:val="Standaard"/>
    <w:rsid w:val="00E97F6E"/>
    <w:pPr>
      <w:autoSpaceDN w:val="0"/>
      <w:spacing w:before="250" w:line="240" w:lineRule="exact"/>
      <w:textAlignment w:val="baseline"/>
    </w:pPr>
    <w:rPr>
      <w:rFonts w:eastAsia="DejaVu Sans" w:cs="Lohit Hindi"/>
      <w:color w:val="000000"/>
      <w:sz w:val="18"/>
      <w:szCs w:val="18"/>
    </w:rPr>
  </w:style>
  <w:style w:type="paragraph" w:customStyle="1" w:styleId="ANVSeindblad3">
    <w:name w:val="ANVS eindblad 3"/>
    <w:basedOn w:val="Standaard"/>
    <w:next w:val="Standaard"/>
    <w:rsid w:val="00E97F6E"/>
    <w:pPr>
      <w:autoSpaceDN w:val="0"/>
      <w:spacing w:before="280" w:line="240" w:lineRule="exact"/>
      <w:textAlignment w:val="baseline"/>
    </w:pPr>
    <w:rPr>
      <w:rFonts w:eastAsia="DejaVu Sans" w:cs="Lohit Hindi"/>
      <w:color w:val="000000"/>
      <w:sz w:val="18"/>
      <w:szCs w:val="18"/>
    </w:rPr>
  </w:style>
  <w:style w:type="paragraph" w:customStyle="1" w:styleId="ANVSInhoudn36r15">
    <w:name w:val="ANVS Inhoud n36 r15"/>
    <w:basedOn w:val="Standaard"/>
    <w:next w:val="Standaard"/>
    <w:rsid w:val="00E97F6E"/>
    <w:pPr>
      <w:autoSpaceDN w:val="0"/>
      <w:spacing w:after="720" w:line="300" w:lineRule="exact"/>
      <w:textAlignment w:val="baseline"/>
    </w:pPr>
    <w:rPr>
      <w:rFonts w:eastAsia="DejaVu Sans" w:cs="Lohit Hindi"/>
      <w:color w:val="000000"/>
      <w:sz w:val="24"/>
    </w:rPr>
  </w:style>
  <w:style w:type="paragraph" w:customStyle="1" w:styleId="ANVSInspectierapportstandaardna6">
    <w:name w:val="ANVS Inspectierapport standaard na 6"/>
    <w:basedOn w:val="Standaard"/>
    <w:next w:val="Standaard"/>
    <w:rsid w:val="00E97F6E"/>
    <w:pPr>
      <w:autoSpaceDN w:val="0"/>
      <w:spacing w:after="120" w:line="240" w:lineRule="exact"/>
      <w:textAlignment w:val="baseline"/>
    </w:pPr>
    <w:rPr>
      <w:rFonts w:eastAsia="DejaVu Sans" w:cs="Lohit Hindi"/>
      <w:color w:val="000000"/>
      <w:sz w:val="18"/>
      <w:szCs w:val="18"/>
    </w:rPr>
  </w:style>
  <w:style w:type="paragraph" w:customStyle="1" w:styleId="ANVSInspectierapportTitel">
    <w:name w:val="ANVS Inspectierapport Titel"/>
    <w:basedOn w:val="Standaard"/>
    <w:next w:val="Standaard"/>
    <w:rsid w:val="00E97F6E"/>
    <w:pPr>
      <w:autoSpaceDN w:val="0"/>
      <w:spacing w:before="60" w:after="320" w:line="240" w:lineRule="exact"/>
      <w:textAlignment w:val="baseline"/>
    </w:pPr>
    <w:rPr>
      <w:rFonts w:eastAsia="DejaVu Sans" w:cs="Lohit Hindi"/>
      <w:b/>
      <w:color w:val="000000"/>
      <w:sz w:val="24"/>
    </w:rPr>
  </w:style>
  <w:style w:type="paragraph" w:customStyle="1" w:styleId="ANVSInspectierapporttussenruimte">
    <w:name w:val="ANVS Inspectierapport tussenruimte"/>
    <w:basedOn w:val="Standaard"/>
    <w:next w:val="Standaard"/>
    <w:rsid w:val="00E97F6E"/>
    <w:pPr>
      <w:autoSpaceDN w:val="0"/>
      <w:spacing w:after="840" w:line="240" w:lineRule="exact"/>
      <w:textAlignment w:val="baseline"/>
    </w:pPr>
    <w:rPr>
      <w:rFonts w:eastAsia="DejaVu Sans" w:cs="Lohit Hindi"/>
      <w:color w:val="000000"/>
      <w:sz w:val="18"/>
      <w:szCs w:val="18"/>
    </w:rPr>
  </w:style>
  <w:style w:type="paragraph" w:customStyle="1" w:styleId="ANVSstandaard15">
    <w:name w:val="ANVS standaard 1.5"/>
    <w:basedOn w:val="Standaard"/>
    <w:next w:val="Standaard"/>
    <w:rsid w:val="00E97F6E"/>
    <w:pPr>
      <w:autoSpaceDN w:val="0"/>
      <w:spacing w:line="320" w:lineRule="exact"/>
      <w:textAlignment w:val="baseline"/>
    </w:pPr>
    <w:rPr>
      <w:rFonts w:eastAsia="DejaVu Sans" w:cs="Lohit Hindi"/>
      <w:color w:val="000000"/>
      <w:sz w:val="18"/>
      <w:szCs w:val="18"/>
    </w:rPr>
  </w:style>
  <w:style w:type="paragraph" w:customStyle="1" w:styleId="ANVSStandaardVerdana8">
    <w:name w:val="ANVS Standaard Verdana 8"/>
    <w:basedOn w:val="Standaard"/>
    <w:next w:val="Standaard"/>
    <w:rsid w:val="00E97F6E"/>
    <w:pPr>
      <w:autoSpaceDN w:val="0"/>
      <w:spacing w:line="240" w:lineRule="exact"/>
      <w:textAlignment w:val="baseline"/>
    </w:pPr>
    <w:rPr>
      <w:rFonts w:eastAsia="DejaVu Sans" w:cs="Lohit Hindi"/>
      <w:color w:val="000000"/>
      <w:sz w:val="16"/>
      <w:szCs w:val="16"/>
    </w:rPr>
  </w:style>
  <w:style w:type="paragraph" w:customStyle="1" w:styleId="ANVSV12R12">
    <w:name w:val="ANVS V12 R12"/>
    <w:basedOn w:val="Standaard"/>
    <w:next w:val="Standaard"/>
    <w:rsid w:val="00E97F6E"/>
    <w:pPr>
      <w:autoSpaceDN w:val="0"/>
      <w:spacing w:line="240" w:lineRule="exact"/>
      <w:textAlignment w:val="baseline"/>
    </w:pPr>
    <w:rPr>
      <w:rFonts w:eastAsia="DejaVu Sans" w:cs="Lohit Hindi"/>
      <w:color w:val="000000"/>
      <w:sz w:val="24"/>
    </w:rPr>
  </w:style>
  <w:style w:type="paragraph" w:customStyle="1" w:styleId="ANVSV9v0n6r12bold">
    <w:name w:val="ANVS V9 v0 n6 r12 bold"/>
    <w:basedOn w:val="Standaard"/>
    <w:next w:val="Standaard"/>
    <w:rsid w:val="00E97F6E"/>
    <w:pPr>
      <w:autoSpaceDN w:val="0"/>
      <w:spacing w:after="120" w:line="240" w:lineRule="exact"/>
      <w:textAlignment w:val="baseline"/>
    </w:pPr>
    <w:rPr>
      <w:rFonts w:eastAsia="DejaVu Sans" w:cs="Lohit Hindi"/>
      <w:b/>
      <w:color w:val="000000"/>
      <w:sz w:val="18"/>
      <w:szCs w:val="18"/>
    </w:rPr>
  </w:style>
  <w:style w:type="paragraph" w:customStyle="1" w:styleId="DPopsomming">
    <w:name w:val="DP opsomm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DPstandaardopsomming">
    <w:name w:val="DP standaard opsomming"/>
    <w:basedOn w:val="Standaard"/>
    <w:next w:val="Standaard"/>
    <w:rsid w:val="00E97F6E"/>
    <w:pPr>
      <w:numPr>
        <w:numId w:val="1"/>
      </w:numPr>
      <w:autoSpaceDN w:val="0"/>
      <w:spacing w:line="240" w:lineRule="exact"/>
      <w:textAlignment w:val="baseline"/>
    </w:pPr>
    <w:rPr>
      <w:rFonts w:eastAsia="DejaVu Sans" w:cs="Lohit Hindi"/>
      <w:color w:val="000000"/>
      <w:sz w:val="18"/>
      <w:szCs w:val="18"/>
    </w:rPr>
  </w:style>
  <w:style w:type="paragraph" w:customStyle="1" w:styleId="DPstandaardopsomming2">
    <w:name w:val="DP standaard opsomming 2"/>
    <w:basedOn w:val="Standaard"/>
    <w:next w:val="Standaard"/>
    <w:rsid w:val="00E97F6E"/>
    <w:pPr>
      <w:numPr>
        <w:ilvl w:val="1"/>
        <w:numId w:val="1"/>
      </w:numPr>
      <w:autoSpaceDN w:val="0"/>
      <w:spacing w:line="240" w:lineRule="exact"/>
      <w:textAlignment w:val="baseline"/>
    </w:pPr>
    <w:rPr>
      <w:rFonts w:eastAsia="DejaVu Sans" w:cs="Lohit Hindi"/>
      <w:color w:val="000000"/>
      <w:sz w:val="18"/>
      <w:szCs w:val="18"/>
    </w:rPr>
  </w:style>
  <w:style w:type="table" w:customStyle="1" w:styleId="DPTabel">
    <w:name w:val="DP Tabel"/>
    <w:rsid w:val="00E97F6E"/>
    <w:pPr>
      <w:autoSpaceDN w:val="0"/>
      <w:textAlignment w:val="baseline"/>
    </w:pPr>
    <w:rPr>
      <w:rFonts w:ascii="Verdana" w:eastAsia="DejaVu Sans" w:hAnsi="Verdana" w:cs="Lohit Hindi"/>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E97F6E"/>
    <w:pPr>
      <w:autoSpaceDN w:val="0"/>
      <w:spacing w:line="320" w:lineRule="exact"/>
      <w:textAlignment w:val="baseline"/>
    </w:pPr>
    <w:rPr>
      <w:rFonts w:eastAsia="DejaVu Sans" w:cs="Lohit Hindi"/>
      <w:b/>
      <w:color w:val="000000"/>
      <w:sz w:val="32"/>
      <w:szCs w:val="32"/>
    </w:rPr>
  </w:style>
  <w:style w:type="paragraph" w:customStyle="1" w:styleId="HBJZ-BegeleidendMemon10">
    <w:name w:val="HBJZ - Begeleidend Memo n10"/>
    <w:basedOn w:val="Standaard"/>
    <w:next w:val="Standaard"/>
    <w:rsid w:val="00E97F6E"/>
    <w:pPr>
      <w:autoSpaceDN w:val="0"/>
      <w:spacing w:after="200" w:line="276" w:lineRule="exact"/>
      <w:textAlignment w:val="baseline"/>
    </w:pPr>
    <w:rPr>
      <w:rFonts w:eastAsia="DejaVu Sans" w:cs="Lohit Hindi"/>
      <w:color w:val="000000"/>
      <w:sz w:val="18"/>
      <w:szCs w:val="18"/>
    </w:rPr>
  </w:style>
  <w:style w:type="paragraph" w:customStyle="1" w:styleId="HBJZ-BegeleidendMemoWitruimte1">
    <w:name w:val="HBJZ - Begeleidend Memo Witruimte 1"/>
    <w:basedOn w:val="Standaard"/>
    <w:next w:val="Standaard"/>
    <w:rsid w:val="00E97F6E"/>
    <w:pPr>
      <w:autoSpaceDN w:val="0"/>
      <w:spacing w:line="932" w:lineRule="exact"/>
      <w:textAlignment w:val="baseline"/>
    </w:pPr>
    <w:rPr>
      <w:rFonts w:eastAsia="DejaVu Sans" w:cs="Lohit Hindi"/>
      <w:color w:val="000000"/>
      <w:sz w:val="18"/>
      <w:szCs w:val="18"/>
    </w:rPr>
  </w:style>
  <w:style w:type="paragraph" w:customStyle="1" w:styleId="HBJZ-Kamerstukken-Kamerstuk">
    <w:name w:val="HBJZ - Kamerstukken - Kamerstuk"/>
    <w:basedOn w:val="Standaard"/>
    <w:next w:val="Standaard"/>
    <w:rsid w:val="00E97F6E"/>
    <w:pPr>
      <w:autoSpaceDN w:val="0"/>
      <w:spacing w:after="780" w:line="276" w:lineRule="exact"/>
      <w:textAlignment w:val="baseline"/>
    </w:pPr>
    <w:rPr>
      <w:rFonts w:eastAsia="DejaVu Sans" w:cs="Lohit Hindi"/>
      <w:b/>
      <w:color w:val="000000"/>
      <w:sz w:val="18"/>
      <w:szCs w:val="18"/>
    </w:rPr>
  </w:style>
  <w:style w:type="paragraph" w:customStyle="1" w:styleId="HBJZ-Kamerstukken-na39ra138">
    <w:name w:val="HBJZ - Kamerstukken - na 39 ra 13;8"/>
    <w:basedOn w:val="Standaard"/>
    <w:next w:val="Standaard"/>
    <w:rsid w:val="00E97F6E"/>
    <w:pPr>
      <w:autoSpaceDN w:val="0"/>
      <w:spacing w:after="780" w:line="276" w:lineRule="exact"/>
      <w:textAlignment w:val="baseline"/>
    </w:pPr>
    <w:rPr>
      <w:rFonts w:eastAsia="DejaVu Sans" w:cs="Lohit Hindi"/>
      <w:color w:val="000000"/>
      <w:sz w:val="18"/>
      <w:szCs w:val="18"/>
    </w:rPr>
  </w:style>
  <w:style w:type="paragraph" w:customStyle="1" w:styleId="HBJZ-Kamerstukken-regelafstand138">
    <w:name w:val="HBJZ - Kamerstukken - regelafstand 13;8"/>
    <w:basedOn w:val="Standaard"/>
    <w:next w:val="Standaard"/>
    <w:rsid w:val="00E97F6E"/>
    <w:pPr>
      <w:autoSpaceDN w:val="0"/>
      <w:spacing w:line="276" w:lineRule="exact"/>
      <w:textAlignment w:val="baseline"/>
    </w:pPr>
    <w:rPr>
      <w:rFonts w:eastAsia="DejaVu Sans" w:cs="Lohit Hindi"/>
      <w:color w:val="000000"/>
      <w:sz w:val="18"/>
      <w:szCs w:val="18"/>
    </w:rPr>
  </w:style>
  <w:style w:type="paragraph" w:customStyle="1" w:styleId="HBJZ-NahangbriefaanParlement">
    <w:name w:val="HBJZ - Nahang (brief aan Parlement)"/>
    <w:basedOn w:val="Standaard"/>
    <w:next w:val="Standaard"/>
    <w:rsid w:val="00E97F6E"/>
    <w:pPr>
      <w:autoSpaceDN w:val="0"/>
      <w:spacing w:before="100" w:after="240" w:line="240" w:lineRule="exact"/>
      <w:textAlignment w:val="baseline"/>
    </w:pPr>
    <w:rPr>
      <w:rFonts w:eastAsia="DejaVu Sans" w:cs="Lohit Hindi"/>
      <w:color w:val="000000"/>
      <w:sz w:val="18"/>
      <w:szCs w:val="18"/>
    </w:rPr>
  </w:style>
  <w:style w:type="paragraph" w:customStyle="1" w:styleId="HBJZ-Voordrachtv12n0r12">
    <w:name w:val="HBJZ - Voordracht v12 n0 r12"/>
    <w:basedOn w:val="Standaard"/>
    <w:next w:val="Standaard"/>
    <w:rsid w:val="00E97F6E"/>
    <w:pPr>
      <w:autoSpaceDN w:val="0"/>
      <w:spacing w:before="240" w:line="240" w:lineRule="exact"/>
      <w:textAlignment w:val="baseline"/>
    </w:pPr>
    <w:rPr>
      <w:rFonts w:eastAsia="DejaVu Sans" w:cs="Lohit Hindi"/>
      <w:color w:val="000000"/>
      <w:sz w:val="18"/>
      <w:szCs w:val="18"/>
    </w:rPr>
  </w:style>
  <w:style w:type="paragraph" w:customStyle="1" w:styleId="Huisstijl-Bijlage">
    <w:name w:val="Huisstijl - Bijlage"/>
    <w:basedOn w:val="Standaard"/>
    <w:next w:val="Standaard"/>
    <w:rsid w:val="00E97F6E"/>
    <w:pPr>
      <w:numPr>
        <w:numId w:val="2"/>
      </w:numPr>
      <w:tabs>
        <w:tab w:val="left" w:pos="0"/>
      </w:tabs>
      <w:autoSpaceDN w:val="0"/>
      <w:spacing w:after="740" w:line="240" w:lineRule="exact"/>
      <w:ind w:left="-1420" w:firstLine="0"/>
      <w:textAlignment w:val="baseline"/>
    </w:pPr>
    <w:rPr>
      <w:rFonts w:eastAsia="DejaVu Sans" w:cs="Lohit Hindi"/>
      <w:color w:val="000000"/>
      <w:sz w:val="24"/>
    </w:rPr>
  </w:style>
  <w:style w:type="paragraph" w:customStyle="1" w:styleId="Huisstijl-BijlageA">
    <w:name w:val="Huisstijl - Bijlage A"/>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Huisstijl-Bijlagezletter">
    <w:name w:val="Huisstijl - Bijlage z. letter"/>
    <w:basedOn w:val="Standaard"/>
    <w:next w:val="Standaard"/>
    <w:rsid w:val="00E97F6E"/>
    <w:pPr>
      <w:numPr>
        <w:ilvl w:val="1"/>
        <w:numId w:val="5"/>
      </w:numPr>
      <w:tabs>
        <w:tab w:val="left" w:pos="0"/>
      </w:tabs>
      <w:autoSpaceDN w:val="0"/>
      <w:spacing w:after="740" w:line="240" w:lineRule="exact"/>
      <w:ind w:firstLine="0"/>
      <w:textAlignment w:val="baseline"/>
    </w:pPr>
    <w:rPr>
      <w:rFonts w:eastAsia="DejaVu Sans" w:cs="Lohit Hindi"/>
      <w:color w:val="000000"/>
      <w:sz w:val="24"/>
    </w:rPr>
  </w:style>
  <w:style w:type="paragraph" w:customStyle="1" w:styleId="Huisstijl-Bijschrift">
    <w:name w:val="Huisstijl - Bijschrift"/>
    <w:basedOn w:val="Standaard"/>
    <w:next w:val="Standaard"/>
    <w:rsid w:val="00E97F6E"/>
    <w:pPr>
      <w:autoSpaceDN w:val="0"/>
      <w:spacing w:after="720" w:line="300" w:lineRule="exact"/>
      <w:textAlignment w:val="baseline"/>
    </w:pPr>
    <w:rPr>
      <w:rFonts w:eastAsia="DejaVu Sans" w:cs="Lohit Hindi"/>
      <w:color w:val="000000"/>
      <w:sz w:val="14"/>
      <w:szCs w:val="14"/>
    </w:rPr>
  </w:style>
  <w:style w:type="paragraph" w:customStyle="1" w:styleId="Huisstijl-Colofon">
    <w:name w:val="Huisstijl - Colofon"/>
    <w:basedOn w:val="Standaard"/>
    <w:next w:val="Standaard"/>
    <w:rsid w:val="00E97F6E"/>
    <w:pPr>
      <w:numPr>
        <w:numId w:val="5"/>
      </w:numPr>
      <w:tabs>
        <w:tab w:val="left" w:pos="0"/>
      </w:tabs>
      <w:autoSpaceDN w:val="0"/>
      <w:spacing w:after="720" w:line="300" w:lineRule="exact"/>
      <w:ind w:left="-1120"/>
      <w:textAlignment w:val="baseline"/>
    </w:pPr>
    <w:rPr>
      <w:rFonts w:eastAsia="DejaVu Sans" w:cs="Lohit Hindi"/>
      <w:color w:val="000000"/>
      <w:sz w:val="24"/>
    </w:rPr>
  </w:style>
  <w:style w:type="paragraph" w:customStyle="1" w:styleId="Huisstijl-Extrasubtitel">
    <w:name w:val="Huisstijl - Extra subtitel"/>
    <w:basedOn w:val="Standaard"/>
    <w:next w:val="Standaard"/>
    <w:rsid w:val="00E97F6E"/>
    <w:pPr>
      <w:autoSpaceDN w:val="0"/>
      <w:spacing w:before="60" w:after="300" w:line="240" w:lineRule="exact"/>
      <w:textAlignment w:val="baseline"/>
    </w:pPr>
    <w:rPr>
      <w:rFonts w:eastAsia="DejaVu Sans" w:cs="Lohit Hindi"/>
      <w:color w:val="000000"/>
      <w:szCs w:val="20"/>
    </w:rPr>
  </w:style>
  <w:style w:type="paragraph" w:customStyle="1" w:styleId="Huisstijl-Kader">
    <w:name w:val="Huisstijl - Kader"/>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Huisstijl-KaderTussenkop">
    <w:name w:val="Huisstijl - Kader Tussenkop"/>
    <w:basedOn w:val="Standaard"/>
    <w:next w:val="Standaard"/>
    <w:rsid w:val="00E97F6E"/>
    <w:pPr>
      <w:autoSpaceDN w:val="0"/>
      <w:spacing w:line="240" w:lineRule="exact"/>
      <w:textAlignment w:val="baseline"/>
    </w:pPr>
    <w:rPr>
      <w:rFonts w:eastAsia="DejaVu Sans" w:cs="Lohit Hindi"/>
      <w:i/>
      <w:color w:val="000000"/>
      <w:sz w:val="18"/>
      <w:szCs w:val="18"/>
    </w:rPr>
  </w:style>
  <w:style w:type="paragraph" w:customStyle="1" w:styleId="Huisstijl-Kop1">
    <w:name w:val="Huisstijl - Kop 1"/>
    <w:basedOn w:val="Standaard"/>
    <w:next w:val="Standaard"/>
    <w:rsid w:val="00E97F6E"/>
    <w:pPr>
      <w:numPr>
        <w:numId w:val="3"/>
      </w:numPr>
      <w:tabs>
        <w:tab w:val="left" w:pos="0"/>
      </w:tabs>
      <w:autoSpaceDN w:val="0"/>
      <w:spacing w:after="720" w:line="300" w:lineRule="exact"/>
      <w:ind w:left="-1120"/>
      <w:textAlignment w:val="baseline"/>
    </w:pPr>
    <w:rPr>
      <w:rFonts w:eastAsia="DejaVu Sans" w:cs="Lohit Hindi"/>
      <w:color w:val="000000"/>
      <w:sz w:val="24"/>
    </w:rPr>
  </w:style>
  <w:style w:type="paragraph" w:customStyle="1" w:styleId="Huisstijl-Kop2">
    <w:name w:val="Huisstijl - Kop 2"/>
    <w:basedOn w:val="Standaard"/>
    <w:next w:val="Standaard"/>
    <w:rsid w:val="00E97F6E"/>
    <w:pPr>
      <w:numPr>
        <w:ilvl w:val="1"/>
        <w:numId w:val="3"/>
      </w:numPr>
      <w:tabs>
        <w:tab w:val="left" w:pos="0"/>
      </w:tabs>
      <w:autoSpaceDN w:val="0"/>
      <w:spacing w:before="240" w:line="240" w:lineRule="exact"/>
      <w:ind w:left="-1120"/>
      <w:textAlignment w:val="baseline"/>
    </w:pPr>
    <w:rPr>
      <w:rFonts w:eastAsia="DejaVu Sans" w:cs="Lohit Hindi"/>
      <w:b/>
      <w:color w:val="000000"/>
      <w:sz w:val="18"/>
      <w:szCs w:val="18"/>
    </w:rPr>
  </w:style>
  <w:style w:type="paragraph" w:customStyle="1" w:styleId="Huisstijl-Kop3">
    <w:name w:val="Huisstijl - Kop 3"/>
    <w:basedOn w:val="Standaard"/>
    <w:next w:val="Standaard"/>
    <w:rsid w:val="00E97F6E"/>
    <w:pPr>
      <w:numPr>
        <w:ilvl w:val="2"/>
        <w:numId w:val="3"/>
      </w:numPr>
      <w:tabs>
        <w:tab w:val="left" w:pos="0"/>
      </w:tabs>
      <w:autoSpaceDN w:val="0"/>
      <w:spacing w:before="240" w:line="240" w:lineRule="exact"/>
      <w:ind w:left="-1120"/>
      <w:textAlignment w:val="baseline"/>
    </w:pPr>
    <w:rPr>
      <w:rFonts w:eastAsia="DejaVu Sans" w:cs="Lohit Hindi"/>
      <w:i/>
      <w:color w:val="000000"/>
      <w:sz w:val="18"/>
      <w:szCs w:val="18"/>
    </w:rPr>
  </w:style>
  <w:style w:type="paragraph" w:customStyle="1" w:styleId="Huisstijl-Kop4">
    <w:name w:val="Huisstijl - Kop 4"/>
    <w:basedOn w:val="Standaard"/>
    <w:next w:val="Standaard"/>
    <w:rsid w:val="00E97F6E"/>
    <w:pPr>
      <w:numPr>
        <w:ilvl w:val="3"/>
        <w:numId w:val="3"/>
      </w:numPr>
      <w:tabs>
        <w:tab w:val="left" w:pos="0"/>
      </w:tabs>
      <w:autoSpaceDN w:val="0"/>
      <w:spacing w:before="240" w:line="240" w:lineRule="exact"/>
      <w:ind w:left="-1120"/>
      <w:textAlignment w:val="baseline"/>
    </w:pPr>
    <w:rPr>
      <w:rFonts w:eastAsia="DejaVu Sans" w:cs="Lohit Hindi"/>
      <w:color w:val="000000"/>
      <w:sz w:val="18"/>
      <w:szCs w:val="18"/>
    </w:rPr>
  </w:style>
  <w:style w:type="paragraph" w:customStyle="1" w:styleId="Huisstijl-Kopznr1">
    <w:name w:val="Huisstijl - Kop z.nr 1"/>
    <w:basedOn w:val="Standaard"/>
    <w:next w:val="Standaard"/>
    <w:rsid w:val="00E97F6E"/>
    <w:pPr>
      <w:numPr>
        <w:numId w:val="4"/>
      </w:numPr>
      <w:tabs>
        <w:tab w:val="left" w:pos="0"/>
      </w:tabs>
      <w:autoSpaceDN w:val="0"/>
      <w:spacing w:after="720" w:line="300" w:lineRule="exact"/>
      <w:ind w:left="-1120"/>
      <w:textAlignment w:val="baseline"/>
    </w:pPr>
    <w:rPr>
      <w:rFonts w:eastAsia="DejaVu Sans" w:cs="Lohit Hindi"/>
      <w:color w:val="000000"/>
      <w:sz w:val="24"/>
    </w:rPr>
  </w:style>
  <w:style w:type="paragraph" w:customStyle="1" w:styleId="Huisstijl-Kopznr2">
    <w:name w:val="Huisstijl - Kop z.nr 2"/>
    <w:basedOn w:val="Standaard"/>
    <w:next w:val="Standaard"/>
    <w:rsid w:val="00E97F6E"/>
    <w:pPr>
      <w:numPr>
        <w:ilvl w:val="1"/>
        <w:numId w:val="4"/>
      </w:numPr>
      <w:tabs>
        <w:tab w:val="left" w:pos="0"/>
      </w:tabs>
      <w:autoSpaceDN w:val="0"/>
      <w:spacing w:before="240" w:line="240" w:lineRule="exact"/>
      <w:ind w:left="-1120"/>
      <w:textAlignment w:val="baseline"/>
    </w:pPr>
    <w:rPr>
      <w:rFonts w:eastAsia="DejaVu Sans" w:cs="Lohit Hindi"/>
      <w:b/>
      <w:color w:val="000000"/>
      <w:sz w:val="18"/>
      <w:szCs w:val="18"/>
    </w:rPr>
  </w:style>
  <w:style w:type="paragraph" w:customStyle="1" w:styleId="Huisstijl-Kopznr3">
    <w:name w:val="Huisstijl - Kop z.nr 3"/>
    <w:basedOn w:val="Standaard"/>
    <w:next w:val="Standaard"/>
    <w:rsid w:val="00E97F6E"/>
    <w:pPr>
      <w:numPr>
        <w:ilvl w:val="2"/>
        <w:numId w:val="4"/>
      </w:numPr>
      <w:tabs>
        <w:tab w:val="left" w:pos="0"/>
      </w:tabs>
      <w:autoSpaceDN w:val="0"/>
      <w:spacing w:before="240" w:line="240" w:lineRule="exact"/>
      <w:ind w:left="-1120"/>
      <w:textAlignment w:val="baseline"/>
    </w:pPr>
    <w:rPr>
      <w:rFonts w:eastAsia="DejaVu Sans" w:cs="Lohit Hindi"/>
      <w:i/>
      <w:color w:val="000000"/>
      <w:sz w:val="18"/>
      <w:szCs w:val="18"/>
    </w:rPr>
  </w:style>
  <w:style w:type="paragraph" w:customStyle="1" w:styleId="Huisstijl-Kopznr4">
    <w:name w:val="Huisstijl - Kop z.nr 4"/>
    <w:basedOn w:val="Standaard"/>
    <w:next w:val="Standaard"/>
    <w:rsid w:val="00E97F6E"/>
    <w:pPr>
      <w:numPr>
        <w:ilvl w:val="3"/>
        <w:numId w:val="4"/>
      </w:numPr>
      <w:tabs>
        <w:tab w:val="left" w:pos="0"/>
      </w:tabs>
      <w:autoSpaceDN w:val="0"/>
      <w:spacing w:before="240" w:line="240" w:lineRule="exact"/>
      <w:ind w:left="-1120"/>
      <w:textAlignment w:val="baseline"/>
    </w:pPr>
    <w:rPr>
      <w:rFonts w:eastAsia="DejaVu Sans" w:cs="Lohit Hindi"/>
      <w:color w:val="000000"/>
      <w:sz w:val="18"/>
      <w:szCs w:val="18"/>
    </w:rPr>
  </w:style>
  <w:style w:type="paragraph" w:customStyle="1" w:styleId="Huisstijl-Opsommingzinspringing">
    <w:name w:val="Huisstijl - Opsomming z.inspring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Huisstijl-Subtitel">
    <w:name w:val="Huisstijl - Subtitel"/>
    <w:basedOn w:val="Standaard"/>
    <w:next w:val="Standaard"/>
    <w:rsid w:val="00E97F6E"/>
    <w:pPr>
      <w:autoSpaceDN w:val="0"/>
      <w:spacing w:before="240" w:after="360" w:line="240" w:lineRule="exact"/>
      <w:textAlignment w:val="baseline"/>
    </w:pPr>
    <w:rPr>
      <w:rFonts w:eastAsia="DejaVu Sans" w:cs="Lohit Hindi"/>
      <w:color w:val="000000"/>
      <w:szCs w:val="20"/>
    </w:rPr>
  </w:style>
  <w:style w:type="paragraph" w:customStyle="1" w:styleId="Huisstijl-Tabeltekst">
    <w:name w:val="Huisstijl - Tabeltekst"/>
    <w:basedOn w:val="Standaard"/>
    <w:next w:val="Standaard"/>
    <w:rsid w:val="00E97F6E"/>
    <w:pPr>
      <w:autoSpaceDN w:val="0"/>
      <w:spacing w:line="200" w:lineRule="exact"/>
      <w:textAlignment w:val="baseline"/>
    </w:pPr>
    <w:rPr>
      <w:rFonts w:eastAsia="DejaVu Sans" w:cs="Lohit Hindi"/>
      <w:color w:val="000000"/>
      <w:sz w:val="16"/>
      <w:szCs w:val="16"/>
    </w:rPr>
  </w:style>
  <w:style w:type="paragraph" w:customStyle="1" w:styleId="Huisstijl-TitelDocumentnaam">
    <w:name w:val="Huisstijl - Titel/Documentnaam"/>
    <w:basedOn w:val="Standaard"/>
    <w:next w:val="Standaard"/>
    <w:rsid w:val="00E97F6E"/>
    <w:pPr>
      <w:autoSpaceDN w:val="0"/>
      <w:spacing w:before="60" w:after="320" w:line="240" w:lineRule="exact"/>
      <w:textAlignment w:val="baseline"/>
    </w:pPr>
    <w:rPr>
      <w:rFonts w:eastAsia="DejaVu Sans" w:cs="Lohit Hindi"/>
      <w:b/>
      <w:color w:val="000000"/>
      <w:sz w:val="24"/>
    </w:rPr>
  </w:style>
  <w:style w:type="paragraph" w:customStyle="1" w:styleId="Huisstijl-Tussenkop">
    <w:name w:val="Huisstijl - Tussenkop"/>
    <w:basedOn w:val="Standaard"/>
    <w:next w:val="Standaard"/>
    <w:rsid w:val="00E97F6E"/>
    <w:pPr>
      <w:autoSpaceDN w:val="0"/>
      <w:spacing w:line="240" w:lineRule="exact"/>
      <w:textAlignment w:val="baseline"/>
    </w:pPr>
    <w:rPr>
      <w:rFonts w:eastAsia="DejaVu Sans" w:cs="Lohit Hindi"/>
      <w:i/>
      <w:color w:val="000000"/>
      <w:sz w:val="18"/>
      <w:szCs w:val="18"/>
    </w:rPr>
  </w:style>
  <w:style w:type="paragraph" w:customStyle="1" w:styleId="Huisstijl-Versie">
    <w:name w:val="Huisstijl - Versie"/>
    <w:basedOn w:val="Standaard"/>
    <w:next w:val="Standaard"/>
    <w:rsid w:val="00E97F6E"/>
    <w:pPr>
      <w:autoSpaceDN w:val="0"/>
      <w:spacing w:before="60" w:after="360" w:line="240" w:lineRule="exact"/>
      <w:textAlignment w:val="baseline"/>
    </w:pPr>
    <w:rPr>
      <w:rFonts w:eastAsia="DejaVu Sans" w:cs="Lohit Hindi"/>
      <w:color w:val="000000"/>
      <w:sz w:val="18"/>
      <w:szCs w:val="18"/>
    </w:rPr>
  </w:style>
  <w:style w:type="paragraph" w:customStyle="1" w:styleId="Huisstijlnummeringmetnummer">
    <w:name w:val="Huisstijl nummering met nummer"/>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Huisstijlnummeringzondernummer">
    <w:name w:val="Huisstijl nummering zonder nummer"/>
    <w:basedOn w:val="Standaard"/>
    <w:next w:val="Standaard"/>
    <w:rsid w:val="00E97F6E"/>
    <w:pPr>
      <w:autoSpaceDN w:val="0"/>
      <w:spacing w:before="100" w:after="240" w:line="240" w:lineRule="exact"/>
      <w:textAlignment w:val="baseline"/>
    </w:pPr>
    <w:rPr>
      <w:rFonts w:eastAsia="DejaVu Sans" w:cs="Lohit Hindi"/>
      <w:color w:val="000000"/>
      <w:sz w:val="18"/>
      <w:szCs w:val="18"/>
    </w:rPr>
  </w:style>
  <w:style w:type="paragraph" w:customStyle="1" w:styleId="Huisstijlopsommingcolofoneninleiding">
    <w:name w:val="Huisstijl opsomming colofon en inleid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ILT-50standaardmetwitruimte">
    <w:name w:val="ILT - 50 standaard met witruimte"/>
    <w:basedOn w:val="Standaard"/>
    <w:next w:val="Standaard"/>
    <w:rsid w:val="00E97F6E"/>
    <w:pPr>
      <w:autoSpaceDN w:val="0"/>
      <w:spacing w:after="20" w:line="260" w:lineRule="exact"/>
      <w:textAlignment w:val="baseline"/>
    </w:pPr>
    <w:rPr>
      <w:rFonts w:eastAsia="DejaVu Sans" w:cs="Lohit Hindi"/>
      <w:color w:val="000000"/>
      <w:sz w:val="18"/>
      <w:szCs w:val="18"/>
    </w:rPr>
  </w:style>
  <w:style w:type="paragraph" w:customStyle="1" w:styleId="ILT102">
    <w:name w:val="ILT 102"/>
    <w:basedOn w:val="Standaard"/>
    <w:next w:val="Standaard"/>
    <w:rsid w:val="00E97F6E"/>
    <w:pPr>
      <w:autoSpaceDN w:val="0"/>
      <w:spacing w:before="20" w:after="80" w:line="280" w:lineRule="exact"/>
      <w:textAlignment w:val="baseline"/>
    </w:pPr>
    <w:rPr>
      <w:rFonts w:eastAsia="DejaVu Sans" w:cs="Lohit Hindi"/>
      <w:color w:val="000000"/>
      <w:sz w:val="18"/>
      <w:szCs w:val="18"/>
    </w:rPr>
  </w:style>
  <w:style w:type="paragraph" w:customStyle="1" w:styleId="ILT103DwangbevelKop">
    <w:name w:val="ILT 103 Dwangbevel Kop"/>
    <w:basedOn w:val="Standaard"/>
    <w:next w:val="Standaard"/>
    <w:rsid w:val="00E97F6E"/>
    <w:pPr>
      <w:autoSpaceDN w:val="0"/>
      <w:spacing w:line="360" w:lineRule="exact"/>
      <w:textAlignment w:val="baseline"/>
    </w:pPr>
    <w:rPr>
      <w:rFonts w:eastAsia="DejaVu Sans" w:cs="Lohit Hindi"/>
      <w:color w:val="000000"/>
      <w:sz w:val="36"/>
      <w:szCs w:val="36"/>
    </w:rPr>
  </w:style>
  <w:style w:type="paragraph" w:customStyle="1" w:styleId="ILTBoeterapportondertekening">
    <w:name w:val="ILT Boeterapport ondertekening"/>
    <w:basedOn w:val="Standaard"/>
    <w:next w:val="Standaard"/>
    <w:rsid w:val="00E97F6E"/>
    <w:pPr>
      <w:autoSpaceDN w:val="0"/>
      <w:spacing w:before="960" w:line="240" w:lineRule="exact"/>
      <w:textAlignment w:val="baseline"/>
    </w:pPr>
    <w:rPr>
      <w:rFonts w:eastAsia="DejaVu Sans" w:cs="Lohit Hindi"/>
      <w:color w:val="000000"/>
      <w:sz w:val="18"/>
      <w:szCs w:val="18"/>
    </w:rPr>
  </w:style>
  <w:style w:type="paragraph" w:customStyle="1" w:styleId="ILTOpsomming">
    <w:name w:val="ILT Opsomming"/>
    <w:basedOn w:val="Standaard"/>
    <w:next w:val="Standaard"/>
    <w:rsid w:val="00E97F6E"/>
    <w:pPr>
      <w:numPr>
        <w:numId w:val="6"/>
      </w:numPr>
      <w:autoSpaceDN w:val="0"/>
      <w:spacing w:line="240" w:lineRule="exact"/>
      <w:textAlignment w:val="baseline"/>
    </w:pPr>
    <w:rPr>
      <w:rFonts w:eastAsia="DejaVu Sans" w:cs="Lohit Hindi"/>
      <w:color w:val="000000"/>
      <w:sz w:val="18"/>
      <w:szCs w:val="18"/>
    </w:rPr>
  </w:style>
  <w:style w:type="paragraph" w:customStyle="1" w:styleId="ILTOpsomming15">
    <w:name w:val="ILT Opsomming 1.5"/>
    <w:basedOn w:val="Standaard"/>
    <w:next w:val="Standaard"/>
    <w:rsid w:val="00E97F6E"/>
    <w:pPr>
      <w:numPr>
        <w:ilvl w:val="1"/>
        <w:numId w:val="6"/>
      </w:numPr>
      <w:autoSpaceDN w:val="0"/>
      <w:spacing w:line="300" w:lineRule="exact"/>
      <w:textAlignment w:val="baseline"/>
    </w:pPr>
    <w:rPr>
      <w:rFonts w:eastAsia="DejaVu Sans" w:cs="Lohit Hindi"/>
      <w:color w:val="000000"/>
      <w:sz w:val="18"/>
      <w:szCs w:val="18"/>
    </w:rPr>
  </w:style>
  <w:style w:type="paragraph" w:customStyle="1" w:styleId="ILTOpsommingbullet">
    <w:name w:val="ILT Opsomming bullet"/>
    <w:basedOn w:val="Standaard"/>
    <w:next w:val="Standaard"/>
    <w:rsid w:val="00E97F6E"/>
    <w:pPr>
      <w:numPr>
        <w:ilvl w:val="2"/>
        <w:numId w:val="6"/>
      </w:numPr>
      <w:autoSpaceDN w:val="0"/>
      <w:spacing w:line="300" w:lineRule="exact"/>
      <w:textAlignment w:val="baseline"/>
    </w:pPr>
    <w:rPr>
      <w:rFonts w:eastAsia="DejaVu Sans" w:cs="Lohit Hindi"/>
      <w:color w:val="000000"/>
      <w:sz w:val="18"/>
      <w:szCs w:val="18"/>
    </w:rPr>
  </w:style>
  <w:style w:type="paragraph" w:customStyle="1" w:styleId="ILTOpsomminglijst">
    <w:name w:val="ILT Opsomming lijst"/>
    <w:basedOn w:val="Standaard"/>
    <w:next w:val="Standaard"/>
    <w:rsid w:val="00E97F6E"/>
    <w:pPr>
      <w:autoSpaceDN w:val="0"/>
      <w:spacing w:before="20" w:after="80" w:line="300" w:lineRule="exact"/>
      <w:textAlignment w:val="baseline"/>
    </w:pPr>
    <w:rPr>
      <w:rFonts w:eastAsia="DejaVu Sans" w:cs="Lohit Hindi"/>
      <w:color w:val="000000"/>
      <w:sz w:val="18"/>
      <w:szCs w:val="18"/>
    </w:rPr>
  </w:style>
  <w:style w:type="paragraph" w:customStyle="1" w:styleId="ILTRapport-je">
    <w:name w:val="ILT Rapport - je"/>
    <w:basedOn w:val="Standaard"/>
    <w:next w:val="Standaard"/>
    <w:rsid w:val="00E97F6E"/>
    <w:pPr>
      <w:numPr>
        <w:ilvl w:val="1"/>
        <w:numId w:val="7"/>
      </w:numPr>
      <w:autoSpaceDN w:val="0"/>
      <w:spacing w:after="120" w:line="240" w:lineRule="exact"/>
      <w:textAlignment w:val="baseline"/>
    </w:pPr>
    <w:rPr>
      <w:rFonts w:eastAsia="DejaVu Sans" w:cs="Lohit Hindi"/>
      <w:color w:val="000000"/>
      <w:sz w:val="18"/>
      <w:szCs w:val="18"/>
    </w:rPr>
  </w:style>
  <w:style w:type="paragraph" w:customStyle="1" w:styleId="ILTRapport16a">
    <w:name w:val="ILT Rapport 16a"/>
    <w:basedOn w:val="Standaard"/>
    <w:next w:val="Standaard"/>
    <w:rsid w:val="00E97F6E"/>
    <w:pPr>
      <w:autoSpaceDN w:val="0"/>
      <w:spacing w:before="60" w:after="60" w:line="240" w:lineRule="exact"/>
      <w:textAlignment w:val="baseline"/>
    </w:pPr>
    <w:rPr>
      <w:rFonts w:eastAsia="DejaVu Sans" w:cs="Lohit Hindi"/>
      <w:color w:val="000000"/>
      <w:sz w:val="18"/>
      <w:szCs w:val="18"/>
    </w:rPr>
  </w:style>
  <w:style w:type="paragraph" w:customStyle="1" w:styleId="ILTRapport16aIV9V12N0">
    <w:name w:val="ILT Rapport 16a I V9 V12 N0"/>
    <w:basedOn w:val="Standaard"/>
    <w:next w:val="Standaard"/>
    <w:rsid w:val="00E97F6E"/>
    <w:pPr>
      <w:autoSpaceDN w:val="0"/>
      <w:spacing w:before="240" w:line="240" w:lineRule="exact"/>
      <w:textAlignment w:val="baseline"/>
    </w:pPr>
    <w:rPr>
      <w:rFonts w:eastAsia="DejaVu Sans" w:cs="Lohit Hindi"/>
      <w:i/>
      <w:color w:val="000000"/>
      <w:sz w:val="18"/>
      <w:szCs w:val="18"/>
    </w:rPr>
  </w:style>
  <w:style w:type="paragraph" w:customStyle="1" w:styleId="ILTRapport16aKopV12V0n18">
    <w:name w:val="ILT Rapport 16a Kop V12 V0 n18"/>
    <w:basedOn w:val="Standaard"/>
    <w:next w:val="Standaard"/>
    <w:rsid w:val="00E97F6E"/>
    <w:pPr>
      <w:autoSpaceDN w:val="0"/>
      <w:spacing w:after="360" w:line="300" w:lineRule="exact"/>
      <w:textAlignment w:val="baseline"/>
    </w:pPr>
    <w:rPr>
      <w:rFonts w:eastAsia="DejaVu Sans" w:cs="Lohit Hindi"/>
      <w:color w:val="000000"/>
      <w:sz w:val="24"/>
    </w:rPr>
  </w:style>
  <w:style w:type="paragraph" w:customStyle="1" w:styleId="ILTRapport16anummering">
    <w:name w:val="ILT Rapport 16a nummering"/>
    <w:basedOn w:val="Standaard"/>
    <w:next w:val="Standaard"/>
    <w:rsid w:val="00E97F6E"/>
    <w:pPr>
      <w:autoSpaceDN w:val="0"/>
      <w:spacing w:after="120" w:line="240" w:lineRule="exact"/>
      <w:textAlignment w:val="baseline"/>
    </w:pPr>
    <w:rPr>
      <w:rFonts w:eastAsia="DejaVu Sans" w:cs="Lohit Hindi"/>
      <w:color w:val="000000"/>
      <w:sz w:val="18"/>
      <w:szCs w:val="18"/>
    </w:rPr>
  </w:style>
  <w:style w:type="paragraph" w:customStyle="1" w:styleId="ILTRapport16aStandaard">
    <w:name w:val="ILT Rapport 16a Standaard"/>
    <w:basedOn w:val="Standaard"/>
    <w:next w:val="Standaard"/>
    <w:rsid w:val="00E97F6E"/>
    <w:pPr>
      <w:autoSpaceDN w:val="0"/>
      <w:spacing w:after="120" w:line="240" w:lineRule="exact"/>
      <w:textAlignment w:val="baseline"/>
    </w:pPr>
    <w:rPr>
      <w:rFonts w:eastAsia="DejaVu Sans" w:cs="Lohit Hindi"/>
      <w:color w:val="000000"/>
      <w:sz w:val="18"/>
      <w:szCs w:val="18"/>
    </w:rPr>
  </w:style>
  <w:style w:type="table" w:customStyle="1" w:styleId="ILTRapport16aTabel2">
    <w:name w:val="ILT Rapport 16a Tabel2"/>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E97F6E"/>
    <w:pPr>
      <w:autoSpaceDN w:val="0"/>
      <w:textAlignment w:val="baseline"/>
    </w:pPr>
    <w:rPr>
      <w:rFonts w:eastAsia="DejaVu Sans" w:cs="Lohit Hindi"/>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E97F6E"/>
    <w:pPr>
      <w:autoSpaceDN w:val="0"/>
      <w:spacing w:before="60" w:after="300" w:line="240" w:lineRule="exact"/>
      <w:textAlignment w:val="baseline"/>
    </w:pPr>
    <w:rPr>
      <w:rFonts w:eastAsia="DejaVu Sans" w:cs="Lohit Hindi"/>
      <w:color w:val="000000"/>
      <w:szCs w:val="20"/>
    </w:rPr>
  </w:style>
  <w:style w:type="paragraph" w:customStyle="1" w:styleId="ILTRapport16aV9V12n0">
    <w:name w:val="ILT Rapport 16a V9 V12 n0"/>
    <w:basedOn w:val="Standaard"/>
    <w:next w:val="Standaard"/>
    <w:rsid w:val="00E97F6E"/>
    <w:pPr>
      <w:autoSpaceDN w:val="0"/>
      <w:spacing w:before="240" w:line="240" w:lineRule="exact"/>
      <w:textAlignment w:val="baseline"/>
    </w:pPr>
    <w:rPr>
      <w:rFonts w:eastAsia="DejaVu Sans" w:cs="Lohit Hindi"/>
      <w:b/>
      <w:color w:val="000000"/>
      <w:sz w:val="18"/>
      <w:szCs w:val="18"/>
    </w:rPr>
  </w:style>
  <w:style w:type="paragraph" w:customStyle="1" w:styleId="ILTRapportnummerniv1">
    <w:name w:val="ILT Rapport nummer niv 1"/>
    <w:basedOn w:val="Standaard"/>
    <w:next w:val="Standaard"/>
    <w:rsid w:val="00E97F6E"/>
    <w:pPr>
      <w:numPr>
        <w:numId w:val="7"/>
      </w:numPr>
      <w:autoSpaceDN w:val="0"/>
      <w:spacing w:after="720" w:line="300" w:lineRule="exact"/>
      <w:textAlignment w:val="baseline"/>
    </w:pPr>
    <w:rPr>
      <w:rFonts w:eastAsia="DejaVu Sans" w:cs="Lohit Hindi"/>
      <w:color w:val="000000"/>
      <w:sz w:val="24"/>
    </w:rPr>
  </w:style>
  <w:style w:type="paragraph" w:customStyle="1" w:styleId="ILTRapportTitelV12B3v16n">
    <w:name w:val="ILT Rapport Titel V12 B 3v 16n"/>
    <w:basedOn w:val="Standaard"/>
    <w:next w:val="Standaard"/>
    <w:rsid w:val="00E97F6E"/>
    <w:pPr>
      <w:autoSpaceDN w:val="0"/>
      <w:spacing w:before="60" w:after="320" w:line="240" w:lineRule="exact"/>
      <w:textAlignment w:val="baseline"/>
    </w:pPr>
    <w:rPr>
      <w:rFonts w:eastAsia="DejaVu Sans" w:cs="Lohit Hindi"/>
      <w:b/>
      <w:color w:val="000000"/>
      <w:sz w:val="24"/>
    </w:rPr>
  </w:style>
  <w:style w:type="paragraph" w:customStyle="1" w:styleId="ILTStandaard6voor">
    <w:name w:val="ILT Standaard 6 voor"/>
    <w:basedOn w:val="Standaard"/>
    <w:next w:val="Standaard"/>
    <w:rsid w:val="00E97F6E"/>
    <w:pPr>
      <w:autoSpaceDN w:val="0"/>
      <w:spacing w:before="120" w:line="240" w:lineRule="exact"/>
      <w:textAlignment w:val="baseline"/>
    </w:pPr>
    <w:rPr>
      <w:rFonts w:eastAsia="DejaVu Sans" w:cs="Lohit Hindi"/>
      <w:color w:val="000000"/>
      <w:sz w:val="18"/>
      <w:szCs w:val="18"/>
    </w:rPr>
  </w:style>
  <w:style w:type="paragraph" w:customStyle="1" w:styleId="ILTStandaardVerdana9Regel15">
    <w:name w:val="ILT Standaard Verdana 9 Regel 1.5"/>
    <w:basedOn w:val="Standaard"/>
    <w:next w:val="Standaard"/>
    <w:rsid w:val="00E97F6E"/>
    <w:pPr>
      <w:autoSpaceDN w:val="0"/>
      <w:spacing w:before="20" w:after="80" w:line="300" w:lineRule="exact"/>
      <w:textAlignment w:val="baseline"/>
    </w:pPr>
    <w:rPr>
      <w:rFonts w:eastAsia="DejaVu Sans" w:cs="Lohit Hindi"/>
      <w:color w:val="000000"/>
      <w:sz w:val="18"/>
      <w:szCs w:val="18"/>
    </w:rPr>
  </w:style>
  <w:style w:type="paragraph" w:customStyle="1" w:styleId="ILTStandaardVerdana9Regel15cursief">
    <w:name w:val="ILT Standaard Verdana 9 Regel 1.5 cursief"/>
    <w:basedOn w:val="Standaard"/>
    <w:next w:val="Standaard"/>
    <w:rsid w:val="00E97F6E"/>
    <w:pPr>
      <w:autoSpaceDN w:val="0"/>
      <w:spacing w:before="20" w:after="80" w:line="300" w:lineRule="exact"/>
      <w:textAlignment w:val="baseline"/>
    </w:pPr>
    <w:rPr>
      <w:rFonts w:eastAsia="DejaVu Sans" w:cs="Lohit Hindi"/>
      <w:i/>
      <w:color w:val="000000"/>
      <w:sz w:val="18"/>
      <w:szCs w:val="18"/>
    </w:rPr>
  </w:style>
  <w:style w:type="paragraph" w:customStyle="1" w:styleId="ILTStandaardVerdana9Regel15vet">
    <w:name w:val="ILT Standaard Verdana 9 Regel 1.5 vet"/>
    <w:basedOn w:val="ILTStandaardVerdana9Regel15"/>
    <w:next w:val="Standaard"/>
    <w:rsid w:val="00E97F6E"/>
    <w:rPr>
      <w:b/>
    </w:rPr>
  </w:style>
  <w:style w:type="paragraph" w:styleId="Inhopg10">
    <w:name w:val="toc 1"/>
    <w:basedOn w:val="Standaard"/>
    <w:next w:val="Standaard"/>
    <w:uiPriority w:val="39"/>
    <w:qFormat/>
    <w:rsid w:val="00E97F6E"/>
    <w:pPr>
      <w:tabs>
        <w:tab w:val="left" w:pos="0"/>
      </w:tabs>
      <w:autoSpaceDN w:val="0"/>
      <w:spacing w:before="240" w:line="240" w:lineRule="exact"/>
      <w:ind w:left="-1120"/>
      <w:textAlignment w:val="baseline"/>
    </w:pPr>
    <w:rPr>
      <w:rFonts w:eastAsia="DejaVu Sans" w:cs="Lohit Hindi"/>
      <w:b/>
      <w:color w:val="000000"/>
      <w:sz w:val="18"/>
      <w:szCs w:val="18"/>
    </w:rPr>
  </w:style>
  <w:style w:type="paragraph" w:styleId="Inhopg20">
    <w:name w:val="toc 2"/>
    <w:basedOn w:val="Inhopg10"/>
    <w:next w:val="Standaard"/>
    <w:uiPriority w:val="39"/>
    <w:qFormat/>
    <w:rsid w:val="00E97F6E"/>
    <w:pPr>
      <w:spacing w:before="0"/>
    </w:pPr>
    <w:rPr>
      <w:b w:val="0"/>
    </w:rPr>
  </w:style>
  <w:style w:type="paragraph" w:styleId="Inhopg30">
    <w:name w:val="toc 3"/>
    <w:basedOn w:val="Inhopg20"/>
    <w:next w:val="Standaard"/>
    <w:rsid w:val="00E97F6E"/>
  </w:style>
  <w:style w:type="paragraph" w:styleId="Inhopg40">
    <w:name w:val="toc 4"/>
    <w:basedOn w:val="Inhopg30"/>
    <w:next w:val="Standaard"/>
    <w:rsid w:val="00E97F6E"/>
  </w:style>
  <w:style w:type="paragraph" w:styleId="Inhopg50">
    <w:name w:val="toc 5"/>
    <w:basedOn w:val="Inhopg40"/>
    <w:next w:val="Standaard"/>
    <w:rsid w:val="00E97F6E"/>
    <w:pPr>
      <w:ind w:left="-1133"/>
    </w:pPr>
    <w:rPr>
      <w:sz w:val="20"/>
      <w:szCs w:val="20"/>
    </w:rPr>
  </w:style>
  <w:style w:type="paragraph" w:styleId="Inhopg60">
    <w:name w:val="toc 6"/>
    <w:basedOn w:val="Inhopg50"/>
    <w:next w:val="Standaard"/>
    <w:rsid w:val="00E97F6E"/>
  </w:style>
  <w:style w:type="paragraph" w:styleId="Inhopg70">
    <w:name w:val="toc 7"/>
    <w:basedOn w:val="Inhopg60"/>
    <w:next w:val="Standaard"/>
    <w:rsid w:val="00E97F6E"/>
  </w:style>
  <w:style w:type="paragraph" w:styleId="Inhopg80">
    <w:name w:val="toc 8"/>
    <w:basedOn w:val="Inhopg70"/>
    <w:next w:val="Standaard"/>
    <w:rsid w:val="00E97F6E"/>
  </w:style>
  <w:style w:type="paragraph" w:styleId="Inhopg90">
    <w:name w:val="toc 9"/>
    <w:basedOn w:val="Inhopg80"/>
    <w:next w:val="Standaard"/>
    <w:rsid w:val="00E97F6E"/>
  </w:style>
  <w:style w:type="paragraph" w:customStyle="1" w:styleId="Merking">
    <w:name w:val="Merking"/>
    <w:basedOn w:val="Standaard"/>
    <w:next w:val="Standaard"/>
    <w:rsid w:val="00E97F6E"/>
    <w:pPr>
      <w:autoSpaceDN w:val="0"/>
      <w:spacing w:line="240" w:lineRule="exact"/>
      <w:textAlignment w:val="baseline"/>
    </w:pPr>
    <w:rPr>
      <w:rFonts w:eastAsia="DejaVu Sans" w:cs="Lohit Hindi"/>
      <w:b/>
      <w:caps/>
      <w:color w:val="000000"/>
      <w:sz w:val="13"/>
      <w:szCs w:val="13"/>
      <w:u w:val="single"/>
    </w:rPr>
  </w:style>
  <w:style w:type="paragraph" w:customStyle="1" w:styleId="NEaAanhef">
    <w:name w:val="NEa Aanhef"/>
    <w:basedOn w:val="NEaStandaard"/>
    <w:rsid w:val="00E97F6E"/>
    <w:pPr>
      <w:spacing w:after="240"/>
    </w:pPr>
  </w:style>
  <w:style w:type="paragraph" w:customStyle="1" w:styleId="NEaAfzendgegevens">
    <w:name w:val="NEa Afzendgegevens"/>
    <w:basedOn w:val="NEaStandaard"/>
    <w:rsid w:val="00E97F6E"/>
    <w:pPr>
      <w:spacing w:line="248" w:lineRule="exact"/>
      <w:jc w:val="right"/>
    </w:pPr>
    <w:rPr>
      <w:sz w:val="13"/>
      <w:szCs w:val="13"/>
    </w:rPr>
  </w:style>
  <w:style w:type="paragraph" w:customStyle="1" w:styleId="NEaAfzendgegevensVet">
    <w:name w:val="NEa Afzendgegevens Vet"/>
    <w:basedOn w:val="NEaStandaard"/>
    <w:rsid w:val="00E97F6E"/>
    <w:pPr>
      <w:spacing w:line="248" w:lineRule="exact"/>
      <w:jc w:val="right"/>
    </w:pPr>
    <w:rPr>
      <w:b/>
      <w:sz w:val="13"/>
      <w:szCs w:val="13"/>
    </w:rPr>
  </w:style>
  <w:style w:type="paragraph" w:customStyle="1" w:styleId="NEaDocumentnaam">
    <w:name w:val="NEa Documentnaam"/>
    <w:rsid w:val="00E97F6E"/>
    <w:pPr>
      <w:autoSpaceDN w:val="0"/>
      <w:spacing w:line="1066" w:lineRule="exact"/>
      <w:jc w:val="right"/>
      <w:textAlignment w:val="baseline"/>
    </w:pPr>
    <w:rPr>
      <w:rFonts w:ascii="Verdana" w:eastAsia="DejaVu Sans" w:hAnsi="Verdana" w:cs="Lohit Hindi"/>
      <w:color w:val="000000"/>
      <w:sz w:val="80"/>
      <w:szCs w:val="80"/>
    </w:rPr>
  </w:style>
  <w:style w:type="paragraph" w:customStyle="1" w:styleId="NEaDocumentnaamArchiefkopie">
    <w:name w:val="NEa Documentnaam Archiefkopie"/>
    <w:basedOn w:val="NEaDocumentnaam"/>
    <w:rsid w:val="00E97F6E"/>
    <w:rPr>
      <w:color w:val="BFBFBF"/>
    </w:rPr>
  </w:style>
  <w:style w:type="paragraph" w:customStyle="1" w:styleId="NEaDocumentnaamsub">
    <w:name w:val="NEa Documentnaam sub"/>
    <w:rsid w:val="00E97F6E"/>
    <w:pPr>
      <w:autoSpaceDN w:val="0"/>
      <w:spacing w:line="360" w:lineRule="exact"/>
      <w:jc w:val="right"/>
      <w:textAlignment w:val="baseline"/>
    </w:pPr>
    <w:rPr>
      <w:rFonts w:ascii="Verdana" w:eastAsia="DejaVu Sans" w:hAnsi="Verdana" w:cs="Lohit Hindi"/>
      <w:color w:val="000000"/>
      <w:sz w:val="36"/>
      <w:szCs w:val="36"/>
    </w:rPr>
  </w:style>
  <w:style w:type="paragraph" w:customStyle="1" w:styleId="NEamemobestuur">
    <w:name w:val="NEa memo bestuur"/>
    <w:basedOn w:val="Standaard"/>
    <w:next w:val="Standaard"/>
    <w:rsid w:val="00E97F6E"/>
    <w:pPr>
      <w:numPr>
        <w:numId w:val="8"/>
      </w:numPr>
      <w:autoSpaceDN w:val="0"/>
      <w:spacing w:line="240" w:lineRule="exact"/>
      <w:textAlignment w:val="baseline"/>
    </w:pPr>
    <w:rPr>
      <w:rFonts w:eastAsia="DejaVu Sans" w:cs="Lohit Hindi"/>
      <w:color w:val="000000"/>
      <w:sz w:val="18"/>
      <w:szCs w:val="18"/>
    </w:rPr>
  </w:style>
  <w:style w:type="paragraph" w:customStyle="1" w:styleId="NEaMemobestuurDocumentnaam">
    <w:name w:val="NEa Memo bestuur Documentnaam"/>
    <w:basedOn w:val="Standaard"/>
    <w:next w:val="Standaard"/>
    <w:rsid w:val="00E97F6E"/>
    <w:pPr>
      <w:autoSpaceDN w:val="0"/>
      <w:spacing w:before="360" w:line="640" w:lineRule="exact"/>
      <w:textAlignment w:val="baseline"/>
    </w:pPr>
    <w:rPr>
      <w:rFonts w:eastAsia="DejaVu Sans" w:cs="Lohit Hindi"/>
      <w:color w:val="000000"/>
      <w:sz w:val="64"/>
      <w:szCs w:val="64"/>
    </w:rPr>
  </w:style>
  <w:style w:type="paragraph" w:customStyle="1" w:styleId="NEamemobestuuropsomming">
    <w:name w:val="NEa memo bestuur opsomm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NEaMemoDocumentnaam">
    <w:name w:val="NEa Memo Documentnaam"/>
    <w:rsid w:val="00E97F6E"/>
    <w:pPr>
      <w:autoSpaceDN w:val="0"/>
      <w:spacing w:line="853" w:lineRule="exact"/>
      <w:textAlignment w:val="baseline"/>
    </w:pPr>
    <w:rPr>
      <w:rFonts w:ascii="Verdana" w:eastAsia="DejaVu Sans" w:hAnsi="Verdana" w:cs="Lohit Hindi"/>
      <w:color w:val="000000"/>
      <w:sz w:val="64"/>
      <w:szCs w:val="64"/>
    </w:rPr>
  </w:style>
  <w:style w:type="paragraph" w:customStyle="1" w:styleId="NEamemoMT6vbold">
    <w:name w:val="NEa memo MT 6v bold"/>
    <w:basedOn w:val="Standaard"/>
    <w:next w:val="Standaard"/>
    <w:rsid w:val="00E97F6E"/>
    <w:pPr>
      <w:autoSpaceDN w:val="0"/>
      <w:spacing w:before="120" w:line="240" w:lineRule="exact"/>
      <w:textAlignment w:val="baseline"/>
    </w:pPr>
    <w:rPr>
      <w:rFonts w:eastAsia="DejaVu Sans" w:cs="Lohit Hindi"/>
      <w:b/>
      <w:color w:val="000000"/>
      <w:sz w:val="18"/>
      <w:szCs w:val="18"/>
    </w:rPr>
  </w:style>
  <w:style w:type="paragraph" w:customStyle="1" w:styleId="NEamemoMT6vstandaard">
    <w:name w:val="NEa memo MT 6v standaard"/>
    <w:basedOn w:val="Standaard"/>
    <w:next w:val="Standaard"/>
    <w:rsid w:val="00E97F6E"/>
    <w:pPr>
      <w:autoSpaceDN w:val="0"/>
      <w:spacing w:before="120" w:line="240" w:lineRule="exact"/>
      <w:textAlignment w:val="baseline"/>
    </w:pPr>
    <w:rPr>
      <w:rFonts w:eastAsia="DejaVu Sans" w:cs="Lohit Hindi"/>
      <w:color w:val="000000"/>
      <w:sz w:val="18"/>
      <w:szCs w:val="18"/>
    </w:rPr>
  </w:style>
  <w:style w:type="table" w:customStyle="1" w:styleId="NEaMemotabel">
    <w:name w:val="NEa Memo tabel"/>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rsid w:val="00E97F6E"/>
    <w:pPr>
      <w:autoSpaceDN w:val="0"/>
      <w:spacing w:before="240" w:after="240" w:line="240" w:lineRule="exact"/>
      <w:textAlignment w:val="baseline"/>
    </w:pPr>
    <w:rPr>
      <w:rFonts w:eastAsia="DejaVu Sans" w:cs="Lohit Hindi"/>
      <w:color w:val="000000"/>
      <w:sz w:val="18"/>
      <w:szCs w:val="18"/>
    </w:rPr>
  </w:style>
  <w:style w:type="paragraph" w:customStyle="1" w:styleId="NEaOpsommingstekst">
    <w:name w:val="NEa Opsommingstekst"/>
    <w:basedOn w:val="NEaStandaard"/>
    <w:rsid w:val="00E97F6E"/>
    <w:pPr>
      <w:numPr>
        <w:numId w:val="9"/>
      </w:numPr>
    </w:pPr>
  </w:style>
  <w:style w:type="paragraph" w:customStyle="1" w:styleId="NEaPaginanummering">
    <w:name w:val="NEa Paginanummering"/>
    <w:basedOn w:val="NEaStandaard"/>
    <w:rsid w:val="00E97F6E"/>
    <w:pPr>
      <w:jc w:val="right"/>
    </w:pPr>
  </w:style>
  <w:style w:type="paragraph" w:customStyle="1" w:styleId="NEaPaginanummeringhuidig">
    <w:name w:val="NEa Paginanummering huidig"/>
    <w:basedOn w:val="NEaVerdana65"/>
    <w:rsid w:val="00E97F6E"/>
    <w:pPr>
      <w:spacing w:line="240" w:lineRule="exact"/>
      <w:jc w:val="right"/>
    </w:pPr>
    <w:rPr>
      <w:sz w:val="18"/>
      <w:szCs w:val="18"/>
    </w:rPr>
  </w:style>
  <w:style w:type="paragraph" w:customStyle="1" w:styleId="NEARapportkoppen">
    <w:name w:val="NEA Rapport koppen"/>
    <w:basedOn w:val="Standaard"/>
    <w:next w:val="Standaard"/>
    <w:rsid w:val="00E97F6E"/>
    <w:pPr>
      <w:autoSpaceDN w:val="0"/>
      <w:spacing w:after="720" w:line="300" w:lineRule="exact"/>
      <w:textAlignment w:val="baseline"/>
    </w:pPr>
    <w:rPr>
      <w:rFonts w:eastAsia="DejaVu Sans" w:cs="Lohit Hindi"/>
      <w:color w:val="000000"/>
      <w:sz w:val="24"/>
    </w:rPr>
  </w:style>
  <w:style w:type="paragraph" w:customStyle="1" w:styleId="NEaSlotzin">
    <w:name w:val="NEa Slotzin"/>
    <w:basedOn w:val="NEaStandaard"/>
    <w:rsid w:val="00E97F6E"/>
    <w:pPr>
      <w:spacing w:before="240"/>
    </w:pPr>
  </w:style>
  <w:style w:type="paragraph" w:customStyle="1" w:styleId="NEaStandaard">
    <w:name w:val="NEa Standaard"/>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NEaStandaardonderlijnd">
    <w:name w:val="NEa Standaard onderlijnd"/>
    <w:basedOn w:val="NEaStandaard"/>
    <w:rsid w:val="00E97F6E"/>
    <w:rPr>
      <w:u w:val="single"/>
    </w:rPr>
  </w:style>
  <w:style w:type="paragraph" w:customStyle="1" w:styleId="NEaStandaardVet">
    <w:name w:val="NEa Standaard Vet"/>
    <w:basedOn w:val="NEaStandaard"/>
    <w:rsid w:val="00E97F6E"/>
    <w:rPr>
      <w:b/>
    </w:rPr>
  </w:style>
  <w:style w:type="paragraph" w:customStyle="1" w:styleId="NEaSubtitel">
    <w:name w:val="NEa Subtitel"/>
    <w:rsid w:val="00E97F6E"/>
    <w:pPr>
      <w:autoSpaceDN w:val="0"/>
      <w:spacing w:line="560" w:lineRule="exact"/>
      <w:textAlignment w:val="baseline"/>
    </w:pPr>
    <w:rPr>
      <w:rFonts w:ascii="Verdana" w:eastAsia="DejaVu Sans" w:hAnsi="Verdana" w:cs="Lohit Hindi"/>
      <w:color w:val="000000"/>
      <w:sz w:val="36"/>
      <w:szCs w:val="36"/>
    </w:rPr>
  </w:style>
  <w:style w:type="paragraph" w:customStyle="1" w:styleId="NEaTabelcel">
    <w:name w:val="NEa Tabelcel"/>
    <w:rsid w:val="00E97F6E"/>
    <w:pPr>
      <w:autoSpaceDN w:val="0"/>
      <w:spacing w:line="230" w:lineRule="exact"/>
      <w:textAlignment w:val="baseline"/>
    </w:pPr>
    <w:rPr>
      <w:rFonts w:ascii="Verdana" w:eastAsia="DejaVu Sans" w:hAnsi="Verdana" w:cs="Lohit Hindi"/>
      <w:color w:val="000000"/>
      <w:sz w:val="18"/>
      <w:szCs w:val="18"/>
    </w:rPr>
  </w:style>
  <w:style w:type="paragraph" w:customStyle="1" w:styleId="NEaTabelcelkop">
    <w:name w:val="NEa Tabelcel kop"/>
    <w:rsid w:val="00E97F6E"/>
    <w:pPr>
      <w:autoSpaceDN w:val="0"/>
      <w:spacing w:line="240" w:lineRule="exact"/>
      <w:textAlignment w:val="baseline"/>
    </w:pPr>
    <w:rPr>
      <w:rFonts w:ascii="Verdana" w:eastAsia="DejaVu Sans" w:hAnsi="Verdana" w:cs="Lohit Hindi"/>
      <w:color w:val="000000"/>
      <w:sz w:val="13"/>
      <w:szCs w:val="13"/>
    </w:rPr>
  </w:style>
  <w:style w:type="paragraph" w:customStyle="1" w:styleId="NEaTitel">
    <w:name w:val="NEa Titel"/>
    <w:rsid w:val="00E97F6E"/>
    <w:pPr>
      <w:autoSpaceDN w:val="0"/>
      <w:spacing w:line="560" w:lineRule="exact"/>
      <w:textAlignment w:val="baseline"/>
    </w:pPr>
    <w:rPr>
      <w:rFonts w:ascii="Verdana" w:eastAsia="DejaVu Sans" w:hAnsi="Verdana" w:cs="Lohit Hindi"/>
      <w:b/>
      <w:color w:val="000000"/>
      <w:sz w:val="36"/>
      <w:szCs w:val="36"/>
    </w:rPr>
  </w:style>
  <w:style w:type="paragraph" w:customStyle="1" w:styleId="NeaToezendgegevens">
    <w:name w:val="Nea Toezendgegevens"/>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NEaVerdana65">
    <w:name w:val="NEa Verdana 6.5"/>
    <w:rsid w:val="00E97F6E"/>
    <w:pPr>
      <w:autoSpaceDN w:val="0"/>
      <w:spacing w:line="173" w:lineRule="exact"/>
      <w:textAlignment w:val="baseline"/>
    </w:pPr>
    <w:rPr>
      <w:rFonts w:ascii="Verdana" w:eastAsia="DejaVu Sans" w:hAnsi="Verdana" w:cs="Lohit Hindi"/>
      <w:color w:val="000000"/>
      <w:sz w:val="13"/>
      <w:szCs w:val="13"/>
    </w:rPr>
  </w:style>
  <w:style w:type="paragraph" w:customStyle="1" w:styleId="NotaParaaf">
    <w:name w:val="Nota_Paraaf"/>
    <w:basedOn w:val="Standaard"/>
    <w:rsid w:val="00E97F6E"/>
    <w:pPr>
      <w:autoSpaceDN w:val="0"/>
      <w:spacing w:line="240" w:lineRule="exact"/>
      <w:textAlignment w:val="baseline"/>
    </w:pPr>
    <w:rPr>
      <w:rFonts w:eastAsia="DejaVu Sans" w:cs="Lohit Hindi"/>
      <w:color w:val="000000"/>
      <w:sz w:val="13"/>
      <w:szCs w:val="13"/>
    </w:rPr>
  </w:style>
  <w:style w:type="paragraph" w:customStyle="1" w:styleId="OIMRapportAlineakop">
    <w:name w:val="OIM Rapport Alineakop"/>
    <w:basedOn w:val="Standaard"/>
    <w:next w:val="Standaard"/>
    <w:rsid w:val="00E97F6E"/>
    <w:pPr>
      <w:numPr>
        <w:ilvl w:val="2"/>
        <w:numId w:val="10"/>
      </w:numPr>
      <w:autoSpaceDN w:val="0"/>
      <w:spacing w:line="240" w:lineRule="exact"/>
      <w:textAlignment w:val="baseline"/>
    </w:pPr>
    <w:rPr>
      <w:rFonts w:eastAsia="DejaVu Sans" w:cs="Lohit Hindi"/>
      <w:color w:val="42145F"/>
      <w:sz w:val="24"/>
    </w:rPr>
  </w:style>
  <w:style w:type="paragraph" w:customStyle="1" w:styleId="OIMRapportDocumentnaam">
    <w:name w:val="OIM Rapport Documentnaam"/>
    <w:basedOn w:val="Standaard"/>
    <w:next w:val="Standaard"/>
    <w:rsid w:val="00E97F6E"/>
    <w:pPr>
      <w:autoSpaceDN w:val="0"/>
      <w:spacing w:line="800" w:lineRule="exact"/>
      <w:textAlignment w:val="baseline"/>
    </w:pPr>
    <w:rPr>
      <w:rFonts w:eastAsia="DejaVu Sans" w:cs="Lohit Hindi"/>
      <w:color w:val="76D2B6"/>
      <w:sz w:val="76"/>
      <w:szCs w:val="76"/>
    </w:rPr>
  </w:style>
  <w:style w:type="paragraph" w:customStyle="1" w:styleId="OIMRapportFiguurkop">
    <w:name w:val="OIM Rapport Figuurkop"/>
    <w:basedOn w:val="Standaard"/>
    <w:next w:val="Standaard"/>
    <w:rsid w:val="00E97F6E"/>
    <w:pPr>
      <w:autoSpaceDN w:val="0"/>
      <w:spacing w:before="80" w:after="120" w:line="240" w:lineRule="exact"/>
      <w:textAlignment w:val="baseline"/>
    </w:pPr>
    <w:rPr>
      <w:rFonts w:eastAsia="DejaVu Sans" w:cs="Lohit Hindi"/>
      <w:color w:val="000000"/>
      <w:sz w:val="16"/>
      <w:szCs w:val="16"/>
    </w:rPr>
  </w:style>
  <w:style w:type="paragraph" w:customStyle="1" w:styleId="OIMRapporthfstenparagraafnummering">
    <w:name w:val="OIM Rapport hfst en paragraafnummer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OIMRapportHoofdstuk">
    <w:name w:val="OIM Rapport Hoofdstuk"/>
    <w:basedOn w:val="Standaard"/>
    <w:next w:val="Standaard"/>
    <w:rsid w:val="00E97F6E"/>
    <w:pPr>
      <w:numPr>
        <w:numId w:val="10"/>
      </w:numPr>
      <w:autoSpaceDN w:val="0"/>
      <w:spacing w:after="720" w:line="920" w:lineRule="exact"/>
      <w:textAlignment w:val="baseline"/>
    </w:pPr>
    <w:rPr>
      <w:rFonts w:eastAsia="DejaVu Sans" w:cs="Lohit Hindi"/>
      <w:b/>
      <w:color w:val="76D2B6"/>
      <w:sz w:val="76"/>
      <w:szCs w:val="76"/>
    </w:rPr>
  </w:style>
  <w:style w:type="paragraph" w:customStyle="1" w:styleId="OIMRapportinhoudkop">
    <w:name w:val="OIM Rapport inhoud kop"/>
    <w:basedOn w:val="Standaard"/>
    <w:next w:val="Standaard"/>
    <w:rsid w:val="00E97F6E"/>
    <w:pPr>
      <w:autoSpaceDN w:val="0"/>
      <w:spacing w:after="720" w:line="960" w:lineRule="exact"/>
      <w:textAlignment w:val="baseline"/>
    </w:pPr>
    <w:rPr>
      <w:rFonts w:eastAsia="DejaVu Sans" w:cs="Lohit Hindi"/>
      <w:b/>
      <w:color w:val="76D2B6"/>
      <w:sz w:val="80"/>
      <w:szCs w:val="80"/>
    </w:rPr>
  </w:style>
  <w:style w:type="paragraph" w:customStyle="1" w:styleId="OIMRapportInleiding">
    <w:name w:val="OIM Rapport Inleiding"/>
    <w:basedOn w:val="Standaard"/>
    <w:next w:val="Standaard"/>
    <w:rsid w:val="00E97F6E"/>
    <w:pPr>
      <w:autoSpaceDN w:val="0"/>
      <w:spacing w:line="380" w:lineRule="exact"/>
      <w:textAlignment w:val="baseline"/>
    </w:pPr>
    <w:rPr>
      <w:rFonts w:eastAsia="DejaVu Sans" w:cs="Lohit Hindi"/>
      <w:color w:val="42145F"/>
      <w:sz w:val="24"/>
    </w:rPr>
  </w:style>
  <w:style w:type="paragraph" w:customStyle="1" w:styleId="OIMRapportKadertekst">
    <w:name w:val="OIM Rapport Kadertekst"/>
    <w:basedOn w:val="Standaard"/>
    <w:next w:val="Standaard"/>
    <w:rsid w:val="00E97F6E"/>
    <w:pPr>
      <w:autoSpaceDN w:val="0"/>
      <w:spacing w:line="240" w:lineRule="exact"/>
      <w:textAlignment w:val="baseline"/>
    </w:pPr>
    <w:rPr>
      <w:rFonts w:eastAsia="DejaVu Sans" w:cs="Lohit Hindi"/>
      <w:color w:val="42145F"/>
      <w:sz w:val="16"/>
      <w:szCs w:val="16"/>
    </w:rPr>
  </w:style>
  <w:style w:type="paragraph" w:customStyle="1" w:styleId="OIMRapportNummering">
    <w:name w:val="OIM Rapport Nummering"/>
    <w:basedOn w:val="Standaard"/>
    <w:next w:val="Standaard"/>
    <w:rsid w:val="00E97F6E"/>
    <w:pPr>
      <w:numPr>
        <w:numId w:val="11"/>
      </w:numPr>
      <w:autoSpaceDN w:val="0"/>
      <w:spacing w:line="240" w:lineRule="exact"/>
      <w:textAlignment w:val="baseline"/>
    </w:pPr>
    <w:rPr>
      <w:rFonts w:eastAsia="DejaVu Sans" w:cs="Lohit Hindi"/>
      <w:color w:val="000000"/>
      <w:sz w:val="18"/>
      <w:szCs w:val="18"/>
    </w:rPr>
  </w:style>
  <w:style w:type="paragraph" w:customStyle="1" w:styleId="OIMRapportNummerlijst">
    <w:name w:val="OIM Rapport Nummerlijst"/>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OIMRapportOpsomminglijst">
    <w:name w:val="OIM Rapport Opsomminglijst"/>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OIMRapportpaginanummer">
    <w:name w:val="OIM Rapport paginanummer"/>
    <w:basedOn w:val="Standaard"/>
    <w:next w:val="Standaard"/>
    <w:rsid w:val="00E97F6E"/>
    <w:pPr>
      <w:autoSpaceDN w:val="0"/>
      <w:spacing w:line="140" w:lineRule="exact"/>
      <w:jc w:val="right"/>
      <w:textAlignment w:val="baseline"/>
    </w:pPr>
    <w:rPr>
      <w:rFonts w:eastAsia="DejaVu Sans" w:cs="Lohit Hindi"/>
      <w:color w:val="000000"/>
      <w:sz w:val="12"/>
      <w:szCs w:val="12"/>
    </w:rPr>
  </w:style>
  <w:style w:type="paragraph" w:customStyle="1" w:styleId="OIMRapportParagraaf">
    <w:name w:val="OIM Rapport Paragraaf"/>
    <w:basedOn w:val="Standaard"/>
    <w:next w:val="Standaard"/>
    <w:rsid w:val="00E97F6E"/>
    <w:pPr>
      <w:numPr>
        <w:ilvl w:val="1"/>
        <w:numId w:val="10"/>
      </w:numPr>
      <w:autoSpaceDN w:val="0"/>
      <w:spacing w:line="240" w:lineRule="exact"/>
      <w:textAlignment w:val="baseline"/>
    </w:pPr>
    <w:rPr>
      <w:rFonts w:eastAsia="DejaVu Sans" w:cs="Lohit Hindi"/>
      <w:b/>
      <w:color w:val="42145F"/>
      <w:sz w:val="24"/>
    </w:rPr>
  </w:style>
  <w:style w:type="paragraph" w:customStyle="1" w:styleId="OIMRapportSubalineakop">
    <w:name w:val="OIM Rapport Subalineakop"/>
    <w:basedOn w:val="Standaard"/>
    <w:next w:val="Standaard"/>
    <w:rsid w:val="00E97F6E"/>
    <w:pPr>
      <w:autoSpaceDN w:val="0"/>
      <w:spacing w:line="240" w:lineRule="exact"/>
      <w:textAlignment w:val="baseline"/>
    </w:pPr>
    <w:rPr>
      <w:rFonts w:eastAsia="DejaVu Sans" w:cs="Lohit Hindi"/>
      <w:i/>
      <w:color w:val="42145F"/>
      <w:sz w:val="18"/>
      <w:szCs w:val="18"/>
    </w:rPr>
  </w:style>
  <w:style w:type="paragraph" w:customStyle="1" w:styleId="OIMRapportSubtitel">
    <w:name w:val="OIM Rapport Subtitel"/>
    <w:basedOn w:val="Standaard"/>
    <w:next w:val="Standaard"/>
    <w:rsid w:val="00E97F6E"/>
    <w:pPr>
      <w:autoSpaceDN w:val="0"/>
      <w:spacing w:line="560" w:lineRule="exact"/>
      <w:textAlignment w:val="baseline"/>
    </w:pPr>
    <w:rPr>
      <w:rFonts w:eastAsia="DejaVu Sans" w:cs="Lohit Hindi"/>
      <w:color w:val="FFFFFF"/>
      <w:sz w:val="40"/>
      <w:szCs w:val="40"/>
    </w:rPr>
  </w:style>
  <w:style w:type="paragraph" w:customStyle="1" w:styleId="OIMRapportTitel">
    <w:name w:val="OIM Rapport Titel"/>
    <w:basedOn w:val="Standaard"/>
    <w:next w:val="Standaard"/>
    <w:rsid w:val="00E97F6E"/>
    <w:pPr>
      <w:autoSpaceDN w:val="0"/>
      <w:spacing w:line="1060" w:lineRule="exact"/>
      <w:textAlignment w:val="baseline"/>
    </w:pPr>
    <w:rPr>
      <w:rFonts w:eastAsia="DejaVu Sans" w:cs="Lohit Hindi"/>
      <w:b/>
      <w:color w:val="42145F"/>
      <w:sz w:val="86"/>
      <w:szCs w:val="86"/>
    </w:rPr>
  </w:style>
  <w:style w:type="paragraph" w:customStyle="1" w:styleId="OIMRapportvoettekst">
    <w:name w:val="OIM Rapport voettekst"/>
    <w:basedOn w:val="Standaard"/>
    <w:next w:val="Standaard"/>
    <w:rsid w:val="00E97F6E"/>
    <w:pPr>
      <w:autoSpaceDN w:val="0"/>
      <w:spacing w:line="140" w:lineRule="exact"/>
      <w:jc w:val="right"/>
      <w:textAlignment w:val="baseline"/>
    </w:pPr>
    <w:rPr>
      <w:rFonts w:eastAsia="DejaVu Sans" w:cs="Lohit Hindi"/>
      <w:color w:val="000000"/>
      <w:sz w:val="12"/>
      <w:szCs w:val="12"/>
    </w:rPr>
  </w:style>
  <w:style w:type="table" w:customStyle="1" w:styleId="OIMStandaardtabel">
    <w:name w:val="OIM Standaard tabel"/>
    <w:rsid w:val="00E97F6E"/>
    <w:pPr>
      <w:autoSpaceDN w:val="0"/>
      <w:textAlignment w:val="baseline"/>
    </w:pPr>
    <w:rPr>
      <w:rFonts w:ascii="Verdana" w:eastAsia="DejaVu Sans" w:hAnsi="Verdana" w:cs="Lohit Hindi"/>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E97F6E"/>
    <w:pPr>
      <w:autoSpaceDN w:val="0"/>
      <w:spacing w:line="160" w:lineRule="exact"/>
      <w:textAlignment w:val="baseline"/>
    </w:pPr>
    <w:rPr>
      <w:rFonts w:eastAsia="DejaVu Sans" w:cs="Lohit Hindi"/>
      <w:color w:val="000000"/>
      <w:sz w:val="16"/>
      <w:szCs w:val="16"/>
    </w:rPr>
  </w:style>
  <w:style w:type="paragraph" w:customStyle="1" w:styleId="OndertekeningArea1">
    <w:name w:val="Ondertekening_Area1"/>
    <w:basedOn w:val="Standaard"/>
    <w:next w:val="Standaard"/>
    <w:rsid w:val="00E97F6E"/>
    <w:pPr>
      <w:autoSpaceDN w:val="0"/>
      <w:spacing w:before="240" w:line="240" w:lineRule="exact"/>
      <w:textAlignment w:val="baseline"/>
    </w:pPr>
    <w:rPr>
      <w:rFonts w:eastAsia="DejaVu Sans" w:cs="Lohit Hindi"/>
      <w:color w:val="000000"/>
      <w:sz w:val="18"/>
      <w:szCs w:val="18"/>
    </w:rPr>
  </w:style>
  <w:style w:type="paragraph" w:customStyle="1" w:styleId="Paginaeinde">
    <w:name w:val="Paginaeinde"/>
    <w:basedOn w:val="Standaard"/>
    <w:next w:val="Standaard"/>
    <w:rsid w:val="00E97F6E"/>
    <w:pPr>
      <w:pageBreakBefore/>
      <w:autoSpaceDN w:val="0"/>
      <w:spacing w:line="240" w:lineRule="exact"/>
      <w:textAlignment w:val="baseline"/>
    </w:pPr>
    <w:rPr>
      <w:rFonts w:eastAsia="DejaVu Sans" w:cs="Lohit Hindi"/>
      <w:color w:val="000000"/>
      <w:sz w:val="2"/>
      <w:szCs w:val="2"/>
    </w:rPr>
  </w:style>
  <w:style w:type="paragraph" w:customStyle="1" w:styleId="Persbericht-Subtitel">
    <w:name w:val="Persbericht - Subtitel"/>
    <w:basedOn w:val="Standaard"/>
    <w:next w:val="Standaard"/>
    <w:rsid w:val="00E97F6E"/>
    <w:pPr>
      <w:autoSpaceDN w:val="0"/>
      <w:spacing w:after="220" w:line="320" w:lineRule="exact"/>
      <w:textAlignment w:val="baseline"/>
    </w:pPr>
    <w:rPr>
      <w:rFonts w:eastAsia="DejaVu Sans" w:cs="Lohit Hindi"/>
      <w:color w:val="000000"/>
      <w:sz w:val="24"/>
    </w:rPr>
  </w:style>
  <w:style w:type="paragraph" w:customStyle="1" w:styleId="Persbericht-Titel">
    <w:name w:val="Persbericht - Titel"/>
    <w:basedOn w:val="Standaard"/>
    <w:next w:val="Standaard"/>
    <w:rsid w:val="00E97F6E"/>
    <w:pPr>
      <w:autoSpaceDN w:val="0"/>
      <w:spacing w:before="460" w:line="320" w:lineRule="exact"/>
      <w:textAlignment w:val="baseline"/>
    </w:pPr>
    <w:rPr>
      <w:rFonts w:eastAsia="DejaVu Sans" w:cs="Lohit Hindi"/>
      <w:b/>
      <w:color w:val="000000"/>
      <w:sz w:val="24"/>
    </w:rPr>
  </w:style>
  <w:style w:type="paragraph" w:customStyle="1" w:styleId="Raad">
    <w:name w:val="Raad"/>
    <w:next w:val="Standaard"/>
    <w:rsid w:val="00E97F6E"/>
    <w:pPr>
      <w:autoSpaceDN w:val="0"/>
      <w:spacing w:line="240" w:lineRule="exact"/>
      <w:textAlignment w:val="baseline"/>
    </w:pPr>
    <w:rPr>
      <w:rFonts w:ascii="Verdana" w:eastAsia="DejaVu Sans" w:hAnsi="Verdana" w:cs="Lohit Hindi"/>
      <w:b/>
      <w:color w:val="000000"/>
      <w:sz w:val="24"/>
      <w:szCs w:val="24"/>
    </w:rPr>
  </w:style>
  <w:style w:type="paragraph" w:customStyle="1" w:styleId="RapportSubtitel">
    <w:name w:val="Rapport Subtitel"/>
    <w:basedOn w:val="Standaard"/>
    <w:next w:val="Standaard"/>
    <w:rsid w:val="00E97F6E"/>
    <w:pPr>
      <w:autoSpaceDN w:val="0"/>
      <w:spacing w:line="300" w:lineRule="exact"/>
      <w:textAlignment w:val="baseline"/>
    </w:pPr>
    <w:rPr>
      <w:rFonts w:eastAsia="DejaVu Sans" w:cs="Lohit Hindi"/>
      <w:color w:val="000000"/>
      <w:sz w:val="28"/>
      <w:szCs w:val="28"/>
    </w:rPr>
  </w:style>
  <w:style w:type="paragraph" w:customStyle="1" w:styleId="RapportTitel">
    <w:name w:val="Rapport Titel"/>
    <w:basedOn w:val="Standaard"/>
    <w:next w:val="Standaard"/>
    <w:rsid w:val="00E97F6E"/>
    <w:pPr>
      <w:autoSpaceDN w:val="0"/>
      <w:spacing w:line="800" w:lineRule="exact"/>
      <w:textAlignment w:val="baseline"/>
    </w:pPr>
    <w:rPr>
      <w:rFonts w:eastAsia="DejaVu Sans" w:cs="Lohit Hindi"/>
      <w:color w:val="007BC7"/>
      <w:sz w:val="72"/>
      <w:szCs w:val="72"/>
    </w:rPr>
  </w:style>
  <w:style w:type="paragraph" w:customStyle="1" w:styleId="RapportNiveau1">
    <w:name w:val="Rapport_Niveau_1"/>
    <w:basedOn w:val="Standaard"/>
    <w:next w:val="Standaard"/>
    <w:rsid w:val="00E97F6E"/>
    <w:pPr>
      <w:autoSpaceDN w:val="0"/>
      <w:spacing w:after="700" w:line="300" w:lineRule="exact"/>
      <w:textAlignment w:val="baseline"/>
    </w:pPr>
    <w:rPr>
      <w:rFonts w:eastAsia="DejaVu Sans" w:cs="Lohit Hindi"/>
      <w:color w:val="000000"/>
      <w:sz w:val="24"/>
    </w:rPr>
  </w:style>
  <w:style w:type="paragraph" w:customStyle="1" w:styleId="RapportNiveau2">
    <w:name w:val="Rapport_Niveau_2"/>
    <w:basedOn w:val="Standaard"/>
    <w:next w:val="Standaard"/>
    <w:rsid w:val="00E97F6E"/>
    <w:pPr>
      <w:autoSpaceDN w:val="0"/>
      <w:spacing w:line="240" w:lineRule="exact"/>
      <w:textAlignment w:val="baseline"/>
    </w:pPr>
    <w:rPr>
      <w:rFonts w:eastAsia="DejaVu Sans" w:cs="Lohit Hindi"/>
      <w:b/>
      <w:color w:val="000000"/>
      <w:sz w:val="18"/>
      <w:szCs w:val="18"/>
    </w:rPr>
  </w:style>
  <w:style w:type="paragraph" w:customStyle="1" w:styleId="RapportNiveau3">
    <w:name w:val="Rapport_Niveau_3"/>
    <w:basedOn w:val="Standaard"/>
    <w:next w:val="Standaard"/>
    <w:rsid w:val="00E97F6E"/>
    <w:pPr>
      <w:autoSpaceDN w:val="0"/>
      <w:spacing w:line="240" w:lineRule="exact"/>
      <w:textAlignment w:val="baseline"/>
    </w:pPr>
    <w:rPr>
      <w:rFonts w:eastAsia="DejaVu Sans" w:cs="Lohit Hindi"/>
      <w:i/>
      <w:color w:val="000000"/>
      <w:sz w:val="18"/>
      <w:szCs w:val="18"/>
    </w:rPr>
  </w:style>
  <w:style w:type="paragraph" w:customStyle="1" w:styleId="RapportNiveau4">
    <w:name w:val="Rapport_Niveau_4"/>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RapportNiveau5">
    <w:name w:val="Rapport_Niveau_5"/>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RapportNiveau6">
    <w:name w:val="Rapport_Niveau_6"/>
    <w:basedOn w:val="Standaard"/>
    <w:next w:val="Standaard"/>
    <w:rsid w:val="00E97F6E"/>
    <w:pPr>
      <w:autoSpaceDN w:val="0"/>
      <w:spacing w:before="240" w:after="60" w:line="380" w:lineRule="exact"/>
      <w:textAlignment w:val="baseline"/>
    </w:pPr>
    <w:rPr>
      <w:rFonts w:eastAsia="DejaVu Sans" w:cs="Lohit Hindi"/>
      <w:b/>
      <w:color w:val="000000"/>
      <w:sz w:val="32"/>
      <w:szCs w:val="32"/>
    </w:rPr>
  </w:style>
  <w:style w:type="paragraph" w:customStyle="1" w:styleId="Referentiegegevens">
    <w:name w:val="Referentiegegevens"/>
    <w:next w:val="Standaard"/>
    <w:rsid w:val="00E97F6E"/>
    <w:pPr>
      <w:tabs>
        <w:tab w:val="left" w:pos="170"/>
      </w:tabs>
      <w:autoSpaceDN w:val="0"/>
      <w:spacing w:line="180" w:lineRule="exact"/>
      <w:textAlignment w:val="baseline"/>
    </w:pPr>
    <w:rPr>
      <w:rFonts w:ascii="Verdana" w:eastAsia="DejaVu Sans" w:hAnsi="Verdana" w:cs="Lohit Hindi"/>
      <w:color w:val="000000"/>
      <w:sz w:val="13"/>
      <w:szCs w:val="13"/>
    </w:rPr>
  </w:style>
  <w:style w:type="paragraph" w:customStyle="1" w:styleId="ReferentiegegevensmetW1boven">
    <w:name w:val="Referentiegegevens met W1 boven"/>
    <w:next w:val="Standaard"/>
    <w:rsid w:val="00E97F6E"/>
    <w:pPr>
      <w:tabs>
        <w:tab w:val="left" w:pos="170"/>
      </w:tabs>
      <w:autoSpaceDN w:val="0"/>
      <w:spacing w:before="90" w:line="180" w:lineRule="exact"/>
      <w:textAlignment w:val="baseline"/>
    </w:pPr>
    <w:rPr>
      <w:rFonts w:ascii="Verdana" w:eastAsia="DejaVu Sans" w:hAnsi="Verdana" w:cs="Lohit Hindi"/>
      <w:color w:val="000000"/>
      <w:sz w:val="13"/>
      <w:szCs w:val="13"/>
    </w:rPr>
  </w:style>
  <w:style w:type="paragraph" w:customStyle="1" w:styleId="Referentiegegevenskop">
    <w:name w:val="Referentiegegevens_kop"/>
    <w:basedOn w:val="Standaard"/>
    <w:next w:val="Standaard"/>
    <w:rsid w:val="00E97F6E"/>
    <w:pPr>
      <w:autoSpaceDN w:val="0"/>
      <w:spacing w:line="180" w:lineRule="exact"/>
      <w:textAlignment w:val="baseline"/>
    </w:pPr>
    <w:rPr>
      <w:rFonts w:eastAsia="DejaVu Sans" w:cs="Lohit Hindi"/>
      <w:b/>
      <w:color w:val="000000"/>
      <w:sz w:val="13"/>
      <w:szCs w:val="13"/>
    </w:rPr>
  </w:style>
  <w:style w:type="paragraph" w:customStyle="1" w:styleId="Retouradres">
    <w:name w:val="Retouradres"/>
    <w:rsid w:val="00E97F6E"/>
    <w:pPr>
      <w:autoSpaceDN w:val="0"/>
      <w:spacing w:line="180" w:lineRule="exact"/>
      <w:textAlignment w:val="baseline"/>
    </w:pPr>
    <w:rPr>
      <w:rFonts w:ascii="Verdana" w:eastAsia="DejaVu Sans" w:hAnsi="Verdana" w:cs="Lohit Hindi"/>
      <w:color w:val="000000"/>
      <w:sz w:val="13"/>
      <w:szCs w:val="13"/>
    </w:rPr>
  </w:style>
  <w:style w:type="paragraph" w:customStyle="1" w:styleId="RliAanhef">
    <w:name w:val="Rli Aanhef"/>
    <w:rsid w:val="00E97F6E"/>
    <w:pPr>
      <w:autoSpaceDN w:val="0"/>
      <w:spacing w:after="240" w:line="240" w:lineRule="exact"/>
      <w:textAlignment w:val="baseline"/>
    </w:pPr>
    <w:rPr>
      <w:rFonts w:ascii="Verdana" w:eastAsia="DejaVu Sans" w:hAnsi="Verdana" w:cs="Lohit Hindi"/>
      <w:color w:val="000000"/>
      <w:sz w:val="18"/>
      <w:szCs w:val="18"/>
    </w:rPr>
  </w:style>
  <w:style w:type="paragraph" w:customStyle="1" w:styleId="RliAgenda-Standaard">
    <w:name w:val="Rli Agenda - Standaard"/>
    <w:basedOn w:val="Standaard"/>
    <w:rsid w:val="00E97F6E"/>
    <w:pPr>
      <w:autoSpaceDN w:val="0"/>
      <w:spacing w:line="240" w:lineRule="exact"/>
      <w:textAlignment w:val="baseline"/>
    </w:pPr>
    <w:rPr>
      <w:rFonts w:eastAsia="DejaVu Sans" w:cs="Lohit Hindi"/>
      <w:color w:val="000000"/>
      <w:sz w:val="16"/>
      <w:szCs w:val="16"/>
    </w:rPr>
  </w:style>
  <w:style w:type="paragraph" w:customStyle="1" w:styleId="RliDocumentnaam">
    <w:name w:val="Rli Documentnaam"/>
    <w:rsid w:val="00E97F6E"/>
    <w:pPr>
      <w:autoSpaceDN w:val="0"/>
      <w:spacing w:line="320" w:lineRule="exact"/>
      <w:jc w:val="right"/>
      <w:textAlignment w:val="baseline"/>
    </w:pPr>
    <w:rPr>
      <w:rFonts w:ascii="Verdana" w:eastAsia="DejaVu Sans" w:hAnsi="Verdana" w:cs="Lohit Hindi"/>
      <w:b/>
      <w:color w:val="000000"/>
      <w:sz w:val="28"/>
      <w:szCs w:val="28"/>
    </w:rPr>
  </w:style>
  <w:style w:type="paragraph" w:customStyle="1" w:styleId="RliInleiding">
    <w:name w:val="Rli Inleiding"/>
    <w:rsid w:val="00E97F6E"/>
    <w:pPr>
      <w:autoSpaceDN w:val="0"/>
      <w:spacing w:after="730" w:line="240" w:lineRule="exact"/>
      <w:textAlignment w:val="baseline"/>
    </w:pPr>
    <w:rPr>
      <w:rFonts w:ascii="Verdana" w:eastAsia="DejaVu Sans" w:hAnsi="Verdana" w:cs="Lohit Hindi"/>
      <w:color w:val="000000"/>
      <w:sz w:val="18"/>
      <w:szCs w:val="18"/>
    </w:rPr>
  </w:style>
  <w:style w:type="paragraph" w:customStyle="1" w:styleId="RliInleidingVet">
    <w:name w:val="Rli Inleiding Vet"/>
    <w:rsid w:val="00E97F6E"/>
    <w:pPr>
      <w:autoSpaceDN w:val="0"/>
      <w:spacing w:after="240" w:line="240" w:lineRule="exact"/>
      <w:textAlignment w:val="baseline"/>
    </w:pPr>
    <w:rPr>
      <w:rFonts w:ascii="Verdana" w:eastAsia="DejaVu Sans" w:hAnsi="Verdana" w:cs="Lohit Hindi"/>
      <w:b/>
      <w:color w:val="000000"/>
      <w:sz w:val="18"/>
      <w:szCs w:val="18"/>
    </w:rPr>
  </w:style>
  <w:style w:type="paragraph" w:customStyle="1" w:styleId="RliKenmerkHoofd">
    <w:name w:val="Rli Kenmerk Hoofd"/>
    <w:rsid w:val="00E97F6E"/>
    <w:pPr>
      <w:autoSpaceDN w:val="0"/>
      <w:spacing w:line="200" w:lineRule="exact"/>
      <w:jc w:val="right"/>
      <w:textAlignment w:val="baseline"/>
    </w:pPr>
    <w:rPr>
      <w:rFonts w:ascii="Verdana" w:eastAsia="DejaVu Sans" w:hAnsi="Verdana" w:cs="Lohit Hindi"/>
      <w:color w:val="000000"/>
      <w:sz w:val="15"/>
      <w:szCs w:val="15"/>
    </w:rPr>
  </w:style>
  <w:style w:type="paragraph" w:customStyle="1" w:styleId="RLIKenmerkRubricering">
    <w:name w:val="RLI Kenmerk Rubricering"/>
    <w:basedOn w:val="Standaard"/>
    <w:next w:val="Standaard"/>
    <w:rsid w:val="00E97F6E"/>
    <w:pPr>
      <w:autoSpaceDN w:val="0"/>
      <w:spacing w:line="240" w:lineRule="exact"/>
      <w:textAlignment w:val="baseline"/>
    </w:pPr>
    <w:rPr>
      <w:rFonts w:eastAsia="DejaVu Sans" w:cs="Lohit Hindi"/>
      <w:b/>
      <w:caps/>
      <w:color w:val="000000"/>
      <w:sz w:val="14"/>
      <w:szCs w:val="14"/>
    </w:rPr>
  </w:style>
  <w:style w:type="paragraph" w:customStyle="1" w:styleId="RliKoptekstKenmerk">
    <w:name w:val="Rli Koptekst Kenmerk"/>
    <w:rsid w:val="00E97F6E"/>
    <w:pPr>
      <w:autoSpaceDN w:val="0"/>
      <w:spacing w:line="240" w:lineRule="exact"/>
      <w:textAlignment w:val="baseline"/>
    </w:pPr>
    <w:rPr>
      <w:rFonts w:ascii="Verdana" w:eastAsia="DejaVu Sans" w:hAnsi="Verdana" w:cs="Lohit Hindi"/>
      <w:b/>
      <w:color w:val="000000"/>
      <w:sz w:val="18"/>
      <w:szCs w:val="18"/>
    </w:rPr>
  </w:style>
  <w:style w:type="paragraph" w:customStyle="1" w:styleId="RliOpsommingnummerKenmerk">
    <w:name w:val="Rli Opsommingnummer Kenmerk"/>
    <w:rsid w:val="00E97F6E"/>
    <w:pPr>
      <w:autoSpaceDN w:val="0"/>
      <w:spacing w:before="480" w:line="240" w:lineRule="exact"/>
      <w:textAlignment w:val="baseline"/>
    </w:pPr>
    <w:rPr>
      <w:rFonts w:ascii="Verdana" w:eastAsia="DejaVu Sans" w:hAnsi="Verdana" w:cs="Lohit Hindi"/>
      <w:b/>
      <w:color w:val="000000"/>
      <w:sz w:val="22"/>
      <w:szCs w:val="22"/>
    </w:rPr>
  </w:style>
  <w:style w:type="paragraph" w:customStyle="1" w:styleId="RliOpsommingtitelOnderwerpInhoud">
    <w:name w:val="Rli Opsommingtitel Onderwerp/Inhoud"/>
    <w:rsid w:val="00E97F6E"/>
    <w:pPr>
      <w:autoSpaceDN w:val="0"/>
      <w:spacing w:before="480" w:line="240" w:lineRule="exact"/>
      <w:textAlignment w:val="baseline"/>
    </w:pPr>
    <w:rPr>
      <w:rFonts w:ascii="Verdana" w:eastAsia="DejaVu Sans" w:hAnsi="Verdana" w:cs="Lohit Hindi"/>
      <w:b/>
      <w:color w:val="000000"/>
    </w:rPr>
  </w:style>
  <w:style w:type="paragraph" w:customStyle="1" w:styleId="RliPaginanummering">
    <w:name w:val="Rli Paginanummering"/>
    <w:rsid w:val="00E97F6E"/>
    <w:pPr>
      <w:autoSpaceDN w:val="0"/>
      <w:spacing w:line="200" w:lineRule="exact"/>
      <w:textAlignment w:val="baseline"/>
    </w:pPr>
    <w:rPr>
      <w:rFonts w:ascii="Verdana" w:eastAsia="DejaVu Sans" w:hAnsi="Verdana" w:cs="Lohit Hindi"/>
      <w:color w:val="000000"/>
      <w:sz w:val="14"/>
      <w:szCs w:val="14"/>
    </w:rPr>
  </w:style>
  <w:style w:type="paragraph" w:customStyle="1" w:styleId="RliParagraafkop">
    <w:name w:val="Rli Paragraafkop"/>
    <w:next w:val="Standaard"/>
    <w:rsid w:val="00E97F6E"/>
    <w:pPr>
      <w:autoSpaceDN w:val="0"/>
      <w:spacing w:before="480" w:after="240" w:line="240" w:lineRule="exact"/>
      <w:textAlignment w:val="baseline"/>
    </w:pPr>
    <w:rPr>
      <w:rFonts w:ascii="Verdana" w:eastAsia="DejaVu Sans" w:hAnsi="Verdana" w:cs="Lohit Hindi"/>
      <w:b/>
      <w:color w:val="000000"/>
      <w:sz w:val="22"/>
      <w:szCs w:val="22"/>
    </w:rPr>
  </w:style>
  <w:style w:type="paragraph" w:customStyle="1" w:styleId="RliPersbericht-AlgemeneInformatiekop">
    <w:name w:val="Rli Persbericht - Algemene Informatie kop"/>
    <w:basedOn w:val="RliStandaardVerdana7"/>
    <w:next w:val="Standaard"/>
    <w:rsid w:val="00E97F6E"/>
    <w:pPr>
      <w:spacing w:before="964"/>
    </w:pPr>
    <w:rPr>
      <w:b/>
    </w:rPr>
  </w:style>
  <w:style w:type="paragraph" w:customStyle="1" w:styleId="RliPersbericht-Titel">
    <w:name w:val="Rli Persbericht - Titel"/>
    <w:rsid w:val="00E97F6E"/>
    <w:pPr>
      <w:autoSpaceDN w:val="0"/>
      <w:spacing w:line="320" w:lineRule="exact"/>
      <w:textAlignment w:val="baseline"/>
    </w:pPr>
    <w:rPr>
      <w:rFonts w:ascii="Verdana" w:eastAsia="DejaVu Sans" w:hAnsi="Verdana" w:cs="Lohit Hindi"/>
      <w:b/>
      <w:color w:val="000000"/>
      <w:sz w:val="22"/>
      <w:szCs w:val="22"/>
    </w:rPr>
  </w:style>
  <w:style w:type="paragraph" w:customStyle="1" w:styleId="RliSlotzin">
    <w:name w:val="Rli Slotzin"/>
    <w:basedOn w:val="RliStandaard"/>
    <w:rsid w:val="00E97F6E"/>
    <w:pPr>
      <w:spacing w:before="720"/>
    </w:pPr>
  </w:style>
  <w:style w:type="paragraph" w:customStyle="1" w:styleId="RliStandaard">
    <w:name w:val="Rli Standaard"/>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Rlistandaard9ptvoor">
    <w:name w:val="Rli standaard 9 pt voor"/>
    <w:basedOn w:val="Standaard"/>
    <w:next w:val="Standaard"/>
    <w:rsid w:val="00E97F6E"/>
    <w:pPr>
      <w:autoSpaceDN w:val="0"/>
      <w:spacing w:before="180" w:line="240" w:lineRule="exact"/>
      <w:textAlignment w:val="baseline"/>
    </w:pPr>
    <w:rPr>
      <w:rFonts w:eastAsia="DejaVu Sans" w:cs="Lohit Hindi"/>
      <w:color w:val="000000"/>
      <w:sz w:val="18"/>
      <w:szCs w:val="18"/>
    </w:rPr>
  </w:style>
  <w:style w:type="paragraph" w:customStyle="1" w:styleId="RliStandaardVerdana7">
    <w:name w:val="Rli Standaard Verdana 7"/>
    <w:rsid w:val="00E97F6E"/>
    <w:pPr>
      <w:autoSpaceDN w:val="0"/>
      <w:spacing w:line="240" w:lineRule="exact"/>
      <w:textAlignment w:val="baseline"/>
    </w:pPr>
    <w:rPr>
      <w:rFonts w:ascii="Verdana" w:eastAsia="DejaVu Sans" w:hAnsi="Verdana" w:cs="Lohit Hindi"/>
      <w:color w:val="000000"/>
      <w:sz w:val="14"/>
      <w:szCs w:val="14"/>
    </w:rPr>
  </w:style>
  <w:style w:type="paragraph" w:customStyle="1" w:styleId="RliStandaardVerdana8">
    <w:name w:val="Rli Standaard Verdana 8"/>
    <w:rsid w:val="00E97F6E"/>
    <w:pPr>
      <w:autoSpaceDN w:val="0"/>
      <w:spacing w:line="240" w:lineRule="exact"/>
      <w:textAlignment w:val="baseline"/>
    </w:pPr>
    <w:rPr>
      <w:rFonts w:ascii="Verdana" w:eastAsia="DejaVu Sans" w:hAnsi="Verdana" w:cs="Lohit Hindi"/>
      <w:color w:val="000000"/>
      <w:sz w:val="16"/>
      <w:szCs w:val="16"/>
    </w:rPr>
  </w:style>
  <w:style w:type="paragraph" w:customStyle="1" w:styleId="RliStandaardVet">
    <w:name w:val="Rli Standaard Vet"/>
    <w:basedOn w:val="Standaard"/>
    <w:next w:val="StandaardVet"/>
    <w:rsid w:val="00E97F6E"/>
    <w:pPr>
      <w:autoSpaceDN w:val="0"/>
      <w:spacing w:line="240" w:lineRule="exact"/>
      <w:textAlignment w:val="baseline"/>
    </w:pPr>
    <w:rPr>
      <w:rFonts w:eastAsia="DejaVu Sans" w:cs="Lohit Hindi"/>
      <w:b/>
      <w:color w:val="000000"/>
      <w:sz w:val="18"/>
      <w:szCs w:val="18"/>
    </w:rPr>
  </w:style>
  <w:style w:type="paragraph" w:customStyle="1" w:styleId="RliTabelcel">
    <w:name w:val="Rli Tabelcel"/>
    <w:rsid w:val="00E97F6E"/>
    <w:pPr>
      <w:autoSpaceDN w:val="0"/>
      <w:spacing w:line="200" w:lineRule="exact"/>
      <w:textAlignment w:val="baseline"/>
    </w:pPr>
    <w:rPr>
      <w:rFonts w:ascii="Verdana" w:eastAsia="DejaVu Sans" w:hAnsi="Verdana" w:cs="Lohit Hindi"/>
      <w:color w:val="000000"/>
      <w:sz w:val="15"/>
      <w:szCs w:val="15"/>
    </w:rPr>
  </w:style>
  <w:style w:type="paragraph" w:customStyle="1" w:styleId="RliTabelcelKop">
    <w:name w:val="Rli Tabelcel Kop"/>
    <w:rsid w:val="00E97F6E"/>
    <w:pPr>
      <w:autoSpaceDN w:val="0"/>
      <w:spacing w:line="200" w:lineRule="exact"/>
      <w:textAlignment w:val="baseline"/>
    </w:pPr>
    <w:rPr>
      <w:rFonts w:ascii="Verdana" w:eastAsia="DejaVu Sans" w:hAnsi="Verdana" w:cs="Lohit Hindi"/>
      <w:b/>
      <w:color w:val="000000"/>
      <w:sz w:val="15"/>
      <w:szCs w:val="15"/>
    </w:rPr>
  </w:style>
  <w:style w:type="paragraph" w:customStyle="1" w:styleId="RliTekstblokAlgemeneInformatiekop">
    <w:name w:val="Rli Tekstblok Algemene Informatie kop"/>
    <w:next w:val="RliStandaardVerdana7"/>
    <w:rsid w:val="00E97F6E"/>
    <w:pPr>
      <w:autoSpaceDN w:val="0"/>
      <w:spacing w:before="720" w:line="240" w:lineRule="exact"/>
      <w:textAlignment w:val="baseline"/>
    </w:pPr>
    <w:rPr>
      <w:rFonts w:ascii="Verdana" w:eastAsia="DejaVu Sans" w:hAnsi="Verdana" w:cs="Lohit Hindi"/>
      <w:b/>
      <w:color w:val="000000"/>
      <w:sz w:val="14"/>
      <w:szCs w:val="14"/>
    </w:rPr>
  </w:style>
  <w:style w:type="paragraph" w:customStyle="1" w:styleId="RliVerslaginleiding">
    <w:name w:val="Rli Verslag inleid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Rubricering">
    <w:name w:val="Rubricering"/>
    <w:next w:val="Standaard"/>
    <w:rsid w:val="00E97F6E"/>
    <w:pPr>
      <w:autoSpaceDN w:val="0"/>
      <w:spacing w:line="180" w:lineRule="exact"/>
      <w:textAlignment w:val="baseline"/>
    </w:pPr>
    <w:rPr>
      <w:rFonts w:ascii="Verdana" w:eastAsia="DejaVu Sans" w:hAnsi="Verdana" w:cs="Lohit Hindi"/>
      <w:b/>
      <w:caps/>
      <w:color w:val="000000"/>
      <w:sz w:val="13"/>
      <w:szCs w:val="13"/>
    </w:rPr>
  </w:style>
  <w:style w:type="paragraph" w:customStyle="1" w:styleId="Ruimtetussentabellen">
    <w:name w:val="Ruimte tussen tabellen"/>
    <w:basedOn w:val="Standaard"/>
    <w:next w:val="Standaard"/>
    <w:rsid w:val="00E97F6E"/>
    <w:pPr>
      <w:autoSpaceDN w:val="0"/>
      <w:spacing w:line="20" w:lineRule="exact"/>
      <w:textAlignment w:val="baseline"/>
    </w:pPr>
    <w:rPr>
      <w:rFonts w:eastAsia="DejaVu Sans" w:cs="Lohit Hindi"/>
      <w:color w:val="000000"/>
      <w:sz w:val="2"/>
      <w:szCs w:val="2"/>
    </w:rPr>
  </w:style>
  <w:style w:type="paragraph" w:customStyle="1" w:styleId="SjablonenIenM-Speech-onderwerp">
    <w:name w:val="Sjablonen IenM - Speech - onderwerp"/>
    <w:basedOn w:val="Standaard"/>
    <w:next w:val="Standaard"/>
    <w:rsid w:val="00E97F6E"/>
    <w:pPr>
      <w:autoSpaceDN w:val="0"/>
      <w:spacing w:before="460" w:line="320" w:lineRule="exact"/>
      <w:textAlignment w:val="baseline"/>
    </w:pPr>
    <w:rPr>
      <w:rFonts w:eastAsia="DejaVu Sans" w:cs="Lohit Hindi"/>
      <w:b/>
      <w:color w:val="000000"/>
      <w:sz w:val="24"/>
    </w:rPr>
  </w:style>
  <w:style w:type="paragraph" w:customStyle="1" w:styleId="SjablonenIenM-Speech-subtitel">
    <w:name w:val="Sjablonen IenM - Speech - subtitel"/>
    <w:basedOn w:val="Standaard"/>
    <w:next w:val="Standaard"/>
    <w:rsid w:val="00E97F6E"/>
    <w:pPr>
      <w:autoSpaceDN w:val="0"/>
      <w:spacing w:after="220" w:line="320" w:lineRule="exact"/>
      <w:textAlignment w:val="baseline"/>
    </w:pPr>
    <w:rPr>
      <w:rFonts w:eastAsia="DejaVu Sans" w:cs="Lohit Hindi"/>
      <w:color w:val="000000"/>
      <w:sz w:val="24"/>
    </w:rPr>
  </w:style>
  <w:style w:type="paragraph" w:customStyle="1" w:styleId="Slotzin">
    <w:name w:val="Slotzin"/>
    <w:basedOn w:val="Standaard"/>
    <w:next w:val="Standaard"/>
    <w:rsid w:val="00E97F6E"/>
    <w:pPr>
      <w:autoSpaceDN w:val="0"/>
      <w:spacing w:before="240" w:line="240" w:lineRule="exact"/>
      <w:textAlignment w:val="baseline"/>
    </w:pPr>
    <w:rPr>
      <w:rFonts w:eastAsia="DejaVu Sans" w:cs="Lohit Hindi"/>
      <w:color w:val="000000"/>
      <w:sz w:val="18"/>
      <w:szCs w:val="18"/>
    </w:rPr>
  </w:style>
  <w:style w:type="table" w:customStyle="1" w:styleId="SSC-ICTTabellijnen">
    <w:name w:val="SSC-ICT Tabel lijnen"/>
    <w:rsid w:val="00E97F6E"/>
    <w:pPr>
      <w:autoSpaceDN w:val="0"/>
      <w:textAlignment w:val="baseline"/>
    </w:pPr>
    <w:rPr>
      <w:rFonts w:ascii="Verdana" w:eastAsia="DejaVu Sans" w:hAnsi="Verdana" w:cs="Lohit Hindi"/>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E97F6E"/>
    <w:pPr>
      <w:autoSpaceDN w:val="0"/>
      <w:spacing w:before="40" w:after="40" w:line="240" w:lineRule="exact"/>
      <w:ind w:left="40"/>
      <w:textAlignment w:val="baseline"/>
    </w:pPr>
    <w:rPr>
      <w:rFonts w:eastAsia="DejaVu Sans" w:cs="Lohit Hindi"/>
      <w:color w:val="000000"/>
      <w:sz w:val="18"/>
      <w:szCs w:val="18"/>
    </w:rPr>
  </w:style>
  <w:style w:type="paragraph" w:customStyle="1" w:styleId="SSFAanhef">
    <w:name w:val="SSF Aanhef"/>
    <w:basedOn w:val="SSFStandaard"/>
    <w:next w:val="Standaard"/>
    <w:rsid w:val="00E97F6E"/>
    <w:pPr>
      <w:spacing w:after="360"/>
    </w:pPr>
  </w:style>
  <w:style w:type="paragraph" w:customStyle="1" w:styleId="SSFGroetregel">
    <w:name w:val="SSF Groetregel"/>
    <w:basedOn w:val="SSFStandaard"/>
    <w:next w:val="Standaard"/>
    <w:rsid w:val="00E97F6E"/>
    <w:pPr>
      <w:spacing w:before="180"/>
    </w:pPr>
  </w:style>
  <w:style w:type="paragraph" w:customStyle="1" w:styleId="SSFInstructietekstVoorlopigvoorschot">
    <w:name w:val="SSF Instructietekst Voorlopig voorschot"/>
    <w:basedOn w:val="SSFStandaard"/>
    <w:rsid w:val="00E97F6E"/>
    <w:pPr>
      <w:spacing w:line="260" w:lineRule="exact"/>
    </w:pPr>
    <w:rPr>
      <w:sz w:val="24"/>
      <w:szCs w:val="24"/>
    </w:rPr>
  </w:style>
  <w:style w:type="paragraph" w:customStyle="1" w:styleId="SSFKopjeZegge">
    <w:name w:val="SSF Kopje Zegge"/>
    <w:basedOn w:val="SSFStandaard"/>
    <w:rsid w:val="00E97F6E"/>
    <w:pPr>
      <w:spacing w:line="220" w:lineRule="exact"/>
    </w:pPr>
  </w:style>
  <w:style w:type="paragraph" w:customStyle="1" w:styleId="SSFKopjes">
    <w:name w:val="SSF Kopjes"/>
    <w:basedOn w:val="SSFStandaard"/>
    <w:rsid w:val="00E97F6E"/>
    <w:rPr>
      <w:sz w:val="13"/>
      <w:szCs w:val="13"/>
    </w:rPr>
  </w:style>
  <w:style w:type="paragraph" w:customStyle="1" w:styleId="SSFNummeringKredietovereenkomst">
    <w:name w:val="SSF Nummering Kredietovereenkomst"/>
    <w:basedOn w:val="SSFStandaard"/>
    <w:next w:val="SSFStandaard"/>
    <w:rsid w:val="00E97F6E"/>
    <w:pPr>
      <w:numPr>
        <w:numId w:val="12"/>
      </w:numPr>
      <w:spacing w:after="180"/>
    </w:pPr>
  </w:style>
  <w:style w:type="paragraph" w:customStyle="1" w:styleId="SSFNummeringKredietovereenkomstA">
    <w:name w:val="SSF Nummering Kredietovereenkomst (A)"/>
    <w:basedOn w:val="SSFPaginanummering"/>
    <w:next w:val="SSFStandaard"/>
    <w:rsid w:val="00E97F6E"/>
    <w:pPr>
      <w:numPr>
        <w:numId w:val="13"/>
      </w:numPr>
      <w:jc w:val="left"/>
    </w:pPr>
  </w:style>
  <w:style w:type="paragraph" w:customStyle="1" w:styleId="SSFnummeringovereenkomst">
    <w:name w:val="SSF nummering overeenkomst"/>
    <w:basedOn w:val="SSFStandaard"/>
    <w:next w:val="SSFStandaard"/>
    <w:rsid w:val="00E97F6E"/>
    <w:pPr>
      <w:spacing w:after="180"/>
    </w:pPr>
  </w:style>
  <w:style w:type="paragraph" w:customStyle="1" w:styleId="SSFnummeringovereenkomstletters">
    <w:name w:val="SSF nummering overeenkomst (letters)"/>
    <w:basedOn w:val="SSFPaginanummering"/>
    <w:next w:val="SSFStandaard"/>
    <w:rsid w:val="00E97F6E"/>
    <w:pPr>
      <w:jc w:val="left"/>
    </w:pPr>
  </w:style>
  <w:style w:type="paragraph" w:customStyle="1" w:styleId="SSFOndertekeningKredietnemer">
    <w:name w:val="SSF Ondertekening Kredietnemer"/>
    <w:basedOn w:val="SSFStandaard"/>
    <w:next w:val="SSFStandaard"/>
    <w:rsid w:val="00E97F6E"/>
    <w:pPr>
      <w:ind w:left="720"/>
    </w:pPr>
  </w:style>
  <w:style w:type="paragraph" w:customStyle="1" w:styleId="SSFOndertekeningStichting">
    <w:name w:val="SSF Ondertekening Stichting"/>
    <w:basedOn w:val="SSFStandaard"/>
    <w:next w:val="SSFStandaard"/>
    <w:rsid w:val="00E97F6E"/>
    <w:pPr>
      <w:ind w:left="4320"/>
    </w:pPr>
  </w:style>
  <w:style w:type="paragraph" w:customStyle="1" w:styleId="SSFPaginanummering">
    <w:name w:val="SSF Paginanummering"/>
    <w:basedOn w:val="SSFStandaard"/>
    <w:rsid w:val="00E97F6E"/>
    <w:pPr>
      <w:jc w:val="center"/>
    </w:pPr>
  </w:style>
  <w:style w:type="paragraph" w:customStyle="1" w:styleId="SSFStandaard">
    <w:name w:val="SSF Standaard"/>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SSFTabeltekstrechtsuitgelijnd">
    <w:name w:val="SSF Tabeltekst rechts uitgelijnd"/>
    <w:basedOn w:val="SSFStandaard"/>
    <w:rsid w:val="00E97F6E"/>
    <w:pPr>
      <w:spacing w:line="180" w:lineRule="exact"/>
      <w:jc w:val="right"/>
    </w:pPr>
  </w:style>
  <w:style w:type="paragraph" w:customStyle="1" w:styleId="SSFTabeltekststandaard">
    <w:name w:val="SSF Tabeltekst standaard"/>
    <w:basedOn w:val="SSFStandaard"/>
    <w:rsid w:val="00E97F6E"/>
    <w:pPr>
      <w:spacing w:line="180" w:lineRule="exact"/>
    </w:pPr>
  </w:style>
  <w:style w:type="paragraph" w:customStyle="1" w:styleId="SSFTitelKwitantie">
    <w:name w:val="SSF Titel Kwitantie"/>
    <w:basedOn w:val="SSFStandaard"/>
    <w:rsid w:val="00E97F6E"/>
    <w:rPr>
      <w:b/>
      <w:sz w:val="24"/>
      <w:szCs w:val="24"/>
    </w:rPr>
  </w:style>
  <w:style w:type="paragraph" w:customStyle="1" w:styleId="SSFWoordmerk-Departement">
    <w:name w:val="SSF Woordmerk - Departement"/>
    <w:basedOn w:val="Standaard"/>
    <w:next w:val="Standaard"/>
    <w:rsid w:val="00E97F6E"/>
    <w:pPr>
      <w:autoSpaceDN w:val="0"/>
      <w:spacing w:before="320" w:line="220" w:lineRule="exact"/>
      <w:textAlignment w:val="baseline"/>
    </w:pPr>
    <w:rPr>
      <w:rFonts w:eastAsia="DejaVu Sans" w:cs="Lohit Hindi"/>
      <w:color w:val="000000"/>
      <w:sz w:val="22"/>
      <w:szCs w:val="22"/>
    </w:rPr>
  </w:style>
  <w:style w:type="paragraph" w:customStyle="1" w:styleId="SSFWoordmerk-Organisatie">
    <w:name w:val="SSF Woordmerk - Organisatie"/>
    <w:basedOn w:val="Standaard"/>
    <w:next w:val="Standaard"/>
    <w:rsid w:val="00E97F6E"/>
    <w:pPr>
      <w:autoSpaceDN w:val="0"/>
      <w:spacing w:line="320" w:lineRule="exact"/>
      <w:textAlignment w:val="baseline"/>
    </w:pPr>
    <w:rPr>
      <w:rFonts w:eastAsia="DejaVu Sans" w:cs="Lohit Hindi"/>
      <w:color w:val="000000"/>
      <w:sz w:val="32"/>
      <w:szCs w:val="32"/>
    </w:rPr>
  </w:style>
  <w:style w:type="paragraph" w:customStyle="1" w:styleId="SSFZegge">
    <w:name w:val="SSF Zegge"/>
    <w:basedOn w:val="SSFStandaard"/>
    <w:rsid w:val="00E97F6E"/>
    <w:pPr>
      <w:spacing w:line="220" w:lineRule="exact"/>
    </w:pPr>
    <w:rPr>
      <w:caps/>
    </w:rPr>
  </w:style>
  <w:style w:type="paragraph" w:customStyle="1" w:styleId="Standaardboldcenter">
    <w:name w:val="Standaard bold center"/>
    <w:basedOn w:val="Standaard"/>
    <w:next w:val="Standaard"/>
    <w:rsid w:val="00E97F6E"/>
    <w:pPr>
      <w:autoSpaceDN w:val="0"/>
      <w:spacing w:line="240" w:lineRule="exact"/>
      <w:jc w:val="center"/>
      <w:textAlignment w:val="baseline"/>
    </w:pPr>
    <w:rPr>
      <w:rFonts w:eastAsia="DejaVu Sans" w:cs="Lohit Hindi"/>
      <w:b/>
      <w:color w:val="000000"/>
      <w:sz w:val="18"/>
      <w:szCs w:val="18"/>
    </w:rPr>
  </w:style>
  <w:style w:type="paragraph" w:customStyle="1" w:styleId="Standaardboldrechts">
    <w:name w:val="Standaard bold rechts"/>
    <w:basedOn w:val="Standaard"/>
    <w:next w:val="Standaard"/>
    <w:rsid w:val="00E97F6E"/>
    <w:pPr>
      <w:autoSpaceDN w:val="0"/>
      <w:spacing w:line="240" w:lineRule="exact"/>
      <w:jc w:val="right"/>
      <w:textAlignment w:val="baseline"/>
    </w:pPr>
    <w:rPr>
      <w:rFonts w:eastAsia="DejaVu Sans" w:cs="Lohit Hindi"/>
      <w:b/>
      <w:color w:val="000000"/>
      <w:sz w:val="18"/>
      <w:szCs w:val="18"/>
    </w:rPr>
  </w:style>
  <w:style w:type="paragraph" w:customStyle="1" w:styleId="StandaardCursief">
    <w:name w:val="Standaard Cursief"/>
    <w:basedOn w:val="Standaard"/>
    <w:next w:val="Standaard"/>
    <w:rsid w:val="00E97F6E"/>
    <w:pPr>
      <w:autoSpaceDN w:val="0"/>
      <w:spacing w:line="240" w:lineRule="exact"/>
      <w:textAlignment w:val="baseline"/>
    </w:pPr>
    <w:rPr>
      <w:rFonts w:eastAsia="DejaVu Sans" w:cs="Lohit Hindi"/>
      <w:i/>
      <w:color w:val="000000"/>
      <w:sz w:val="18"/>
      <w:szCs w:val="18"/>
    </w:rPr>
  </w:style>
  <w:style w:type="paragraph" w:customStyle="1" w:styleId="StandaardKleinKapitaal">
    <w:name w:val="Standaard Klein Kapitaal"/>
    <w:basedOn w:val="Standaard"/>
    <w:next w:val="Standaard"/>
    <w:rsid w:val="00E97F6E"/>
    <w:pPr>
      <w:autoSpaceDN w:val="0"/>
      <w:spacing w:line="240" w:lineRule="exact"/>
      <w:textAlignment w:val="baseline"/>
    </w:pPr>
    <w:rPr>
      <w:rFonts w:eastAsia="DejaVu Sans" w:cs="Lohit Hindi"/>
      <w:smallCaps/>
      <w:color w:val="000000"/>
      <w:sz w:val="18"/>
      <w:szCs w:val="18"/>
    </w:rPr>
  </w:style>
  <w:style w:type="paragraph" w:customStyle="1" w:styleId="Standaardopsomming">
    <w:name w:val="Standaard opsomming"/>
    <w:basedOn w:val="Standaard"/>
    <w:next w:val="Standaard"/>
    <w:rsid w:val="00E97F6E"/>
    <w:pPr>
      <w:numPr>
        <w:numId w:val="14"/>
      </w:numPr>
      <w:autoSpaceDN w:val="0"/>
      <w:spacing w:line="240" w:lineRule="exact"/>
      <w:textAlignment w:val="baseline"/>
    </w:pPr>
    <w:rPr>
      <w:rFonts w:eastAsia="DejaVu Sans" w:cs="Lohit Hindi"/>
      <w:color w:val="000000"/>
      <w:sz w:val="18"/>
      <w:szCs w:val="18"/>
    </w:rPr>
  </w:style>
  <w:style w:type="paragraph" w:customStyle="1" w:styleId="Standaardopsomminglijst">
    <w:name w:val="Standaard opsomming lijst"/>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Standaardrechts">
    <w:name w:val="Standaard rechts"/>
    <w:basedOn w:val="Standaard"/>
    <w:next w:val="Standaard"/>
    <w:rsid w:val="00E97F6E"/>
    <w:pPr>
      <w:autoSpaceDN w:val="0"/>
      <w:spacing w:line="240" w:lineRule="exact"/>
      <w:jc w:val="right"/>
      <w:textAlignment w:val="baseline"/>
    </w:pPr>
    <w:rPr>
      <w:rFonts w:eastAsia="DejaVu Sans" w:cs="Lohit Hindi"/>
      <w:color w:val="000000"/>
      <w:sz w:val="18"/>
      <w:szCs w:val="18"/>
    </w:rPr>
  </w:style>
  <w:style w:type="table" w:customStyle="1" w:styleId="Standaardtabelmetlijnen">
    <w:name w:val="Standaard tabel met lijnen"/>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E97F6E"/>
    <w:pPr>
      <w:autoSpaceDN w:val="0"/>
      <w:spacing w:line="240" w:lineRule="exact"/>
      <w:textAlignment w:val="baseline"/>
    </w:pPr>
    <w:rPr>
      <w:rFonts w:eastAsia="DejaVu Sans" w:cs="Lohit Hindi"/>
      <w:color w:val="000000"/>
      <w:sz w:val="24"/>
    </w:rPr>
  </w:style>
  <w:style w:type="paragraph" w:customStyle="1" w:styleId="StandaardVerdana12bold">
    <w:name w:val="Standaard Verdana 12 bold"/>
    <w:basedOn w:val="Standaard"/>
    <w:next w:val="Standaard"/>
    <w:rsid w:val="00E97F6E"/>
    <w:pPr>
      <w:autoSpaceDN w:val="0"/>
      <w:spacing w:line="240" w:lineRule="exact"/>
      <w:textAlignment w:val="baseline"/>
    </w:pPr>
    <w:rPr>
      <w:rFonts w:eastAsia="DejaVu Sans" w:cs="Lohit Hindi"/>
      <w:b/>
      <w:color w:val="000000"/>
      <w:sz w:val="24"/>
    </w:rPr>
  </w:style>
  <w:style w:type="paragraph" w:customStyle="1" w:styleId="StandaardVerdana14">
    <w:name w:val="Standaard Verdana 14"/>
    <w:basedOn w:val="Standaard"/>
    <w:next w:val="Standaard"/>
    <w:rsid w:val="00E97F6E"/>
    <w:pPr>
      <w:autoSpaceDN w:val="0"/>
      <w:spacing w:line="340" w:lineRule="exact"/>
      <w:textAlignment w:val="baseline"/>
    </w:pPr>
    <w:rPr>
      <w:rFonts w:eastAsia="DejaVu Sans" w:cs="Lohit Hindi"/>
      <w:color w:val="000000"/>
      <w:sz w:val="28"/>
      <w:szCs w:val="28"/>
    </w:rPr>
  </w:style>
  <w:style w:type="paragraph" w:customStyle="1" w:styleId="StandaardVet">
    <w:name w:val="Standaard Vet"/>
    <w:basedOn w:val="Standaard"/>
    <w:next w:val="Standaard"/>
    <w:rsid w:val="00E97F6E"/>
    <w:pPr>
      <w:autoSpaceDN w:val="0"/>
      <w:spacing w:line="240" w:lineRule="exact"/>
      <w:textAlignment w:val="baseline"/>
    </w:pPr>
    <w:rPr>
      <w:rFonts w:eastAsia="DejaVu Sans" w:cs="Lohit Hindi"/>
      <w:b/>
      <w:color w:val="000000"/>
      <w:sz w:val="18"/>
      <w:szCs w:val="18"/>
    </w:rPr>
  </w:style>
  <w:style w:type="paragraph" w:customStyle="1" w:styleId="StandaardVetenRood">
    <w:name w:val="Standaard Vet en Rood"/>
    <w:basedOn w:val="Standaard"/>
    <w:next w:val="Standaard"/>
    <w:rsid w:val="00E97F6E"/>
    <w:pPr>
      <w:autoSpaceDN w:val="0"/>
      <w:spacing w:line="240" w:lineRule="exact"/>
      <w:textAlignment w:val="baseline"/>
    </w:pPr>
    <w:rPr>
      <w:rFonts w:eastAsia="DejaVu Sans" w:cs="Lohit Hindi"/>
      <w:b/>
      <w:color w:val="FF0000"/>
      <w:sz w:val="18"/>
      <w:szCs w:val="18"/>
    </w:rPr>
  </w:style>
  <w:style w:type="paragraph" w:customStyle="1" w:styleId="StandaardRapportExtraVermelding">
    <w:name w:val="Standaard_Rapport_Extra_Vermelding"/>
    <w:basedOn w:val="Standaard"/>
    <w:next w:val="Standaard"/>
    <w:rsid w:val="00E97F6E"/>
    <w:pPr>
      <w:autoSpaceDN w:val="0"/>
      <w:spacing w:before="60" w:after="300" w:line="240" w:lineRule="exact"/>
      <w:textAlignment w:val="baseline"/>
    </w:pPr>
    <w:rPr>
      <w:rFonts w:eastAsia="DejaVu Sans" w:cs="Lohit Hindi"/>
      <w:color w:val="000000"/>
      <w:szCs w:val="20"/>
    </w:rPr>
  </w:style>
  <w:style w:type="table" w:customStyle="1" w:styleId="StandaardRapportpag1">
    <w:name w:val="Standaard_Rapport_pag1"/>
    <w:rsid w:val="00E97F6E"/>
    <w:pPr>
      <w:autoSpaceDN w:val="0"/>
      <w:textAlignment w:val="baseline"/>
    </w:pPr>
    <w:rPr>
      <w:rFonts w:ascii="Verdana" w:eastAsia="DejaVu Sans" w:hAnsi="Verdana" w:cs="Lohit Hindi"/>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E97F6E"/>
    <w:pPr>
      <w:autoSpaceDN w:val="0"/>
      <w:spacing w:before="240" w:after="360" w:line="240" w:lineRule="exact"/>
      <w:textAlignment w:val="baseline"/>
    </w:pPr>
    <w:rPr>
      <w:rFonts w:eastAsia="DejaVu Sans" w:cs="Lohit Hindi"/>
      <w:color w:val="000000"/>
      <w:szCs w:val="20"/>
    </w:rPr>
  </w:style>
  <w:style w:type="paragraph" w:customStyle="1" w:styleId="StandaardRapportTitel">
    <w:name w:val="Standaard_Rapport_Titel"/>
    <w:basedOn w:val="Standaard"/>
    <w:next w:val="Standaard"/>
    <w:rsid w:val="00E97F6E"/>
    <w:pPr>
      <w:autoSpaceDN w:val="0"/>
      <w:spacing w:before="60" w:after="320" w:line="240" w:lineRule="exact"/>
      <w:textAlignment w:val="baseline"/>
    </w:pPr>
    <w:rPr>
      <w:rFonts w:eastAsia="DejaVu Sans" w:cs="Lohit Hindi"/>
      <w:b/>
      <w:color w:val="000000"/>
      <w:sz w:val="24"/>
    </w:rPr>
  </w:style>
  <w:style w:type="paragraph" w:customStyle="1" w:styleId="StandaardRapportVersie">
    <w:name w:val="Standaard_Rapport_Versie"/>
    <w:basedOn w:val="Standaard"/>
    <w:next w:val="Standaard"/>
    <w:rsid w:val="00E97F6E"/>
    <w:pPr>
      <w:autoSpaceDN w:val="0"/>
      <w:spacing w:before="60" w:after="360" w:line="240" w:lineRule="exact"/>
      <w:textAlignment w:val="baseline"/>
    </w:pPr>
    <w:rPr>
      <w:rFonts w:eastAsia="DejaVu Sans" w:cs="Lohit Hindi"/>
      <w:color w:val="000000"/>
      <w:sz w:val="18"/>
      <w:szCs w:val="18"/>
    </w:rPr>
  </w:style>
  <w:style w:type="paragraph" w:customStyle="1" w:styleId="Toezendgegevens">
    <w:name w:val="Toezendgegevens"/>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Verdana">
    <w:name w:val="Verdana"/>
    <w:basedOn w:val="Standaard"/>
    <w:next w:val="Standaard"/>
    <w:rsid w:val="00E97F6E"/>
    <w:pPr>
      <w:autoSpaceDN w:val="0"/>
      <w:spacing w:line="240" w:lineRule="exact"/>
      <w:textAlignment w:val="baseline"/>
    </w:pPr>
    <w:rPr>
      <w:rFonts w:eastAsia="DejaVu Sans" w:cs="Lohit Hindi"/>
      <w:color w:val="000000"/>
      <w:sz w:val="14"/>
      <w:szCs w:val="14"/>
    </w:rPr>
  </w:style>
  <w:style w:type="paragraph" w:customStyle="1" w:styleId="Verdana65">
    <w:name w:val="Verdana 6;5"/>
    <w:basedOn w:val="Standaard"/>
    <w:next w:val="Standaard"/>
    <w:rsid w:val="00E97F6E"/>
    <w:pPr>
      <w:autoSpaceDN w:val="0"/>
      <w:spacing w:line="240" w:lineRule="exact"/>
      <w:textAlignment w:val="baseline"/>
    </w:pPr>
    <w:rPr>
      <w:rFonts w:eastAsia="DejaVu Sans" w:cs="Lohit Hindi"/>
      <w:color w:val="000000"/>
      <w:sz w:val="13"/>
      <w:szCs w:val="13"/>
    </w:rPr>
  </w:style>
  <w:style w:type="paragraph" w:customStyle="1" w:styleId="Verdana65bold">
    <w:name w:val="Verdana 6;5 bold"/>
    <w:basedOn w:val="Standaard"/>
    <w:next w:val="Standaard"/>
    <w:rsid w:val="00E97F6E"/>
    <w:pPr>
      <w:autoSpaceDN w:val="0"/>
      <w:spacing w:line="180" w:lineRule="exact"/>
      <w:textAlignment w:val="baseline"/>
    </w:pPr>
    <w:rPr>
      <w:rFonts w:eastAsia="DejaVu Sans" w:cs="Lohit Hindi"/>
      <w:b/>
      <w:color w:val="000000"/>
      <w:sz w:val="13"/>
      <w:szCs w:val="13"/>
    </w:rPr>
  </w:style>
  <w:style w:type="paragraph" w:customStyle="1" w:styleId="Verdana8">
    <w:name w:val="Verdana 8"/>
    <w:next w:val="Standaard"/>
    <w:rsid w:val="00E97F6E"/>
    <w:pPr>
      <w:autoSpaceDN w:val="0"/>
      <w:spacing w:line="180" w:lineRule="exact"/>
      <w:textAlignment w:val="baseline"/>
    </w:pPr>
    <w:rPr>
      <w:rFonts w:ascii="Verdana" w:eastAsia="DejaVu Sans" w:hAnsi="Verdana" w:cs="Lohit Hindi"/>
      <w:color w:val="000000"/>
      <w:sz w:val="16"/>
      <w:szCs w:val="16"/>
    </w:rPr>
  </w:style>
  <w:style w:type="paragraph" w:customStyle="1" w:styleId="Verdana8rechts">
    <w:name w:val="Verdana 8 rechts"/>
    <w:basedOn w:val="Standaard"/>
    <w:next w:val="Standaard"/>
    <w:rsid w:val="00E97F6E"/>
    <w:pPr>
      <w:autoSpaceDN w:val="0"/>
      <w:spacing w:line="240" w:lineRule="exact"/>
      <w:jc w:val="right"/>
      <w:textAlignment w:val="baseline"/>
    </w:pPr>
    <w:rPr>
      <w:rFonts w:eastAsia="DejaVu Sans" w:cs="Lohit Hindi"/>
      <w:color w:val="000000"/>
      <w:sz w:val="16"/>
      <w:szCs w:val="16"/>
    </w:rPr>
  </w:style>
  <w:style w:type="paragraph" w:customStyle="1" w:styleId="WitregelW1">
    <w:name w:val="Witregel W1"/>
    <w:next w:val="Standaard"/>
    <w:rsid w:val="00E97F6E"/>
    <w:pPr>
      <w:autoSpaceDN w:val="0"/>
      <w:spacing w:line="90" w:lineRule="exact"/>
      <w:textAlignment w:val="baseline"/>
    </w:pPr>
    <w:rPr>
      <w:rFonts w:ascii="Verdana" w:eastAsia="DejaVu Sans" w:hAnsi="Verdana" w:cs="Lohit Hindi"/>
      <w:color w:val="000000"/>
      <w:sz w:val="9"/>
      <w:szCs w:val="9"/>
    </w:rPr>
  </w:style>
  <w:style w:type="paragraph" w:customStyle="1" w:styleId="WitregelW1bodytekst">
    <w:name w:val="Witregel W1 (bodytekst)"/>
    <w:next w:val="Standaard"/>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WitregelW2">
    <w:name w:val="Witregel W2"/>
    <w:next w:val="Standaard"/>
    <w:rsid w:val="00E97F6E"/>
    <w:pPr>
      <w:autoSpaceDN w:val="0"/>
      <w:spacing w:line="270" w:lineRule="exact"/>
      <w:textAlignment w:val="baseline"/>
    </w:pPr>
    <w:rPr>
      <w:rFonts w:ascii="Verdana" w:eastAsia="DejaVu Sans" w:hAnsi="Verdana" w:cs="Lohit Hindi"/>
      <w:color w:val="000000"/>
      <w:sz w:val="27"/>
      <w:szCs w:val="27"/>
    </w:rPr>
  </w:style>
  <w:style w:type="paragraph" w:customStyle="1" w:styleId="Witregel1pt">
    <w:name w:val="Witregel_1pt"/>
    <w:basedOn w:val="Standaard"/>
    <w:next w:val="Standaard"/>
    <w:rsid w:val="00E97F6E"/>
    <w:pPr>
      <w:autoSpaceDN w:val="0"/>
      <w:spacing w:line="240" w:lineRule="exact"/>
      <w:textAlignment w:val="baseline"/>
    </w:pPr>
    <w:rPr>
      <w:rFonts w:eastAsia="DejaVu Sans" w:cs="Lohit Hindi"/>
      <w:color w:val="000000"/>
      <w:sz w:val="2"/>
      <w:szCs w:val="2"/>
    </w:rPr>
  </w:style>
  <w:style w:type="paragraph" w:customStyle="1" w:styleId="Zendbriefstandaard">
    <w:name w:val="Zendbrief standaard"/>
    <w:basedOn w:val="Standaard"/>
    <w:next w:val="Standaard"/>
    <w:rsid w:val="00E97F6E"/>
    <w:pPr>
      <w:autoSpaceDN w:val="0"/>
      <w:spacing w:before="100" w:after="240" w:line="240" w:lineRule="exact"/>
      <w:textAlignment w:val="baseline"/>
    </w:pPr>
    <w:rPr>
      <w:rFonts w:eastAsia="DejaVu Sans" w:cs="Lohit Hindi"/>
      <w:color w:val="000000"/>
      <w:sz w:val="18"/>
      <w:szCs w:val="18"/>
    </w:rPr>
  </w:style>
  <w:style w:type="character" w:customStyle="1" w:styleId="Kop1Char">
    <w:name w:val="Kop 1 Char"/>
    <w:basedOn w:val="Standaardalinea-lettertype"/>
    <w:link w:val="Kop1"/>
    <w:rsid w:val="00E97F6E"/>
    <w:rPr>
      <w:rFonts w:ascii="Verdana" w:hAnsi="Verdana" w:cs="Arial"/>
      <w:b/>
      <w:bCs/>
      <w:kern w:val="32"/>
      <w:sz w:val="32"/>
      <w:szCs w:val="32"/>
    </w:rPr>
  </w:style>
  <w:style w:type="character" w:customStyle="1" w:styleId="Kop2Char">
    <w:name w:val="Kop 2 Char"/>
    <w:basedOn w:val="Standaardalinea-lettertype"/>
    <w:link w:val="Kop2"/>
    <w:rsid w:val="00E97F6E"/>
    <w:rPr>
      <w:rFonts w:ascii="Verdana" w:hAnsi="Verdana" w:cs="Arial"/>
      <w:b/>
      <w:bCs/>
      <w:i/>
      <w:iCs/>
      <w:sz w:val="28"/>
      <w:szCs w:val="28"/>
    </w:rPr>
  </w:style>
  <w:style w:type="character" w:customStyle="1" w:styleId="Kop3Char">
    <w:name w:val="Kop 3 Char"/>
    <w:basedOn w:val="Standaardalinea-lettertype"/>
    <w:link w:val="Kop3"/>
    <w:rsid w:val="00E97F6E"/>
    <w:rPr>
      <w:rFonts w:ascii="Verdana" w:hAnsi="Verdana" w:cs="Arial"/>
      <w:b/>
      <w:bCs/>
      <w:sz w:val="26"/>
      <w:szCs w:val="26"/>
    </w:rPr>
  </w:style>
  <w:style w:type="numbering" w:customStyle="1" w:styleId="Geenlijst1">
    <w:name w:val="Geen lijst1"/>
    <w:next w:val="Geenlijst"/>
    <w:uiPriority w:val="99"/>
    <w:semiHidden/>
    <w:unhideWhenUsed/>
    <w:rsid w:val="00E97F6E"/>
  </w:style>
  <w:style w:type="paragraph" w:customStyle="1" w:styleId="Kop71">
    <w:name w:val="Kop 71"/>
    <w:basedOn w:val="Standaard"/>
    <w:next w:val="Standaard"/>
    <w:uiPriority w:val="9"/>
    <w:semiHidden/>
    <w:unhideWhenUsed/>
    <w:rsid w:val="00E97F6E"/>
    <w:pPr>
      <w:keepNext/>
      <w:keepLines/>
      <w:spacing w:before="200" w:line="276" w:lineRule="auto"/>
      <w:ind w:left="1296" w:hanging="1296"/>
      <w:outlineLvl w:val="6"/>
    </w:pPr>
    <w:rPr>
      <w:rFonts w:ascii="Calibri Light" w:hAnsi="Calibri Light"/>
      <w:i/>
      <w:iCs/>
      <w:color w:val="404040"/>
      <w:sz w:val="18"/>
      <w:szCs w:val="20"/>
    </w:rPr>
  </w:style>
  <w:style w:type="paragraph" w:customStyle="1" w:styleId="Kop81">
    <w:name w:val="Kop 81"/>
    <w:basedOn w:val="Standaard"/>
    <w:next w:val="Standaard"/>
    <w:uiPriority w:val="9"/>
    <w:semiHidden/>
    <w:unhideWhenUsed/>
    <w:qFormat/>
    <w:rsid w:val="00E97F6E"/>
    <w:pPr>
      <w:keepNext/>
      <w:keepLines/>
      <w:spacing w:before="200" w:line="276" w:lineRule="auto"/>
      <w:ind w:left="1440" w:hanging="1440"/>
      <w:outlineLvl w:val="7"/>
    </w:pPr>
    <w:rPr>
      <w:rFonts w:ascii="Calibri Light" w:hAnsi="Calibri Light"/>
      <w:color w:val="404040"/>
      <w:szCs w:val="20"/>
    </w:rPr>
  </w:style>
  <w:style w:type="paragraph" w:customStyle="1" w:styleId="Kop91">
    <w:name w:val="Kop 91"/>
    <w:basedOn w:val="Standaard"/>
    <w:next w:val="Standaard"/>
    <w:uiPriority w:val="9"/>
    <w:semiHidden/>
    <w:unhideWhenUsed/>
    <w:qFormat/>
    <w:rsid w:val="00E97F6E"/>
    <w:pPr>
      <w:keepNext/>
      <w:keepLines/>
      <w:spacing w:before="200" w:line="276" w:lineRule="auto"/>
      <w:ind w:left="1584" w:hanging="1584"/>
      <w:outlineLvl w:val="8"/>
    </w:pPr>
    <w:rPr>
      <w:rFonts w:ascii="Calibri Light" w:hAnsi="Calibri Light"/>
      <w:i/>
      <w:iCs/>
      <w:color w:val="404040"/>
      <w:szCs w:val="20"/>
    </w:rPr>
  </w:style>
  <w:style w:type="numbering" w:customStyle="1" w:styleId="Geenlijst11">
    <w:name w:val="Geen lijst11"/>
    <w:next w:val="Geenlijst"/>
    <w:uiPriority w:val="99"/>
    <w:semiHidden/>
    <w:unhideWhenUsed/>
    <w:rsid w:val="00E97F6E"/>
  </w:style>
  <w:style w:type="table" w:customStyle="1" w:styleId="TableNormal">
    <w:name w:val="Table Normal"/>
    <w:rsid w:val="00E97F6E"/>
    <w:pPr>
      <w:spacing w:after="200" w:line="276" w:lineRule="auto"/>
    </w:pPr>
    <w:rPr>
      <w:rFonts w:ascii="Verdana" w:eastAsia="Verdana" w:hAnsi="Verdana" w:cs="Verdana"/>
      <w:color w:val="000000"/>
    </w:rPr>
    <w:tblPr>
      <w:tblCellMar>
        <w:top w:w="0" w:type="dxa"/>
        <w:left w:w="0" w:type="dxa"/>
        <w:bottom w:w="0" w:type="dxa"/>
        <w:right w:w="0" w:type="dxa"/>
      </w:tblCellMar>
    </w:tblPr>
  </w:style>
  <w:style w:type="paragraph" w:styleId="Titel">
    <w:name w:val="Title"/>
    <w:basedOn w:val="Standaard"/>
    <w:next w:val="Standaard"/>
    <w:link w:val="TitelChar"/>
    <w:rsid w:val="00E97F6E"/>
    <w:pPr>
      <w:keepNext/>
      <w:keepLines/>
      <w:widowControl w:val="0"/>
      <w:spacing w:before="240" w:after="120" w:line="276" w:lineRule="auto"/>
    </w:pPr>
    <w:rPr>
      <w:rFonts w:ascii="Arial" w:eastAsia="Arial" w:hAnsi="Arial" w:cs="Arial"/>
      <w:b/>
      <w:color w:val="000000"/>
      <w:sz w:val="48"/>
      <w:szCs w:val="48"/>
    </w:rPr>
  </w:style>
  <w:style w:type="character" w:customStyle="1" w:styleId="TitelChar">
    <w:name w:val="Titel Char"/>
    <w:basedOn w:val="Standaardalinea-lettertype"/>
    <w:link w:val="Titel"/>
    <w:rsid w:val="00E97F6E"/>
    <w:rPr>
      <w:rFonts w:ascii="Arial" w:eastAsia="Arial" w:hAnsi="Arial" w:cs="Arial"/>
      <w:b/>
      <w:color w:val="000000"/>
      <w:sz w:val="48"/>
      <w:szCs w:val="48"/>
    </w:rPr>
  </w:style>
  <w:style w:type="paragraph" w:styleId="Ondertitel">
    <w:name w:val="Subtitle"/>
    <w:basedOn w:val="Standaard"/>
    <w:next w:val="Standaard"/>
    <w:link w:val="OndertitelChar"/>
    <w:rsid w:val="00E97F6E"/>
    <w:pPr>
      <w:keepNext/>
      <w:keepLines/>
      <w:widowControl w:val="0"/>
      <w:spacing w:before="240" w:after="120" w:line="276" w:lineRule="auto"/>
      <w:jc w:val="center"/>
    </w:pPr>
    <w:rPr>
      <w:rFonts w:ascii="Arial" w:eastAsia="Arial" w:hAnsi="Arial" w:cs="Arial"/>
      <w:i/>
      <w:color w:val="666666"/>
      <w:sz w:val="28"/>
      <w:szCs w:val="28"/>
    </w:rPr>
  </w:style>
  <w:style w:type="character" w:customStyle="1" w:styleId="OndertitelChar">
    <w:name w:val="Ondertitel Char"/>
    <w:basedOn w:val="Standaardalinea-lettertype"/>
    <w:link w:val="Ondertitel"/>
    <w:rsid w:val="00E97F6E"/>
    <w:rPr>
      <w:rFonts w:ascii="Arial" w:eastAsia="Arial" w:hAnsi="Arial" w:cs="Arial"/>
      <w:i/>
      <w:color w:val="666666"/>
      <w:sz w:val="28"/>
      <w:szCs w:val="28"/>
    </w:rPr>
  </w:style>
  <w:style w:type="paragraph" w:styleId="Tekstopmerking">
    <w:name w:val="annotation text"/>
    <w:basedOn w:val="Standaard"/>
    <w:link w:val="TekstopmerkingChar"/>
    <w:uiPriority w:val="99"/>
    <w:unhideWhenUsed/>
    <w:rsid w:val="00E97F6E"/>
    <w:pPr>
      <w:spacing w:after="200"/>
    </w:pPr>
    <w:rPr>
      <w:rFonts w:eastAsia="Verdana" w:cs="Verdana"/>
      <w:color w:val="000000"/>
      <w:sz w:val="18"/>
      <w:szCs w:val="20"/>
    </w:rPr>
  </w:style>
  <w:style w:type="character" w:customStyle="1" w:styleId="TekstopmerkingChar">
    <w:name w:val="Tekst opmerking Char"/>
    <w:basedOn w:val="Standaardalinea-lettertype"/>
    <w:link w:val="Tekstopmerking"/>
    <w:uiPriority w:val="99"/>
    <w:rsid w:val="00E97F6E"/>
    <w:rPr>
      <w:rFonts w:ascii="Verdana" w:eastAsia="Verdana" w:hAnsi="Verdana" w:cs="Verdana"/>
      <w:color w:val="000000"/>
      <w:sz w:val="18"/>
    </w:rPr>
  </w:style>
  <w:style w:type="character" w:styleId="Verwijzingopmerking">
    <w:name w:val="annotation reference"/>
    <w:basedOn w:val="Standaardalinea-lettertype"/>
    <w:uiPriority w:val="99"/>
    <w:unhideWhenUsed/>
    <w:rsid w:val="00E97F6E"/>
    <w:rPr>
      <w:sz w:val="16"/>
      <w:szCs w:val="16"/>
    </w:rPr>
  </w:style>
  <w:style w:type="paragraph" w:styleId="Ballontekst">
    <w:name w:val="Balloon Text"/>
    <w:basedOn w:val="Standaard"/>
    <w:link w:val="BallontekstChar"/>
    <w:uiPriority w:val="99"/>
    <w:unhideWhenUsed/>
    <w:rsid w:val="00E97F6E"/>
    <w:rPr>
      <w:rFonts w:ascii="Segoe UI" w:eastAsia="Verdana" w:hAnsi="Segoe UI" w:cs="Segoe UI"/>
      <w:color w:val="000000"/>
      <w:sz w:val="18"/>
      <w:szCs w:val="18"/>
    </w:rPr>
  </w:style>
  <w:style w:type="character" w:customStyle="1" w:styleId="BallontekstChar">
    <w:name w:val="Ballontekst Char"/>
    <w:basedOn w:val="Standaardalinea-lettertype"/>
    <w:link w:val="Ballontekst"/>
    <w:uiPriority w:val="99"/>
    <w:rsid w:val="00E97F6E"/>
    <w:rPr>
      <w:rFonts w:ascii="Segoe UI" w:eastAsia="Verdana" w:hAnsi="Segoe UI" w:cs="Segoe UI"/>
      <w:color w:val="000000"/>
      <w:sz w:val="18"/>
      <w:szCs w:val="18"/>
    </w:rPr>
  </w:style>
  <w:style w:type="paragraph" w:styleId="Lijstalinea">
    <w:name w:val="List Paragraph"/>
    <w:basedOn w:val="Standaard"/>
    <w:link w:val="LijstalineaChar"/>
    <w:uiPriority w:val="34"/>
    <w:qFormat/>
    <w:rsid w:val="00E97F6E"/>
    <w:pPr>
      <w:spacing w:after="200" w:line="276" w:lineRule="auto"/>
      <w:ind w:left="720"/>
      <w:contextualSpacing/>
    </w:pPr>
    <w:rPr>
      <w:rFonts w:eastAsia="Verdana" w:cs="Verdana"/>
      <w:color w:val="000000"/>
      <w:sz w:val="18"/>
      <w:szCs w:val="20"/>
    </w:rPr>
  </w:style>
  <w:style w:type="paragraph" w:customStyle="1" w:styleId="Kopvaninhoudsopgave1">
    <w:name w:val="Kop van inhoudsopgave1"/>
    <w:basedOn w:val="Kop1"/>
    <w:next w:val="Standaard"/>
    <w:uiPriority w:val="39"/>
    <w:unhideWhenUsed/>
    <w:qFormat/>
    <w:rsid w:val="00E97F6E"/>
    <w:pPr>
      <w:keepLines/>
      <w:tabs>
        <w:tab w:val="left" w:pos="567"/>
      </w:tabs>
      <w:spacing w:after="0" w:line="259" w:lineRule="auto"/>
      <w:ind w:left="432" w:hanging="432"/>
      <w:outlineLvl w:val="9"/>
    </w:pPr>
    <w:rPr>
      <w:rFonts w:ascii="Calibri Light" w:hAnsi="Calibri Light" w:cs="Times New Roman"/>
      <w:b w:val="0"/>
      <w:bCs w:val="0"/>
      <w:caps/>
      <w:color w:val="2E74B5"/>
      <w:kern w:val="0"/>
    </w:rPr>
  </w:style>
  <w:style w:type="character" w:customStyle="1" w:styleId="Hyperlink1">
    <w:name w:val="Hyperlink1"/>
    <w:basedOn w:val="Standaardalinea-lettertype"/>
    <w:uiPriority w:val="99"/>
    <w:unhideWhenUsed/>
    <w:rsid w:val="00E97F6E"/>
    <w:rPr>
      <w:color w:val="0563C1"/>
      <w:u w:val="single"/>
    </w:rPr>
  </w:style>
  <w:style w:type="character" w:customStyle="1" w:styleId="KoptekstChar">
    <w:name w:val="Koptekst Char"/>
    <w:basedOn w:val="Standaardalinea-lettertype"/>
    <w:link w:val="Koptekst"/>
    <w:uiPriority w:val="99"/>
    <w:rsid w:val="00E97F6E"/>
    <w:rPr>
      <w:rFonts w:ascii="Verdana" w:hAnsi="Verdana"/>
      <w:szCs w:val="24"/>
    </w:rPr>
  </w:style>
  <w:style w:type="character" w:customStyle="1" w:styleId="VoettekstChar">
    <w:name w:val="Voettekst Char"/>
    <w:basedOn w:val="Standaardalinea-lettertype"/>
    <w:link w:val="Voettekst"/>
    <w:uiPriority w:val="99"/>
    <w:rsid w:val="00E97F6E"/>
    <w:rPr>
      <w:rFonts w:ascii="Verdana" w:hAnsi="Verdana"/>
      <w:szCs w:val="24"/>
    </w:rPr>
  </w:style>
  <w:style w:type="paragraph" w:styleId="Revisie">
    <w:name w:val="Revision"/>
    <w:hidden/>
    <w:uiPriority w:val="99"/>
    <w:semiHidden/>
    <w:rsid w:val="00E97F6E"/>
    <w:rPr>
      <w:rFonts w:ascii="Verdana" w:eastAsia="Verdana" w:hAnsi="Verdana" w:cs="Verdana"/>
      <w:color w:val="000000"/>
      <w:sz w:val="18"/>
    </w:rPr>
  </w:style>
  <w:style w:type="paragraph" w:styleId="Onderwerpvanopmerking">
    <w:name w:val="annotation subject"/>
    <w:basedOn w:val="Tekstopmerking"/>
    <w:next w:val="Tekstopmerking"/>
    <w:link w:val="OnderwerpvanopmerkingChar"/>
    <w:uiPriority w:val="99"/>
    <w:unhideWhenUsed/>
    <w:rsid w:val="00E97F6E"/>
    <w:rPr>
      <w:b/>
      <w:bCs/>
      <w:sz w:val="20"/>
    </w:rPr>
  </w:style>
  <w:style w:type="character" w:customStyle="1" w:styleId="OnderwerpvanopmerkingChar">
    <w:name w:val="Onderwerp van opmerking Char"/>
    <w:basedOn w:val="TekstopmerkingChar"/>
    <w:link w:val="Onderwerpvanopmerking"/>
    <w:uiPriority w:val="99"/>
    <w:rsid w:val="00E97F6E"/>
    <w:rPr>
      <w:rFonts w:ascii="Verdana" w:eastAsia="Verdana" w:hAnsi="Verdana" w:cs="Verdana"/>
      <w:b/>
      <w:bCs/>
      <w:color w:val="000000"/>
      <w:sz w:val="18"/>
    </w:rPr>
  </w:style>
  <w:style w:type="character" w:styleId="Voetnootmarkering">
    <w:name w:val="footnote reference"/>
    <w:aliases w:val=" Char2,Char2,Footnote Reference Superscript,BVI fnr,Footnote symbol,Footnote call,SUPERS,(Footnote Reference),Footnote,Times 10 Point,Exposant 3 Point,Footnote reference number,note TESI,Footnotes refss,number,Ref"/>
    <w:basedOn w:val="Standaardalinea-lettertype"/>
    <w:link w:val="FootnoteReferenceCharChar1Char"/>
    <w:unhideWhenUsed/>
    <w:qFormat/>
    <w:rsid w:val="00E97F6E"/>
    <w:rPr>
      <w:vertAlign w:val="superscript"/>
    </w:rPr>
  </w:style>
  <w:style w:type="paragraph" w:customStyle="1" w:styleId="Normaalweb1">
    <w:name w:val="Normaal (web)1"/>
    <w:basedOn w:val="Standaard"/>
    <w:next w:val="Normaalweb"/>
    <w:uiPriority w:val="99"/>
    <w:unhideWhenUsed/>
    <w:rsid w:val="00E97F6E"/>
    <w:rPr>
      <w:rFonts w:ascii="Times New Roman" w:eastAsiaTheme="minorHAnsi" w:hAnsi="Times New Roman"/>
      <w:sz w:val="24"/>
    </w:rPr>
  </w:style>
  <w:style w:type="character" w:styleId="Nadruk">
    <w:name w:val="Emphasis"/>
    <w:basedOn w:val="Standaardalinea-lettertype"/>
    <w:uiPriority w:val="20"/>
    <w:qFormat/>
    <w:rsid w:val="00E97F6E"/>
    <w:rPr>
      <w:i/>
      <w:iCs/>
    </w:rPr>
  </w:style>
  <w:style w:type="paragraph" w:customStyle="1" w:styleId="NoSpacing1">
    <w:name w:val="No Spacing1"/>
    <w:next w:val="Geenafstand"/>
    <w:link w:val="GeenafstandChar"/>
    <w:uiPriority w:val="1"/>
    <w:qFormat/>
    <w:rsid w:val="00E97F6E"/>
    <w:rPr>
      <w:rFonts w:ascii="Calibri" w:eastAsiaTheme="minorHAnsi" w:hAnsi="Calibri" w:cstheme="minorBidi"/>
      <w:sz w:val="22"/>
      <w:szCs w:val="22"/>
      <w:lang w:eastAsia="en-US"/>
    </w:rPr>
  </w:style>
  <w:style w:type="paragraph" w:customStyle="1" w:styleId="Lijstopsomteken1">
    <w:name w:val="Lijst opsom.teken1"/>
    <w:basedOn w:val="Standaard"/>
    <w:next w:val="Lijstopsomteken"/>
    <w:uiPriority w:val="99"/>
    <w:unhideWhenUsed/>
    <w:rsid w:val="00E97F6E"/>
    <w:pPr>
      <w:numPr>
        <w:numId w:val="15"/>
      </w:numPr>
      <w:spacing w:after="200" w:line="276" w:lineRule="auto"/>
      <w:contextualSpacing/>
    </w:pPr>
    <w:rPr>
      <w:rFonts w:eastAsiaTheme="minorHAnsi" w:cstheme="minorBidi"/>
      <w:sz w:val="18"/>
      <w:szCs w:val="18"/>
      <w:lang w:eastAsia="en-US"/>
    </w:rPr>
  </w:style>
  <w:style w:type="character" w:customStyle="1" w:styleId="VoetnoottekstChar">
    <w:name w:val="Voetnoottekst Char"/>
    <w:aliases w:val="Voetnootverwijzing_par Char,a_Fußnotentext Char,Schriftart: 9 pt Char,Schriftart: 8 pt Char,Voetnoottekst Char1 Char,Voetnoottekst Char2 Char Char,Voetnoottekst Char1 Char Char Char,Voetnoottekst Char3 Char Char Char Char"/>
    <w:basedOn w:val="Standaardalinea-lettertype"/>
    <w:link w:val="Voetnoottekst"/>
    <w:rsid w:val="00E97F6E"/>
    <w:rPr>
      <w:rFonts w:ascii="Verdana" w:hAnsi="Verdana"/>
      <w:szCs w:val="24"/>
    </w:rPr>
  </w:style>
  <w:style w:type="character" w:customStyle="1" w:styleId="LijstalineaChar">
    <w:name w:val="Lijstalinea Char"/>
    <w:basedOn w:val="Standaardalinea-lettertype"/>
    <w:link w:val="Lijstalinea"/>
    <w:uiPriority w:val="34"/>
    <w:rsid w:val="00E97F6E"/>
    <w:rPr>
      <w:rFonts w:ascii="Verdana" w:eastAsia="Verdana" w:hAnsi="Verdana" w:cs="Verdana"/>
      <w:color w:val="000000"/>
      <w:sz w:val="18"/>
    </w:rPr>
  </w:style>
  <w:style w:type="paragraph" w:customStyle="1" w:styleId="HoofdtekstA">
    <w:name w:val="Hoofdtekst A"/>
    <w:rsid w:val="00E97F6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st1">
    <w:name w:val="st1"/>
    <w:basedOn w:val="Standaardalinea-lettertype"/>
    <w:rsid w:val="00E97F6E"/>
  </w:style>
  <w:style w:type="paragraph" w:customStyle="1" w:styleId="Inhopg31">
    <w:name w:val="Inhopg 31"/>
    <w:basedOn w:val="Standaard"/>
    <w:next w:val="Standaard"/>
    <w:autoRedefine/>
    <w:uiPriority w:val="39"/>
    <w:semiHidden/>
    <w:unhideWhenUsed/>
    <w:qFormat/>
    <w:rsid w:val="00E97F6E"/>
    <w:pPr>
      <w:spacing w:after="100" w:line="276" w:lineRule="auto"/>
      <w:ind w:left="440"/>
    </w:pPr>
    <w:rPr>
      <w:rFonts w:ascii="Calibri" w:hAnsi="Calibri" w:cstheme="minorBidi"/>
      <w:sz w:val="22"/>
      <w:szCs w:val="22"/>
      <w:lang w:eastAsia="en-US"/>
    </w:rPr>
  </w:style>
  <w:style w:type="paragraph" w:customStyle="1" w:styleId="Default">
    <w:name w:val="Default"/>
    <w:rsid w:val="00E97F6E"/>
    <w:pPr>
      <w:autoSpaceDE w:val="0"/>
      <w:autoSpaceDN w:val="0"/>
      <w:adjustRightInd w:val="0"/>
    </w:pPr>
    <w:rPr>
      <w:rFonts w:ascii="GIMNP A+ Univers" w:eastAsia="Verdana" w:hAnsi="GIMNP A+ Univers" w:cs="GIMNP A+ Univers"/>
      <w:color w:val="000000"/>
      <w:sz w:val="24"/>
      <w:szCs w:val="24"/>
    </w:rPr>
  </w:style>
  <w:style w:type="numbering" w:styleId="111111">
    <w:name w:val="Outline List 2"/>
    <w:basedOn w:val="Geenlijst"/>
    <w:uiPriority w:val="99"/>
    <w:unhideWhenUsed/>
    <w:rsid w:val="00E97F6E"/>
    <w:pPr>
      <w:numPr>
        <w:numId w:val="16"/>
      </w:numPr>
    </w:p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Tekstopmerking"/>
    <w:link w:val="Voetnootmarkering"/>
    <w:rsid w:val="00E97F6E"/>
    <w:pPr>
      <w:spacing w:after="0" w:line="276" w:lineRule="auto"/>
    </w:pPr>
    <w:rPr>
      <w:rFonts w:ascii="Times New Roman" w:eastAsia="Times New Roman" w:hAnsi="Times New Roman" w:cs="Times New Roman"/>
      <w:color w:val="auto"/>
      <w:sz w:val="20"/>
      <w:vertAlign w:val="superscript"/>
    </w:rPr>
  </w:style>
  <w:style w:type="paragraph" w:customStyle="1" w:styleId="voetnootnummer">
    <w:name w:val="voetnoot nummer"/>
    <w:basedOn w:val="Default"/>
    <w:autoRedefine/>
    <w:rsid w:val="00E97F6E"/>
    <w:pPr>
      <w:ind w:left="357" w:hanging="357"/>
    </w:pPr>
    <w:rPr>
      <w:rFonts w:ascii="Verdana" w:hAnsi="Verdana"/>
      <w:color w:val="auto"/>
      <w:sz w:val="18"/>
      <w:vertAlign w:val="superscript"/>
    </w:rPr>
  </w:style>
  <w:style w:type="character" w:customStyle="1" w:styleId="wknlannotator">
    <w:name w:val="wknl_annotator"/>
    <w:basedOn w:val="Standaardalinea-lettertype"/>
    <w:rsid w:val="00E97F6E"/>
  </w:style>
  <w:style w:type="paragraph" w:customStyle="1" w:styleId="Tekstzonderopmaak1">
    <w:name w:val="Tekst zonder opmaak1"/>
    <w:basedOn w:val="Standaard"/>
    <w:next w:val="Tekstzonderopmaak"/>
    <w:link w:val="TekstzonderopmaakChar"/>
    <w:uiPriority w:val="99"/>
    <w:semiHidden/>
    <w:unhideWhenUsed/>
    <w:rsid w:val="00E97F6E"/>
    <w:rPr>
      <w:rFonts w:eastAsia="Calibri"/>
      <w:sz w:val="18"/>
      <w:szCs w:val="18"/>
      <w:lang w:val="en-US" w:eastAsia="en-US"/>
    </w:rPr>
  </w:style>
  <w:style w:type="character" w:customStyle="1" w:styleId="TekstzonderopmaakChar">
    <w:name w:val="Tekst zonder opmaak Char"/>
    <w:basedOn w:val="Standaardalinea-lettertype"/>
    <w:link w:val="Tekstzonderopmaak1"/>
    <w:uiPriority w:val="99"/>
    <w:semiHidden/>
    <w:rsid w:val="00E97F6E"/>
    <w:rPr>
      <w:rFonts w:ascii="Verdana" w:eastAsia="Calibri" w:hAnsi="Verdana"/>
      <w:sz w:val="18"/>
      <w:szCs w:val="18"/>
      <w:lang w:val="en-US" w:eastAsia="en-US"/>
    </w:rPr>
  </w:style>
  <w:style w:type="paragraph" w:customStyle="1" w:styleId="Kopgrond">
    <w:name w:val="Kop grond"/>
    <w:basedOn w:val="Kop1"/>
    <w:link w:val="KopgrondChar"/>
    <w:qFormat/>
    <w:rsid w:val="00E97F6E"/>
    <w:pPr>
      <w:keepLines/>
      <w:tabs>
        <w:tab w:val="left" w:pos="567"/>
      </w:tabs>
      <w:spacing w:before="0" w:after="0"/>
      <w:ind w:left="360" w:hanging="360"/>
    </w:pPr>
    <w:rPr>
      <w:rFonts w:eastAsia="Verdana" w:cs="Verdana"/>
      <w:bCs w:val="0"/>
      <w:caps/>
      <w:color w:val="000000"/>
    </w:rPr>
  </w:style>
  <w:style w:type="paragraph" w:customStyle="1" w:styleId="kopgrond0">
    <w:name w:val="kop grond"/>
    <w:basedOn w:val="Kop1"/>
    <w:link w:val="kopgrondChar0"/>
    <w:qFormat/>
    <w:rsid w:val="00E97F6E"/>
    <w:pPr>
      <w:keepLines/>
      <w:tabs>
        <w:tab w:val="left" w:pos="567"/>
      </w:tabs>
      <w:spacing w:before="0" w:after="0"/>
      <w:ind w:left="432" w:hanging="432"/>
    </w:pPr>
    <w:rPr>
      <w:rFonts w:eastAsia="Verdana" w:cs="Verdana"/>
      <w:bCs w:val="0"/>
      <w:caps/>
      <w:color w:val="000000"/>
    </w:rPr>
  </w:style>
  <w:style w:type="character" w:customStyle="1" w:styleId="KopgrondChar">
    <w:name w:val="Kop grond Char"/>
    <w:basedOn w:val="Kop1Char"/>
    <w:link w:val="Kopgrond"/>
    <w:rsid w:val="00E97F6E"/>
    <w:rPr>
      <w:rFonts w:ascii="Verdana" w:eastAsia="Verdana" w:hAnsi="Verdana" w:cs="Verdana"/>
      <w:b/>
      <w:bCs w:val="0"/>
      <w:caps/>
      <w:color w:val="000000"/>
      <w:kern w:val="32"/>
      <w:sz w:val="32"/>
      <w:szCs w:val="32"/>
    </w:rPr>
  </w:style>
  <w:style w:type="numbering" w:customStyle="1" w:styleId="List7">
    <w:name w:val="List 7"/>
    <w:rsid w:val="00E97F6E"/>
    <w:pPr>
      <w:numPr>
        <w:numId w:val="18"/>
      </w:numPr>
    </w:pPr>
  </w:style>
  <w:style w:type="character" w:customStyle="1" w:styleId="kopgrondChar0">
    <w:name w:val="kop grond Char"/>
    <w:basedOn w:val="Kop1Char"/>
    <w:link w:val="kopgrond0"/>
    <w:rsid w:val="00E97F6E"/>
    <w:rPr>
      <w:rFonts w:ascii="Verdana" w:eastAsia="Verdana" w:hAnsi="Verdana" w:cs="Verdana"/>
      <w:b/>
      <w:bCs w:val="0"/>
      <w:caps/>
      <w:color w:val="000000"/>
      <w:kern w:val="32"/>
      <w:sz w:val="32"/>
      <w:szCs w:val="32"/>
    </w:rPr>
  </w:style>
  <w:style w:type="paragraph" w:customStyle="1" w:styleId="Standaard2">
    <w:name w:val="Standaard2"/>
    <w:basedOn w:val="Standaard"/>
    <w:uiPriority w:val="99"/>
    <w:rsid w:val="00E97F6E"/>
    <w:pPr>
      <w:spacing w:before="100" w:beforeAutospacing="1" w:after="349"/>
    </w:pPr>
    <w:rPr>
      <w:sz w:val="26"/>
      <w:szCs w:val="26"/>
    </w:rPr>
  </w:style>
  <w:style w:type="character" w:customStyle="1" w:styleId="wknlnoota">
    <w:name w:val="wknl_noot_a"/>
    <w:basedOn w:val="Standaardalinea-lettertype"/>
    <w:rsid w:val="00E97F6E"/>
  </w:style>
  <w:style w:type="paragraph" w:customStyle="1" w:styleId="Eindnoottekst1">
    <w:name w:val="Eindnoottekst1"/>
    <w:basedOn w:val="Standaard"/>
    <w:next w:val="Eindnoottekst"/>
    <w:link w:val="EindnoottekstChar"/>
    <w:uiPriority w:val="99"/>
    <w:semiHidden/>
    <w:unhideWhenUsed/>
    <w:rsid w:val="00E97F6E"/>
    <w:rPr>
      <w:rFonts w:ascii="Calibri" w:eastAsia="Calibri" w:hAnsi="Calibri"/>
      <w:sz w:val="18"/>
      <w:szCs w:val="22"/>
      <w:lang w:val="en-US" w:eastAsia="en-US"/>
    </w:rPr>
  </w:style>
  <w:style w:type="character" w:customStyle="1" w:styleId="EindnoottekstChar">
    <w:name w:val="Eindnoottekst Char"/>
    <w:basedOn w:val="Standaardalinea-lettertype"/>
    <w:link w:val="Eindnoottekst1"/>
    <w:uiPriority w:val="99"/>
    <w:semiHidden/>
    <w:rsid w:val="00E97F6E"/>
    <w:rPr>
      <w:rFonts w:ascii="Calibri" w:eastAsia="Calibri" w:hAnsi="Calibri"/>
      <w:sz w:val="18"/>
      <w:szCs w:val="22"/>
      <w:lang w:val="en-US" w:eastAsia="en-US"/>
    </w:rPr>
  </w:style>
  <w:style w:type="paragraph" w:customStyle="1" w:styleId="labeled5">
    <w:name w:val="labeled5"/>
    <w:basedOn w:val="Standaard"/>
    <w:rsid w:val="00E97F6E"/>
    <w:pPr>
      <w:spacing w:after="42"/>
    </w:pPr>
    <w:rPr>
      <w:rFonts w:ascii="Times New Roman" w:hAnsi="Times New Roman"/>
      <w:sz w:val="24"/>
    </w:rPr>
  </w:style>
  <w:style w:type="character" w:customStyle="1" w:styleId="ol3">
    <w:name w:val="ol3"/>
    <w:basedOn w:val="Standaardalinea-lettertype"/>
    <w:rsid w:val="00E97F6E"/>
    <w:rPr>
      <w:b/>
      <w:bCs/>
    </w:rPr>
  </w:style>
  <w:style w:type="numbering" w:customStyle="1" w:styleId="Gemporteerdestijl1">
    <w:name w:val="Geïmporteerde stijl 1"/>
    <w:rsid w:val="00E97F6E"/>
    <w:pPr>
      <w:numPr>
        <w:numId w:val="21"/>
      </w:numPr>
    </w:pPr>
  </w:style>
  <w:style w:type="numbering" w:customStyle="1" w:styleId="Gemporteerdestijl2">
    <w:name w:val="Geïmporteerde stijl 2"/>
    <w:rsid w:val="00E97F6E"/>
    <w:pPr>
      <w:numPr>
        <w:numId w:val="22"/>
      </w:numPr>
    </w:pPr>
  </w:style>
  <w:style w:type="numbering" w:customStyle="1" w:styleId="Gemporteerdestijl3">
    <w:name w:val="Geïmporteerde stijl 3"/>
    <w:rsid w:val="00E97F6E"/>
    <w:pPr>
      <w:numPr>
        <w:numId w:val="23"/>
      </w:numPr>
    </w:pPr>
  </w:style>
  <w:style w:type="character" w:customStyle="1" w:styleId="wknlfootnotehref3">
    <w:name w:val="wknl_footnote_href3"/>
    <w:basedOn w:val="Standaardalinea-lettertype"/>
    <w:rsid w:val="00E97F6E"/>
  </w:style>
  <w:style w:type="character" w:customStyle="1" w:styleId="footnote-number">
    <w:name w:val="footnote-number"/>
    <w:basedOn w:val="Standaardalinea-lettertype"/>
    <w:rsid w:val="00E97F6E"/>
  </w:style>
  <w:style w:type="character" w:styleId="Zwaar">
    <w:name w:val="Strong"/>
    <w:basedOn w:val="Standaardalinea-lettertype"/>
    <w:uiPriority w:val="22"/>
    <w:qFormat/>
    <w:rsid w:val="00E97F6E"/>
    <w:rPr>
      <w:b/>
      <w:bCs/>
    </w:rPr>
  </w:style>
  <w:style w:type="character" w:customStyle="1" w:styleId="ng-hide">
    <w:name w:val="ng-hide"/>
    <w:basedOn w:val="Standaardalinea-lettertype"/>
    <w:rsid w:val="00E97F6E"/>
  </w:style>
  <w:style w:type="character" w:customStyle="1" w:styleId="wknlfootnotetitle2">
    <w:name w:val="wknl_footnote_title2"/>
    <w:basedOn w:val="Standaardalinea-lettertype"/>
    <w:rsid w:val="00E97F6E"/>
  </w:style>
  <w:style w:type="paragraph" w:customStyle="1" w:styleId="Opmaakprofiel2017-1">
    <w:name w:val="Opmaakprofiel 2017 - 1"/>
    <w:basedOn w:val="Geenafstand"/>
    <w:link w:val="Opmaakprofiel2017-1Char"/>
    <w:qFormat/>
    <w:rsid w:val="00E97F6E"/>
    <w:pPr>
      <w:spacing w:line="276" w:lineRule="auto"/>
    </w:pPr>
    <w:rPr>
      <w:rFonts w:ascii="Calibri" w:eastAsia="Calibri" w:hAnsi="Calibri"/>
      <w:sz w:val="22"/>
      <w:szCs w:val="18"/>
    </w:rPr>
  </w:style>
  <w:style w:type="paragraph" w:customStyle="1" w:styleId="Opmaakprofiel2017-2">
    <w:name w:val="Opmaakprofiel 2017 - 2"/>
    <w:basedOn w:val="Standaard"/>
    <w:link w:val="Opmaakprofiel2017-2Char"/>
    <w:qFormat/>
    <w:rsid w:val="00E97F6E"/>
    <w:pPr>
      <w:spacing w:line="276" w:lineRule="auto"/>
    </w:pPr>
    <w:rPr>
      <w:rFonts w:eastAsia="Verdana" w:cs="Verdana"/>
      <w:color w:val="000000"/>
      <w:sz w:val="18"/>
      <w:szCs w:val="18"/>
    </w:rPr>
  </w:style>
  <w:style w:type="character" w:customStyle="1" w:styleId="GeenafstandChar">
    <w:name w:val="Geen afstand Char"/>
    <w:aliases w:val="Inspring Char,No Spacing Char"/>
    <w:basedOn w:val="Standaardalinea-lettertype"/>
    <w:link w:val="NoSpacing1"/>
    <w:uiPriority w:val="1"/>
    <w:rsid w:val="00E97F6E"/>
    <w:rPr>
      <w:rFonts w:ascii="Calibri" w:eastAsiaTheme="minorHAnsi" w:hAnsi="Calibri" w:cstheme="minorBidi"/>
      <w:sz w:val="22"/>
      <w:szCs w:val="22"/>
      <w:lang w:eastAsia="en-US"/>
    </w:rPr>
  </w:style>
  <w:style w:type="character" w:customStyle="1" w:styleId="Opmaakprofiel2017-1Char">
    <w:name w:val="Opmaakprofiel 2017 - 1 Char"/>
    <w:basedOn w:val="GeenafstandChar"/>
    <w:link w:val="Opmaakprofiel2017-1"/>
    <w:rsid w:val="00E97F6E"/>
    <w:rPr>
      <w:rFonts w:ascii="Calibri" w:eastAsia="Calibri" w:hAnsi="Calibri" w:cstheme="minorBidi"/>
      <w:sz w:val="22"/>
      <w:szCs w:val="18"/>
      <w:lang w:eastAsia="en-US"/>
    </w:rPr>
  </w:style>
  <w:style w:type="character" w:customStyle="1" w:styleId="Opmaakprofiel2017-2Char">
    <w:name w:val="Opmaakprofiel 2017 - 2 Char"/>
    <w:basedOn w:val="Standaardalinea-lettertype"/>
    <w:link w:val="Opmaakprofiel2017-2"/>
    <w:rsid w:val="00E97F6E"/>
    <w:rPr>
      <w:rFonts w:ascii="Verdana" w:eastAsia="Verdana" w:hAnsi="Verdana" w:cs="Verdana"/>
      <w:color w:val="000000"/>
      <w:sz w:val="18"/>
      <w:szCs w:val="18"/>
    </w:rPr>
  </w:style>
  <w:style w:type="character" w:styleId="Tekstvantijdelijkeaanduiding">
    <w:name w:val="Placeholder Text"/>
    <w:basedOn w:val="Standaardalinea-lettertype"/>
    <w:uiPriority w:val="99"/>
    <w:semiHidden/>
    <w:rsid w:val="00E97F6E"/>
    <w:rPr>
      <w:color w:val="808080"/>
    </w:rPr>
  </w:style>
  <w:style w:type="paragraph" w:customStyle="1" w:styleId="lid3">
    <w:name w:val="lid3"/>
    <w:basedOn w:val="Standaard"/>
    <w:rsid w:val="00E97F6E"/>
    <w:pPr>
      <w:spacing w:after="75"/>
    </w:pPr>
    <w:rPr>
      <w:rFonts w:ascii="Times New Roman" w:hAnsi="Times New Roman"/>
      <w:sz w:val="24"/>
    </w:rPr>
  </w:style>
  <w:style w:type="character" w:styleId="Hyperlink">
    <w:name w:val="Hyperlink"/>
    <w:basedOn w:val="Standaardalinea-lettertype"/>
    <w:uiPriority w:val="99"/>
    <w:unhideWhenUsed/>
    <w:rsid w:val="00E97F6E"/>
    <w:rPr>
      <w:color w:val="0000FF" w:themeColor="hyperlink"/>
      <w:u w:val="single"/>
    </w:rPr>
  </w:style>
  <w:style w:type="character" w:customStyle="1" w:styleId="Kop7Char1">
    <w:name w:val="Kop 7 Char1"/>
    <w:basedOn w:val="Standaardalinea-lettertype"/>
    <w:uiPriority w:val="9"/>
    <w:semiHidden/>
    <w:rsid w:val="00E97F6E"/>
    <w:rPr>
      <w:rFonts w:asciiTheme="majorHAnsi" w:eastAsiaTheme="majorEastAsia" w:hAnsiTheme="majorHAnsi" w:cstheme="majorBidi"/>
      <w:i/>
      <w:iCs/>
      <w:color w:val="243F60" w:themeColor="accent1" w:themeShade="7F"/>
      <w:lang w:val="nl-NL"/>
    </w:rPr>
  </w:style>
  <w:style w:type="character" w:customStyle="1" w:styleId="Kop8Char1">
    <w:name w:val="Kop 8 Char1"/>
    <w:basedOn w:val="Standaardalinea-lettertype"/>
    <w:uiPriority w:val="9"/>
    <w:semiHidden/>
    <w:rsid w:val="00E97F6E"/>
    <w:rPr>
      <w:rFonts w:asciiTheme="majorHAnsi" w:eastAsiaTheme="majorEastAsia" w:hAnsiTheme="majorHAnsi" w:cstheme="majorBidi"/>
      <w:color w:val="272727" w:themeColor="text1" w:themeTint="D8"/>
      <w:sz w:val="21"/>
      <w:szCs w:val="21"/>
      <w:lang w:val="nl-NL"/>
    </w:rPr>
  </w:style>
  <w:style w:type="character" w:customStyle="1" w:styleId="Kop9Char1">
    <w:name w:val="Kop 9 Char1"/>
    <w:basedOn w:val="Standaardalinea-lettertype"/>
    <w:uiPriority w:val="9"/>
    <w:semiHidden/>
    <w:rsid w:val="00E97F6E"/>
    <w:rPr>
      <w:rFonts w:asciiTheme="majorHAnsi" w:eastAsiaTheme="majorEastAsia" w:hAnsiTheme="majorHAnsi" w:cstheme="majorBidi"/>
      <w:i/>
      <w:iCs/>
      <w:color w:val="272727" w:themeColor="text1" w:themeTint="D8"/>
      <w:sz w:val="21"/>
      <w:szCs w:val="21"/>
      <w:lang w:val="nl-NL"/>
    </w:rPr>
  </w:style>
  <w:style w:type="paragraph" w:styleId="Normaalweb">
    <w:name w:val="Normal (Web)"/>
    <w:basedOn w:val="Standaard"/>
    <w:uiPriority w:val="99"/>
    <w:unhideWhenUsed/>
    <w:rsid w:val="00E97F6E"/>
    <w:pPr>
      <w:spacing w:after="160" w:line="259" w:lineRule="auto"/>
    </w:pPr>
    <w:rPr>
      <w:rFonts w:ascii="Times New Roman" w:eastAsiaTheme="minorHAnsi" w:hAnsi="Times New Roman"/>
      <w:sz w:val="24"/>
      <w:lang w:eastAsia="en-US"/>
    </w:rPr>
  </w:style>
  <w:style w:type="paragraph" w:styleId="Geenafstand">
    <w:name w:val="No Spacing"/>
    <w:uiPriority w:val="1"/>
    <w:qFormat/>
    <w:rsid w:val="00E97F6E"/>
    <w:rPr>
      <w:rFonts w:ascii="Verdana" w:eastAsiaTheme="minorHAnsi" w:hAnsi="Verdana" w:cstheme="minorBidi"/>
      <w:sz w:val="18"/>
      <w:szCs w:val="22"/>
      <w:lang w:eastAsia="en-US"/>
    </w:rPr>
  </w:style>
  <w:style w:type="paragraph" w:styleId="Lijstopsomteken">
    <w:name w:val="List Bullet"/>
    <w:basedOn w:val="Standaard"/>
    <w:uiPriority w:val="99"/>
    <w:unhideWhenUsed/>
    <w:rsid w:val="00E97F6E"/>
    <w:pPr>
      <w:numPr>
        <w:numId w:val="16"/>
      </w:numPr>
      <w:spacing w:after="160" w:line="259" w:lineRule="auto"/>
      <w:contextualSpacing/>
    </w:pPr>
    <w:rPr>
      <w:rFonts w:eastAsiaTheme="minorHAnsi" w:cstheme="minorBidi"/>
      <w:sz w:val="18"/>
      <w:szCs w:val="22"/>
      <w:lang w:eastAsia="en-US"/>
    </w:rPr>
  </w:style>
  <w:style w:type="paragraph" w:styleId="Tekstzonderopmaak">
    <w:name w:val="Plain Text"/>
    <w:basedOn w:val="Standaard"/>
    <w:link w:val="TekstzonderopmaakChar1"/>
    <w:uiPriority w:val="99"/>
    <w:unhideWhenUsed/>
    <w:rsid w:val="00E97F6E"/>
    <w:rPr>
      <w:rFonts w:ascii="Consolas" w:eastAsiaTheme="minorHAnsi" w:hAnsi="Consolas" w:cstheme="minorBidi"/>
      <w:sz w:val="21"/>
      <w:szCs w:val="21"/>
      <w:lang w:eastAsia="en-US"/>
    </w:rPr>
  </w:style>
  <w:style w:type="character" w:customStyle="1" w:styleId="TekstzonderopmaakChar1">
    <w:name w:val="Tekst zonder opmaak Char1"/>
    <w:basedOn w:val="Standaardalinea-lettertype"/>
    <w:link w:val="Tekstzonderopmaak"/>
    <w:uiPriority w:val="99"/>
    <w:rsid w:val="00E97F6E"/>
    <w:rPr>
      <w:rFonts w:ascii="Consolas" w:eastAsiaTheme="minorHAnsi" w:hAnsi="Consolas" w:cstheme="minorBidi"/>
      <w:sz w:val="21"/>
      <w:szCs w:val="21"/>
      <w:lang w:eastAsia="en-US"/>
    </w:rPr>
  </w:style>
  <w:style w:type="character" w:customStyle="1" w:styleId="EindnoottekstChar1">
    <w:name w:val="Eindnoottekst Char1"/>
    <w:basedOn w:val="Standaardalinea-lettertype"/>
    <w:link w:val="Eindnoottekst"/>
    <w:uiPriority w:val="99"/>
    <w:rsid w:val="00E97F6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jci1.3:c:BWBR0003793&amp;g=2016-07-07&amp;z=2016-07-07" TargetMode="External" Id="rId8" /><Relationship Type="http://schemas.openxmlformats.org/officeDocument/2006/relationships/hyperlink" Target="http://wetten.overheid.nl/jci1.3:c:BWBR0003793&amp;artikel=223&amp;g=2016-07-07&amp;z=2016-07-07"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etten.overheid.nl/BWBR0020748/geldigheidsdatum_29-10-2015" TargetMode="External" Id="rId7" /><Relationship Type="http://schemas.openxmlformats.org/officeDocument/2006/relationships/hyperlink" Target="http://wetten.overheid.nl/jci1.3:c:BWBR0003793&amp;artikel=217&amp;g=2016-07-07&amp;z=2016-07-07"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etten.overheid.nl/jci1.3:c:BWBR0028899&amp;g=2016-07-07&amp;z=2016-07-07"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wetten.overheid.nl/jci1.3:c:BWBR0001852&amp;g=2016-07-07&amp;z=2016-07-07" TargetMode="External" Id="rId10" /><Relationship Type="http://schemas.openxmlformats.org/officeDocument/2006/relationships/webSettings" Target="webSettings.xml" Id="rId4" /><Relationship Type="http://schemas.openxmlformats.org/officeDocument/2006/relationships/hyperlink" Target="http://wetten.overheid.nl/jci1.3:c:BWBR0003793&amp;artikel=187&amp;g=2016-07-07&amp;z=2016-07-07" TargetMode="External" Id="rId9" /><Relationship Type="http://schemas.openxmlformats.org/officeDocument/2006/relationships/hyperlink" Target="http://wetten.overheid.nl/jci1.3:c:BWBR0003143&amp;artikel=107&amp;g=2016-07-07&amp;z=2016-07-07"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72</ap:Pages>
  <ap:Words>27868</ap:Words>
  <ap:Characters>153276</ap:Characters>
  <ap:DocSecurity>4</ap:DocSecurity>
  <ap:Lines>1277</ap:Lines>
  <ap:Paragraphs>361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180783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2019-05-22T09:31:00.0000000Z</lastPrinted>
  <dcterms:created xsi:type="dcterms:W3CDTF">2019-09-13T14:59:00.0000000Z</dcterms:created>
  <dcterms:modified xsi:type="dcterms:W3CDTF">2019-09-13T14:59:00.0000000Z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