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6C22" w:rsidR="006D6AF8" w:rsidP="006D6AF8" w:rsidRDefault="006D6AF8" w14:paraId="30DE4FD3"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Het kabinet wil de naleving van de wetten binnen het domein van Eerlijk, Gezond en Veilig Werk stimuleren. Zo wil het kabinet arbeidsmisstanden verminderen en daarmee de positie van kwetsbare werknemers verbeteren. </w:t>
      </w:r>
    </w:p>
    <w:p w:rsidRPr="00626C22" w:rsidR="006D6AF8" w:rsidP="006D6AF8" w:rsidRDefault="006D6AF8" w14:paraId="5BA912C3" w14:textId="77777777">
      <w:pPr>
        <w:autoSpaceDN/>
        <w:spacing w:after="160" w:line="259" w:lineRule="auto"/>
        <w:textAlignment w:val="auto"/>
        <w:rPr>
          <w:rFonts w:eastAsia="Calibri" w:cs="Times New Roman"/>
          <w:color w:val="auto"/>
          <w:szCs w:val="22"/>
          <w:lang w:eastAsia="en-US"/>
        </w:rPr>
      </w:pPr>
      <w:r>
        <w:rPr>
          <w:rFonts w:eastAsia="Calibri" w:cs="Times New Roman"/>
          <w:color w:val="auto"/>
          <w:szCs w:val="22"/>
          <w:lang w:eastAsia="en-US"/>
        </w:rPr>
        <w:t>E</w:t>
      </w:r>
      <w:r w:rsidRPr="00626C22">
        <w:rPr>
          <w:rFonts w:eastAsia="Calibri" w:cs="Times New Roman"/>
          <w:color w:val="auto"/>
          <w:szCs w:val="22"/>
          <w:lang w:eastAsia="en-US"/>
        </w:rPr>
        <w:t xml:space="preserve">én van de instrumenten om de naleving te bevorderen is de bestuurlijke boete. Door onder andere </w:t>
      </w:r>
      <w:r>
        <w:rPr>
          <w:rFonts w:eastAsia="Calibri" w:cs="Times New Roman"/>
          <w:color w:val="auto"/>
          <w:szCs w:val="22"/>
          <w:lang w:eastAsia="en-US"/>
        </w:rPr>
        <w:t>K</w:t>
      </w:r>
      <w:r w:rsidRPr="00626C22">
        <w:rPr>
          <w:rFonts w:eastAsia="Calibri" w:cs="Times New Roman"/>
          <w:color w:val="auto"/>
          <w:szCs w:val="22"/>
          <w:lang w:eastAsia="en-US"/>
        </w:rPr>
        <w:t xml:space="preserve">amerlid Ceder en voormalig </w:t>
      </w:r>
      <w:r>
        <w:rPr>
          <w:rFonts w:eastAsia="Calibri" w:cs="Times New Roman"/>
          <w:color w:val="auto"/>
          <w:szCs w:val="22"/>
          <w:lang w:eastAsia="en-US"/>
        </w:rPr>
        <w:t>K</w:t>
      </w:r>
      <w:r w:rsidRPr="00626C22">
        <w:rPr>
          <w:rFonts w:eastAsia="Calibri" w:cs="Times New Roman"/>
          <w:color w:val="auto"/>
          <w:szCs w:val="22"/>
          <w:lang w:eastAsia="en-US"/>
        </w:rPr>
        <w:t xml:space="preserve">amerlid Van Kent is een oproep gedaan om de boetes voor het begaan van </w:t>
      </w:r>
      <w:r>
        <w:rPr>
          <w:rFonts w:eastAsia="Calibri" w:cs="Times New Roman"/>
          <w:color w:val="auto"/>
          <w:szCs w:val="22"/>
          <w:lang w:eastAsia="en-US"/>
        </w:rPr>
        <w:t>arbeids</w:t>
      </w:r>
      <w:r w:rsidRPr="00626C22">
        <w:rPr>
          <w:rFonts w:eastAsia="Calibri" w:cs="Times New Roman"/>
          <w:color w:val="auto"/>
          <w:szCs w:val="22"/>
          <w:lang w:eastAsia="en-US"/>
        </w:rPr>
        <w:t xml:space="preserve">misstanden te verhogen. De </w:t>
      </w:r>
      <w:r>
        <w:rPr>
          <w:rFonts w:eastAsia="Calibri" w:cs="Times New Roman"/>
          <w:color w:val="auto"/>
          <w:szCs w:val="22"/>
          <w:lang w:eastAsia="en-US"/>
        </w:rPr>
        <w:t xml:space="preserve">toenmalige </w:t>
      </w:r>
      <w:r w:rsidRPr="00626C22">
        <w:rPr>
          <w:rFonts w:eastAsia="Calibri" w:cs="Times New Roman"/>
          <w:color w:val="auto"/>
          <w:szCs w:val="22"/>
          <w:lang w:eastAsia="en-US"/>
        </w:rPr>
        <w:t>minister van SZW heeft toegezegd om</w:t>
      </w:r>
      <w:r>
        <w:rPr>
          <w:rFonts w:eastAsia="Calibri" w:cs="Times New Roman"/>
          <w:color w:val="auto"/>
          <w:szCs w:val="22"/>
          <w:lang w:eastAsia="en-US"/>
        </w:rPr>
        <w:t xml:space="preserve"> hiernaar </w:t>
      </w:r>
      <w:r w:rsidRPr="00626C22">
        <w:rPr>
          <w:rFonts w:eastAsia="Calibri" w:cs="Times New Roman"/>
          <w:color w:val="auto"/>
          <w:szCs w:val="22"/>
          <w:lang w:eastAsia="en-US"/>
        </w:rPr>
        <w:t>te kijken</w:t>
      </w:r>
      <w:r>
        <w:rPr>
          <w:rFonts w:eastAsia="Calibri" w:cs="Times New Roman"/>
          <w:color w:val="auto"/>
          <w:szCs w:val="22"/>
          <w:lang w:eastAsia="en-US"/>
        </w:rPr>
        <w:t>.</w:t>
      </w:r>
      <w:r w:rsidRPr="00626C22">
        <w:rPr>
          <w:rFonts w:eastAsia="Calibri" w:cs="Times New Roman"/>
          <w:color w:val="auto"/>
          <w:szCs w:val="22"/>
          <w:lang w:eastAsia="en-US"/>
        </w:rPr>
        <w:t xml:space="preserve"> In dat kader heeft SEO op verzoek van de minister van SZW een onderzoek uitgevoerd naar de effectiviteit van boeteverhogingen voor de Eerlijk Werk</w:t>
      </w:r>
      <w:r>
        <w:rPr>
          <w:rFonts w:eastAsia="Calibri" w:cs="Times New Roman"/>
          <w:color w:val="auto"/>
          <w:szCs w:val="22"/>
          <w:lang w:eastAsia="en-US"/>
        </w:rPr>
        <w:t>-</w:t>
      </w:r>
      <w:r w:rsidRPr="00626C22">
        <w:rPr>
          <w:rFonts w:eastAsia="Calibri" w:cs="Times New Roman"/>
          <w:color w:val="auto"/>
          <w:szCs w:val="22"/>
          <w:lang w:eastAsia="en-US"/>
        </w:rPr>
        <w:t>arbeidswetten.</w:t>
      </w:r>
      <w:r w:rsidRPr="00626C22">
        <w:rPr>
          <w:rFonts w:eastAsia="Calibri" w:cs="Times New Roman"/>
          <w:color w:val="auto"/>
          <w:szCs w:val="22"/>
          <w:vertAlign w:val="superscript"/>
          <w:lang w:eastAsia="en-US"/>
        </w:rPr>
        <w:footnoteReference w:id="1"/>
      </w:r>
      <w:r w:rsidRPr="00626C22">
        <w:rPr>
          <w:rFonts w:eastAsia="Calibri" w:cs="Times New Roman"/>
          <w:color w:val="auto"/>
          <w:szCs w:val="22"/>
          <w:lang w:eastAsia="en-US"/>
        </w:rPr>
        <w:t xml:space="preserve"> </w:t>
      </w:r>
      <w:r>
        <w:t>In de kabinetsreactie op dit onderzoek</w:t>
      </w:r>
      <w:r>
        <w:rPr>
          <w:rStyle w:val="Voetnootmarkering"/>
        </w:rPr>
        <w:footnoteReference w:id="2"/>
      </w:r>
      <w:r>
        <w:t xml:space="preserve"> en in reactie op het SER-briefadvies over arbeidsmigratie</w:t>
      </w:r>
      <w:r>
        <w:rPr>
          <w:rStyle w:val="Voetnootmarkering"/>
        </w:rPr>
        <w:footnoteReference w:id="3"/>
      </w:r>
      <w:r>
        <w:t xml:space="preserve"> is aangegeven dat de boetenormbedragen voor overtredingen van de Eerlijk, Gezond en Veilig Werk wetten</w:t>
      </w:r>
      <w:r>
        <w:rPr>
          <w:rStyle w:val="Voetnootmarkering"/>
        </w:rPr>
        <w:footnoteReference w:id="4"/>
      </w:r>
      <w:r>
        <w:t xml:space="preserve"> opnieuw worden vastgesteld vanwege achtergebleven indexatie (eenmalige verhoging) en dat de boetenormbedragen jaarlijks worden geïndexeerd.</w:t>
      </w:r>
      <w:r>
        <w:rPr>
          <w:rFonts w:eastAsia="Calibri" w:cs="Times New Roman"/>
          <w:color w:val="auto"/>
          <w:szCs w:val="22"/>
          <w:lang w:eastAsia="en-US"/>
        </w:rPr>
        <w:t xml:space="preserve"> </w:t>
      </w:r>
    </w:p>
    <w:p w:rsidRPr="00626C22" w:rsidR="006D6AF8" w:rsidP="006D6AF8" w:rsidRDefault="006D6AF8" w14:paraId="0041BD21"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In deze bri</w:t>
      </w:r>
      <w:r w:rsidRPr="00B9701A">
        <w:rPr>
          <w:rFonts w:eastAsia="Calibri" w:cs="Times New Roman"/>
          <w:color w:val="auto"/>
          <w:szCs w:val="22"/>
          <w:lang w:eastAsia="en-US"/>
        </w:rPr>
        <w:t>ef wordt ingegaan op</w:t>
      </w:r>
      <w:r>
        <w:rPr>
          <w:rFonts w:eastAsia="Calibri" w:cs="Times New Roman"/>
          <w:color w:val="auto"/>
          <w:szCs w:val="22"/>
          <w:lang w:eastAsia="en-US"/>
        </w:rPr>
        <w:t xml:space="preserve"> de</w:t>
      </w:r>
      <w:r w:rsidRPr="00B9701A">
        <w:rPr>
          <w:rFonts w:eastAsia="Calibri" w:cs="Times New Roman"/>
          <w:color w:val="auto"/>
          <w:szCs w:val="22"/>
          <w:lang w:eastAsia="en-US"/>
        </w:rPr>
        <w:t xml:space="preserve"> </w:t>
      </w:r>
      <w:r>
        <w:rPr>
          <w:rFonts w:eastAsia="Calibri" w:cs="Times New Roman"/>
          <w:color w:val="auto"/>
          <w:szCs w:val="22"/>
          <w:lang w:eastAsia="en-US"/>
        </w:rPr>
        <w:t>eenmalige verhoging</w:t>
      </w:r>
      <w:r w:rsidRPr="00B9701A">
        <w:rPr>
          <w:rFonts w:eastAsia="Calibri" w:cs="Times New Roman"/>
          <w:color w:val="auto"/>
          <w:szCs w:val="22"/>
          <w:lang w:eastAsia="en-US"/>
        </w:rPr>
        <w:t xml:space="preserve"> en de voorgenomen jaarlijkse indexatie. In het licht van de verhoging en evenredigheid van de boetes zal in deze brief ook worden stilgestaan bij</w:t>
      </w:r>
      <w:r>
        <w:rPr>
          <w:rFonts w:eastAsia="Calibri" w:cs="Times New Roman"/>
          <w:color w:val="auto"/>
          <w:szCs w:val="22"/>
          <w:lang w:eastAsia="en-US"/>
        </w:rPr>
        <w:t xml:space="preserve"> de in het </w:t>
      </w:r>
      <w:r w:rsidRPr="00C71255">
        <w:rPr>
          <w:rFonts w:eastAsia="Calibri" w:cs="Times New Roman"/>
          <w:color w:val="auto"/>
          <w:szCs w:val="22"/>
          <w:lang w:eastAsia="en-US"/>
        </w:rPr>
        <w:t>SEO</w:t>
      </w:r>
      <w:r>
        <w:rPr>
          <w:rFonts w:eastAsia="Calibri" w:cs="Times New Roman"/>
          <w:color w:val="auto"/>
          <w:szCs w:val="22"/>
          <w:lang w:eastAsia="en-US"/>
        </w:rPr>
        <w:t xml:space="preserve">-rapport geadviseerde </w:t>
      </w:r>
      <w:r w:rsidRPr="00C71255">
        <w:rPr>
          <w:rFonts w:eastAsia="Calibri" w:cs="Times New Roman"/>
          <w:color w:val="auto"/>
          <w:szCs w:val="22"/>
          <w:lang w:eastAsia="en-US"/>
        </w:rPr>
        <w:t>verdere differentiatie van boetebedragen in arbeidswetten en bij de uitvoerbaarheid daarvan.</w:t>
      </w:r>
    </w:p>
    <w:p w:rsidRPr="00626C22" w:rsidR="006D6AF8" w:rsidP="006D6AF8" w:rsidRDefault="006D6AF8" w14:paraId="750138E2" w14:textId="77777777">
      <w:pPr>
        <w:numPr>
          <w:ilvl w:val="0"/>
          <w:numId w:val="9"/>
        </w:numPr>
        <w:autoSpaceDN/>
        <w:spacing w:after="160" w:line="259" w:lineRule="auto"/>
        <w:contextualSpacing/>
        <w:textAlignment w:val="auto"/>
        <w:rPr>
          <w:rFonts w:eastAsia="Calibri" w:cs="Times New Roman"/>
          <w:b/>
          <w:bCs/>
          <w:color w:val="auto"/>
          <w:szCs w:val="22"/>
          <w:lang w:eastAsia="en-US"/>
        </w:rPr>
      </w:pPr>
      <w:r w:rsidRPr="00626C22">
        <w:rPr>
          <w:rFonts w:eastAsia="Calibri" w:cs="Times New Roman"/>
          <w:b/>
          <w:bCs/>
          <w:color w:val="auto"/>
          <w:szCs w:val="22"/>
          <w:lang w:eastAsia="en-US"/>
        </w:rPr>
        <w:t xml:space="preserve">Herstel reële waarde boetenormbedragen arbeidswetten </w:t>
      </w:r>
    </w:p>
    <w:p w:rsidRPr="00626C22" w:rsidR="006D6AF8" w:rsidP="006D6AF8" w:rsidRDefault="006D6AF8" w14:paraId="4AF02226"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Zoals in de </w:t>
      </w:r>
      <w:r>
        <w:rPr>
          <w:rFonts w:eastAsia="Calibri" w:cs="Times New Roman"/>
          <w:color w:val="auto"/>
          <w:szCs w:val="22"/>
          <w:lang w:eastAsia="en-US"/>
        </w:rPr>
        <w:t xml:space="preserve">genoemde </w:t>
      </w:r>
      <w:r w:rsidRPr="00626C22">
        <w:rPr>
          <w:rFonts w:eastAsia="Calibri" w:cs="Times New Roman"/>
          <w:color w:val="auto"/>
          <w:szCs w:val="22"/>
          <w:lang w:eastAsia="en-US"/>
        </w:rPr>
        <w:t>kabinetsreactie is aangegeven, is de reële waarde van de boetes voor overtredingen van de arbeidswetten gedaald.</w:t>
      </w:r>
      <w:r>
        <w:rPr>
          <w:rFonts w:eastAsia="Calibri" w:cs="Times New Roman"/>
          <w:color w:val="auto"/>
          <w:szCs w:val="22"/>
          <w:lang w:eastAsia="en-US"/>
        </w:rPr>
        <w:t xml:space="preserve"> </w:t>
      </w:r>
      <w:r w:rsidRPr="00B46EC1">
        <w:rPr>
          <w:rFonts w:eastAsia="Calibri" w:cs="Times New Roman"/>
          <w:color w:val="auto"/>
          <w:szCs w:val="22"/>
          <w:lang w:eastAsia="en-US"/>
        </w:rPr>
        <w:t>Dit komt doordat de inflatie onvoldoende is gecompenseerd door verhoging van boetes en indexatie van de boetes achterwege is gelaten.</w:t>
      </w:r>
      <w:r>
        <w:rPr>
          <w:rFonts w:eastAsia="Calibri" w:cs="Times New Roman"/>
          <w:color w:val="auto"/>
          <w:szCs w:val="22"/>
          <w:lang w:eastAsia="en-US"/>
        </w:rPr>
        <w:t xml:space="preserve"> </w:t>
      </w:r>
      <w:r w:rsidRPr="00626C22">
        <w:rPr>
          <w:rFonts w:eastAsia="Calibri" w:cs="Times New Roman"/>
          <w:color w:val="auto"/>
          <w:szCs w:val="22"/>
          <w:lang w:eastAsia="en-US"/>
        </w:rPr>
        <w:t xml:space="preserve">Boetehoogtes staan daarmee niet meer in verhouding tot de ernst van de overtredingen. Hierna heeft ook de SER in haar </w:t>
      </w:r>
      <w:r w:rsidRPr="00626C22">
        <w:rPr>
          <w:rFonts w:eastAsia="Calibri" w:cs="Times New Roman"/>
          <w:color w:val="auto"/>
          <w:szCs w:val="22"/>
          <w:lang w:eastAsia="en-US"/>
        </w:rPr>
        <w:lastRenderedPageBreak/>
        <w:t>advies over arbeidsmigratie gepleit voor hogere boetes</w:t>
      </w:r>
      <w:r>
        <w:rPr>
          <w:rFonts w:eastAsia="Calibri" w:cs="Times New Roman"/>
          <w:color w:val="auto"/>
          <w:szCs w:val="22"/>
          <w:lang w:eastAsia="en-US"/>
        </w:rPr>
        <w:t xml:space="preserve"> </w:t>
      </w:r>
      <w:r w:rsidRPr="00626C22">
        <w:rPr>
          <w:rFonts w:eastAsia="Calibri" w:cs="Times New Roman"/>
          <w:color w:val="auto"/>
          <w:szCs w:val="22"/>
          <w:lang w:eastAsia="en-US"/>
        </w:rPr>
        <w:t>om een krachtiger afschrikwekkend effect te bereiken.</w:t>
      </w:r>
      <w:r w:rsidRPr="00626C22">
        <w:rPr>
          <w:rFonts w:eastAsia="Calibri" w:cs="Times New Roman"/>
          <w:color w:val="auto"/>
          <w:szCs w:val="22"/>
          <w:vertAlign w:val="superscript"/>
          <w:lang w:eastAsia="en-US"/>
        </w:rPr>
        <w:footnoteReference w:id="5"/>
      </w:r>
      <w:r w:rsidRPr="00626C22">
        <w:rPr>
          <w:rFonts w:eastAsia="Calibri" w:cs="Times New Roman"/>
          <w:color w:val="auto"/>
          <w:szCs w:val="22"/>
          <w:lang w:eastAsia="en-US"/>
        </w:rPr>
        <w:t xml:space="preserve"> </w:t>
      </w:r>
    </w:p>
    <w:p w:rsidRPr="00626C22" w:rsidR="006D6AF8" w:rsidP="006D6AF8" w:rsidRDefault="006D6AF8" w14:paraId="795AF12E" w14:textId="77777777">
      <w:pPr>
        <w:autoSpaceDN/>
        <w:spacing w:after="160" w:line="259" w:lineRule="auto"/>
        <w:textAlignment w:val="auto"/>
        <w:rPr>
          <w:rFonts w:eastAsia="Calibri" w:cs="Times New Roman"/>
          <w:color w:val="auto"/>
          <w:szCs w:val="22"/>
          <w:lang w:eastAsia="en-US"/>
        </w:rPr>
      </w:pPr>
      <w:r>
        <w:rPr>
          <w:rFonts w:eastAsia="Calibri" w:cs="Times New Roman"/>
          <w:color w:val="auto"/>
          <w:szCs w:val="22"/>
          <w:lang w:eastAsia="en-US"/>
        </w:rPr>
        <w:t xml:space="preserve">De introductie van de bestuurlijke boete verschilt per arbeidswet. </w:t>
      </w:r>
      <w:r w:rsidRPr="00626C22">
        <w:rPr>
          <w:rFonts w:eastAsia="Calibri" w:cs="Times New Roman"/>
          <w:color w:val="auto"/>
          <w:szCs w:val="22"/>
          <w:lang w:eastAsia="en-US"/>
        </w:rPr>
        <w:t xml:space="preserve">Voor de WagwEU is de bestuurlijke boete ongeveer </w:t>
      </w:r>
      <w:r>
        <w:rPr>
          <w:rFonts w:eastAsia="Calibri" w:cs="Times New Roman"/>
          <w:color w:val="auto"/>
          <w:szCs w:val="22"/>
          <w:lang w:eastAsia="en-US"/>
        </w:rPr>
        <w:t>10</w:t>
      </w:r>
      <w:r w:rsidRPr="00626C22">
        <w:rPr>
          <w:rFonts w:eastAsia="Calibri" w:cs="Times New Roman"/>
          <w:color w:val="auto"/>
          <w:szCs w:val="22"/>
          <w:lang w:eastAsia="en-US"/>
        </w:rPr>
        <w:t xml:space="preserve"> jaar geleden geïntroduceerd</w:t>
      </w:r>
      <w:r>
        <w:rPr>
          <w:rFonts w:eastAsia="Calibri" w:cs="Times New Roman"/>
          <w:color w:val="auto"/>
          <w:szCs w:val="22"/>
          <w:lang w:eastAsia="en-US"/>
        </w:rPr>
        <w:t>.</w:t>
      </w:r>
      <w:r w:rsidRPr="00626C22">
        <w:rPr>
          <w:rFonts w:eastAsia="Calibri" w:cs="Times New Roman"/>
          <w:color w:val="auto"/>
          <w:szCs w:val="22"/>
          <w:lang w:eastAsia="en-US"/>
        </w:rPr>
        <w:t xml:space="preserve"> De bestuurlijke boete voor de Wav en Wml is circa 20 jaar geleden in werking getreden. De bestuurlijke boete voor de Arbowet is in 1998 geïntroduceerd. Voor de </w:t>
      </w:r>
      <w:r>
        <w:rPr>
          <w:rFonts w:eastAsia="Calibri" w:cs="Times New Roman"/>
          <w:color w:val="auto"/>
          <w:szCs w:val="22"/>
          <w:lang w:eastAsia="en-US"/>
        </w:rPr>
        <w:t>ATW</w:t>
      </w:r>
      <w:r w:rsidRPr="00626C22">
        <w:rPr>
          <w:rFonts w:eastAsia="Calibri" w:cs="Times New Roman"/>
          <w:color w:val="auto"/>
          <w:szCs w:val="22"/>
          <w:lang w:eastAsia="en-US"/>
        </w:rPr>
        <w:t xml:space="preserve"> geldt dat in 2005 de bestuurlijke boete in werking trad. </w:t>
      </w:r>
      <w:r>
        <w:rPr>
          <w:rFonts w:eastAsia="Calibri" w:cs="Times New Roman"/>
          <w:color w:val="auto"/>
          <w:szCs w:val="22"/>
          <w:lang w:eastAsia="en-US"/>
        </w:rPr>
        <w:t xml:space="preserve">De boetehoogtes van arbeidswetten zijn tussentijds meestal wel bijgesteld, maar niet meegestegen met het prijspeil. </w:t>
      </w:r>
      <w:bookmarkStart w:name="_Hlk219207422" w:id="0"/>
    </w:p>
    <w:bookmarkEnd w:id="0"/>
    <w:p w:rsidRPr="00626C22" w:rsidR="006D6AF8" w:rsidP="006D6AF8" w:rsidRDefault="006D6AF8" w14:paraId="30E368B3"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Het achterwege blijven van de indexatie ondermijnt zowel de preventieve werking (het ontmoedigen van overtredingen) als de reactieve werking (het voorkomen van herhaling) van boetes. In de kabinetsreactie</w:t>
      </w:r>
      <w:r>
        <w:rPr>
          <w:rFonts w:eastAsia="Calibri" w:cs="Times New Roman"/>
          <w:color w:val="auto"/>
          <w:szCs w:val="22"/>
          <w:lang w:eastAsia="en-US"/>
        </w:rPr>
        <w:t xml:space="preserve"> op het SEO-rapport</w:t>
      </w:r>
      <w:r w:rsidRPr="00626C22">
        <w:rPr>
          <w:rFonts w:eastAsia="Calibri" w:cs="Times New Roman"/>
          <w:color w:val="auto"/>
          <w:szCs w:val="22"/>
          <w:lang w:eastAsia="en-US"/>
        </w:rPr>
        <w:t xml:space="preserve"> is daarom het voornemen opgenomen om de boetes eenmalig te verhogen door bij het nieuwe normbedrag rekening te houden met een indexatie over een beperkt aantal jaren in het verleden. Hierbij is aangegeven dat gedacht werd aan een verhoging van</w:t>
      </w:r>
      <w:r>
        <w:rPr>
          <w:rFonts w:eastAsia="Calibri" w:cs="Times New Roman"/>
          <w:color w:val="auto"/>
          <w:szCs w:val="22"/>
          <w:lang w:eastAsia="en-US"/>
        </w:rPr>
        <w:t xml:space="preserve"> ongeveer</w:t>
      </w:r>
      <w:r w:rsidRPr="00626C22">
        <w:rPr>
          <w:rFonts w:eastAsia="Calibri" w:cs="Times New Roman"/>
          <w:color w:val="auto"/>
          <w:szCs w:val="22"/>
          <w:lang w:eastAsia="en-US"/>
        </w:rPr>
        <w:t xml:space="preserve"> 18 procent</w:t>
      </w:r>
      <w:r>
        <w:rPr>
          <w:rFonts w:eastAsia="Calibri" w:cs="Times New Roman"/>
          <w:color w:val="auto"/>
          <w:szCs w:val="22"/>
          <w:lang w:eastAsia="en-US"/>
        </w:rPr>
        <w:t>, waarmee de prijsontwikkeling van de drie voorgaande jaren wordt hersteld.</w:t>
      </w:r>
      <w:r w:rsidRPr="00626C22">
        <w:rPr>
          <w:rFonts w:eastAsia="Calibri" w:cs="Times New Roman"/>
          <w:color w:val="auto"/>
          <w:szCs w:val="22"/>
          <w:lang w:eastAsia="en-US"/>
        </w:rPr>
        <w:t xml:space="preserve"> Daarbij zou met de Nederlandse Arbeidsinspectie (Arbeidsinspectie) bezien worden welke verhoging passend en evenredig is.  </w:t>
      </w:r>
    </w:p>
    <w:p w:rsidRPr="008A5FD5" w:rsidR="006D6AF8" w:rsidP="006D6AF8" w:rsidRDefault="006D6AF8" w14:paraId="1F345F97"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De </w:t>
      </w:r>
      <w:r>
        <w:rPr>
          <w:rFonts w:eastAsia="Calibri" w:cs="Times New Roman"/>
          <w:color w:val="auto"/>
          <w:szCs w:val="22"/>
          <w:lang w:eastAsia="en-US"/>
        </w:rPr>
        <w:t xml:space="preserve">eenmalige </w:t>
      </w:r>
      <w:r w:rsidRPr="00626C22">
        <w:rPr>
          <w:rFonts w:eastAsia="Calibri" w:cs="Times New Roman"/>
          <w:color w:val="auto"/>
          <w:szCs w:val="22"/>
          <w:lang w:eastAsia="en-US"/>
        </w:rPr>
        <w:t xml:space="preserve">verhoging ziet op </w:t>
      </w:r>
      <w:r>
        <w:rPr>
          <w:rFonts w:eastAsia="Calibri" w:cs="Times New Roman"/>
          <w:color w:val="auto"/>
          <w:szCs w:val="22"/>
          <w:lang w:eastAsia="en-US"/>
        </w:rPr>
        <w:t xml:space="preserve">correctie vanwege </w:t>
      </w:r>
      <w:r w:rsidRPr="00626C22">
        <w:rPr>
          <w:rFonts w:eastAsia="Calibri" w:cs="Times New Roman"/>
          <w:color w:val="auto"/>
          <w:szCs w:val="22"/>
          <w:lang w:eastAsia="en-US"/>
        </w:rPr>
        <w:t xml:space="preserve">de achtergebleven indexatie over de afgelopen jaren. Daarmee wordt de reële waarde van boetes, die is afgenomen door het jarenlang niet indexeren, deels hersteld. </w:t>
      </w:r>
      <w:r>
        <w:rPr>
          <w:rFonts w:eastAsia="Calibri" w:cs="Times New Roman"/>
          <w:color w:val="auto"/>
          <w:szCs w:val="22"/>
          <w:lang w:eastAsia="en-US"/>
        </w:rPr>
        <w:t xml:space="preserve">De </w:t>
      </w:r>
      <w:r w:rsidRPr="00626C22">
        <w:rPr>
          <w:rFonts w:eastAsia="Calibri" w:cs="Times New Roman"/>
          <w:color w:val="auto"/>
          <w:szCs w:val="22"/>
          <w:lang w:eastAsia="en-US"/>
        </w:rPr>
        <w:t xml:space="preserve">Waadi </w:t>
      </w:r>
      <w:r>
        <w:rPr>
          <w:rFonts w:eastAsia="Calibri" w:cs="Times New Roman"/>
          <w:color w:val="auto"/>
          <w:szCs w:val="22"/>
          <w:lang w:eastAsia="en-US"/>
        </w:rPr>
        <w:t>wordt voor wat betreft de verhoging buiten beschouwing gelaten</w:t>
      </w:r>
      <w:r w:rsidRPr="00626C22">
        <w:rPr>
          <w:rFonts w:eastAsia="Calibri" w:cs="Times New Roman"/>
          <w:color w:val="auto"/>
          <w:szCs w:val="22"/>
          <w:lang w:eastAsia="en-US"/>
        </w:rPr>
        <w:t xml:space="preserve">, nu deze wet wordt gewijzigd door de Wet toelating terbeschikkingstelling van arbeidskrachten (Wtta) en </w:t>
      </w:r>
      <w:r>
        <w:rPr>
          <w:rFonts w:eastAsia="Calibri" w:cs="Times New Roman"/>
          <w:color w:val="auto"/>
          <w:szCs w:val="22"/>
          <w:lang w:eastAsia="en-US"/>
        </w:rPr>
        <w:t>in dit kader</w:t>
      </w:r>
      <w:r w:rsidRPr="00626C22">
        <w:rPr>
          <w:rFonts w:eastAsia="Calibri" w:cs="Times New Roman"/>
          <w:color w:val="auto"/>
          <w:szCs w:val="22"/>
          <w:lang w:eastAsia="en-US"/>
        </w:rPr>
        <w:t xml:space="preserve"> de boetenormbedragen opnieuw zullen worden vastgesteld.</w:t>
      </w:r>
      <w:r>
        <w:rPr>
          <w:rFonts w:eastAsia="Calibri" w:cs="Times New Roman"/>
          <w:color w:val="auto"/>
          <w:szCs w:val="22"/>
          <w:lang w:eastAsia="en-US"/>
        </w:rPr>
        <w:t xml:space="preserve"> D</w:t>
      </w:r>
      <w:r w:rsidRPr="00626C22">
        <w:rPr>
          <w:rFonts w:eastAsia="Calibri" w:cs="Times New Roman"/>
          <w:color w:val="auto"/>
          <w:szCs w:val="22"/>
          <w:lang w:eastAsia="en-US"/>
        </w:rPr>
        <w:t xml:space="preserve">e eenmalige verhoging </w:t>
      </w:r>
      <w:r>
        <w:rPr>
          <w:rFonts w:eastAsia="Calibri" w:cs="Times New Roman"/>
          <w:color w:val="auto"/>
          <w:szCs w:val="22"/>
          <w:lang w:eastAsia="en-US"/>
        </w:rPr>
        <w:t xml:space="preserve">vindt plaats </w:t>
      </w:r>
      <w:r w:rsidRPr="00626C22">
        <w:rPr>
          <w:rFonts w:eastAsia="Calibri" w:cs="Times New Roman"/>
          <w:color w:val="auto"/>
          <w:szCs w:val="22"/>
          <w:lang w:eastAsia="en-US"/>
        </w:rPr>
        <w:t>vanaf 1 j</w:t>
      </w:r>
      <w:r>
        <w:rPr>
          <w:rFonts w:eastAsia="Calibri" w:cs="Times New Roman"/>
          <w:color w:val="auto"/>
          <w:szCs w:val="22"/>
          <w:lang w:eastAsia="en-US"/>
        </w:rPr>
        <w:t xml:space="preserve">uli </w:t>
      </w:r>
      <w:r w:rsidRPr="00626C22">
        <w:rPr>
          <w:rFonts w:eastAsia="Calibri" w:cs="Times New Roman"/>
          <w:color w:val="auto"/>
          <w:szCs w:val="22"/>
          <w:lang w:eastAsia="en-US"/>
        </w:rPr>
        <w:t>2027. De voorliggende periode is nodig om de beleidsregels van de verschillende arbeidswetten</w:t>
      </w:r>
      <w:r>
        <w:rPr>
          <w:rFonts w:eastAsia="Calibri" w:cs="Times New Roman"/>
          <w:color w:val="auto"/>
          <w:szCs w:val="22"/>
          <w:lang w:eastAsia="en-US"/>
        </w:rPr>
        <w:t xml:space="preserve"> op een zorgvuldige wijze </w:t>
      </w:r>
      <w:r w:rsidRPr="00626C22">
        <w:rPr>
          <w:rFonts w:eastAsia="Calibri" w:cs="Times New Roman"/>
          <w:color w:val="auto"/>
          <w:szCs w:val="22"/>
          <w:lang w:eastAsia="en-US"/>
        </w:rPr>
        <w:t xml:space="preserve">aan te passen. Nu de </w:t>
      </w:r>
      <w:r>
        <w:rPr>
          <w:rFonts w:eastAsia="Calibri" w:cs="Times New Roman"/>
          <w:color w:val="auto"/>
          <w:szCs w:val="22"/>
          <w:lang w:eastAsia="en-US"/>
        </w:rPr>
        <w:t xml:space="preserve">eenmalige verhoging twee jaar na de eerdergenoemde Kamerbrief </w:t>
      </w:r>
      <w:r w:rsidRPr="00626C22">
        <w:rPr>
          <w:rFonts w:eastAsia="Calibri" w:cs="Times New Roman"/>
          <w:color w:val="auto"/>
          <w:szCs w:val="22"/>
          <w:lang w:eastAsia="en-US"/>
        </w:rPr>
        <w:t xml:space="preserve">gaat plaatsvinden, </w:t>
      </w:r>
      <w:r>
        <w:rPr>
          <w:rFonts w:eastAsia="Calibri" w:cs="Times New Roman"/>
          <w:color w:val="auto"/>
          <w:szCs w:val="22"/>
          <w:lang w:eastAsia="en-US"/>
        </w:rPr>
        <w:t>wordt uitgegaan</w:t>
      </w:r>
      <w:r w:rsidRPr="00626C22">
        <w:rPr>
          <w:rFonts w:eastAsia="Calibri" w:cs="Times New Roman"/>
          <w:color w:val="auto"/>
          <w:szCs w:val="22"/>
          <w:lang w:eastAsia="en-US"/>
        </w:rPr>
        <w:t xml:space="preserve"> van </w:t>
      </w:r>
      <w:r>
        <w:rPr>
          <w:rFonts w:eastAsia="Calibri" w:cs="Times New Roman"/>
          <w:color w:val="auto"/>
          <w:szCs w:val="22"/>
          <w:lang w:eastAsia="en-US"/>
        </w:rPr>
        <w:t>een herstel over vier</w:t>
      </w:r>
      <w:r w:rsidRPr="00626C22">
        <w:rPr>
          <w:rFonts w:eastAsia="Calibri" w:cs="Times New Roman"/>
          <w:color w:val="auto"/>
          <w:szCs w:val="22"/>
          <w:lang w:eastAsia="en-US"/>
        </w:rPr>
        <w:t xml:space="preserve"> jaar en niet </w:t>
      </w:r>
      <w:r>
        <w:rPr>
          <w:rFonts w:eastAsia="Calibri" w:cs="Times New Roman"/>
          <w:color w:val="auto"/>
          <w:szCs w:val="22"/>
          <w:lang w:eastAsia="en-US"/>
        </w:rPr>
        <w:t>over</w:t>
      </w:r>
      <w:r w:rsidRPr="00626C22">
        <w:rPr>
          <w:rFonts w:eastAsia="Calibri" w:cs="Times New Roman"/>
          <w:color w:val="auto"/>
          <w:szCs w:val="22"/>
          <w:lang w:eastAsia="en-US"/>
        </w:rPr>
        <w:t xml:space="preserve"> </w:t>
      </w:r>
      <w:r>
        <w:rPr>
          <w:rFonts w:eastAsia="Calibri" w:cs="Times New Roman"/>
          <w:color w:val="auto"/>
          <w:szCs w:val="22"/>
          <w:lang w:eastAsia="en-US"/>
        </w:rPr>
        <w:t>drie</w:t>
      </w:r>
      <w:r w:rsidRPr="00626C22">
        <w:rPr>
          <w:rFonts w:eastAsia="Calibri" w:cs="Times New Roman"/>
          <w:color w:val="auto"/>
          <w:szCs w:val="22"/>
          <w:lang w:eastAsia="en-US"/>
        </w:rPr>
        <w:t xml:space="preserve"> jaar. Dit vanwege de bijbehorende inflatiecijfers. Door de indexatie mee te nemen over</w:t>
      </w:r>
      <w:r>
        <w:rPr>
          <w:rFonts w:eastAsia="Calibri" w:cs="Times New Roman"/>
          <w:color w:val="auto"/>
          <w:szCs w:val="22"/>
          <w:lang w:eastAsia="en-US"/>
        </w:rPr>
        <w:t xml:space="preserve"> de afgelopen</w:t>
      </w:r>
      <w:r w:rsidRPr="00626C22">
        <w:rPr>
          <w:rFonts w:eastAsia="Calibri" w:cs="Times New Roman"/>
          <w:color w:val="auto"/>
          <w:szCs w:val="22"/>
          <w:lang w:eastAsia="en-US"/>
        </w:rPr>
        <w:t xml:space="preserve"> </w:t>
      </w:r>
      <w:r>
        <w:rPr>
          <w:rFonts w:eastAsia="Calibri" w:cs="Times New Roman"/>
          <w:color w:val="auto"/>
          <w:szCs w:val="22"/>
          <w:lang w:eastAsia="en-US"/>
        </w:rPr>
        <w:t>vier</w:t>
      </w:r>
      <w:r w:rsidRPr="00626C22">
        <w:rPr>
          <w:rFonts w:eastAsia="Calibri" w:cs="Times New Roman"/>
          <w:color w:val="auto"/>
          <w:szCs w:val="22"/>
          <w:lang w:eastAsia="en-US"/>
        </w:rPr>
        <w:t xml:space="preserve"> jaar worden de boetenormbedragen verhoogd met 21,7 procent.</w:t>
      </w:r>
      <w:r w:rsidRPr="00626C22">
        <w:rPr>
          <w:rFonts w:eastAsia="Calibri" w:cs="Times New Roman"/>
          <w:color w:val="auto"/>
          <w:szCs w:val="22"/>
          <w:vertAlign w:val="superscript"/>
          <w:lang w:eastAsia="en-US"/>
        </w:rPr>
        <w:footnoteReference w:id="6"/>
      </w:r>
      <w:r w:rsidRPr="00626C22">
        <w:rPr>
          <w:rFonts w:eastAsia="Calibri" w:cs="Times New Roman"/>
          <w:color w:val="auto"/>
          <w:szCs w:val="22"/>
          <w:lang w:eastAsia="en-US"/>
        </w:rPr>
        <w:t xml:space="preserve"> Voor het volledig herstellen van de reële waarde van de boetes zou indexatie in principe plaats moeten vinden vanaf het </w:t>
      </w:r>
      <w:r>
        <w:rPr>
          <w:rFonts w:eastAsia="Calibri" w:cs="Times New Roman"/>
          <w:color w:val="auto"/>
          <w:szCs w:val="22"/>
          <w:lang w:eastAsia="en-US"/>
        </w:rPr>
        <w:t xml:space="preserve">laatste </w:t>
      </w:r>
      <w:r w:rsidRPr="00626C22">
        <w:rPr>
          <w:rFonts w:eastAsia="Calibri" w:cs="Times New Roman"/>
          <w:color w:val="auto"/>
          <w:szCs w:val="22"/>
          <w:lang w:eastAsia="en-US"/>
        </w:rPr>
        <w:t xml:space="preserve">moment van </w:t>
      </w:r>
      <w:r>
        <w:rPr>
          <w:rFonts w:eastAsia="Calibri" w:cs="Times New Roman"/>
          <w:color w:val="auto"/>
          <w:szCs w:val="22"/>
          <w:lang w:eastAsia="en-US"/>
        </w:rPr>
        <w:t xml:space="preserve">vaststelling van de boetehoogte: </w:t>
      </w:r>
      <w:r w:rsidRPr="00626C22">
        <w:rPr>
          <w:rFonts w:eastAsia="Calibri" w:cs="Times New Roman"/>
          <w:color w:val="auto"/>
          <w:szCs w:val="22"/>
          <w:lang w:eastAsia="en-US"/>
        </w:rPr>
        <w:t>de invoering van de</w:t>
      </w:r>
      <w:r>
        <w:rPr>
          <w:rFonts w:eastAsia="Calibri" w:cs="Times New Roman"/>
          <w:color w:val="auto"/>
          <w:szCs w:val="22"/>
          <w:lang w:eastAsia="en-US"/>
        </w:rPr>
        <w:t xml:space="preserve"> (bijgestelde)</w:t>
      </w:r>
      <w:r w:rsidRPr="00626C22">
        <w:rPr>
          <w:rFonts w:eastAsia="Calibri" w:cs="Times New Roman"/>
          <w:color w:val="auto"/>
          <w:szCs w:val="22"/>
          <w:lang w:eastAsia="en-US"/>
        </w:rPr>
        <w:t xml:space="preserve"> boetenormbedragen.</w:t>
      </w:r>
      <w:r>
        <w:rPr>
          <w:rFonts w:eastAsia="Calibri" w:cs="Times New Roman"/>
          <w:color w:val="auto"/>
          <w:szCs w:val="22"/>
          <w:lang w:eastAsia="en-US"/>
        </w:rPr>
        <w:t xml:space="preserve"> Aangezien de laatste bijstelling voor de verschillende wetten op verschillende data heeft plaatsgevonden en o</w:t>
      </w:r>
      <w:r w:rsidRPr="00626C22">
        <w:rPr>
          <w:rFonts w:eastAsia="Calibri" w:cs="Times New Roman"/>
          <w:color w:val="auto"/>
          <w:szCs w:val="22"/>
          <w:lang w:eastAsia="en-US"/>
        </w:rPr>
        <w:t xml:space="preserve">m niet te hoeven variëren in de </w:t>
      </w:r>
      <w:r>
        <w:rPr>
          <w:rFonts w:eastAsia="Calibri" w:cs="Times New Roman"/>
          <w:color w:val="auto"/>
          <w:szCs w:val="22"/>
          <w:lang w:eastAsia="en-US"/>
        </w:rPr>
        <w:t>hoogte van de indexering tussen de arbeidswetten,</w:t>
      </w:r>
      <w:r w:rsidRPr="00626C22">
        <w:rPr>
          <w:rFonts w:eastAsia="Calibri" w:cs="Times New Roman"/>
          <w:color w:val="auto"/>
          <w:szCs w:val="22"/>
          <w:lang w:eastAsia="en-US"/>
        </w:rPr>
        <w:t xml:space="preserve"> wordt </w:t>
      </w:r>
      <w:r>
        <w:rPr>
          <w:rFonts w:eastAsia="Calibri" w:cs="Times New Roman"/>
          <w:color w:val="auto"/>
          <w:szCs w:val="22"/>
          <w:lang w:eastAsia="en-US"/>
        </w:rPr>
        <w:t xml:space="preserve">een eenmalige verhoging aangebracht </w:t>
      </w:r>
      <w:r w:rsidRPr="00626C22">
        <w:rPr>
          <w:rFonts w:eastAsia="Calibri" w:cs="Times New Roman"/>
          <w:color w:val="auto"/>
          <w:szCs w:val="22"/>
          <w:lang w:eastAsia="en-US"/>
        </w:rPr>
        <w:t xml:space="preserve">over een beperkte termijn van </w:t>
      </w:r>
      <w:r>
        <w:rPr>
          <w:rFonts w:eastAsia="Calibri" w:cs="Times New Roman"/>
          <w:color w:val="auto"/>
          <w:szCs w:val="22"/>
          <w:lang w:eastAsia="en-US"/>
        </w:rPr>
        <w:t>vier</w:t>
      </w:r>
      <w:r w:rsidRPr="00626C22">
        <w:rPr>
          <w:rFonts w:eastAsia="Calibri" w:cs="Times New Roman"/>
          <w:color w:val="auto"/>
          <w:szCs w:val="22"/>
          <w:lang w:eastAsia="en-US"/>
        </w:rPr>
        <w:t xml:space="preserve"> jaar met 21,7 procent</w:t>
      </w:r>
      <w:r>
        <w:rPr>
          <w:rFonts w:eastAsia="Calibri" w:cs="Times New Roman"/>
          <w:color w:val="auto"/>
          <w:szCs w:val="22"/>
          <w:lang w:eastAsia="en-US"/>
        </w:rPr>
        <w:t xml:space="preserve">, die </w:t>
      </w:r>
      <w:r w:rsidRPr="00626C22">
        <w:rPr>
          <w:rFonts w:eastAsia="Calibri" w:cs="Times New Roman"/>
          <w:color w:val="auto"/>
          <w:szCs w:val="22"/>
          <w:lang w:eastAsia="en-US"/>
        </w:rPr>
        <w:t>als</w:t>
      </w:r>
      <w:r>
        <w:rPr>
          <w:rFonts w:eastAsia="Calibri" w:cs="Times New Roman"/>
          <w:color w:val="auto"/>
          <w:szCs w:val="22"/>
          <w:lang w:eastAsia="en-US"/>
        </w:rPr>
        <w:t xml:space="preserve"> </w:t>
      </w:r>
      <w:r w:rsidRPr="00626C22">
        <w:rPr>
          <w:rFonts w:eastAsia="Calibri" w:cs="Times New Roman"/>
          <w:color w:val="auto"/>
          <w:szCs w:val="22"/>
          <w:lang w:eastAsia="en-US"/>
        </w:rPr>
        <w:t xml:space="preserve">passend </w:t>
      </w:r>
      <w:r>
        <w:rPr>
          <w:rFonts w:eastAsia="Calibri" w:cs="Times New Roman"/>
          <w:color w:val="auto"/>
          <w:szCs w:val="22"/>
          <w:lang w:eastAsia="en-US"/>
        </w:rPr>
        <w:t xml:space="preserve">wordt </w:t>
      </w:r>
      <w:r w:rsidRPr="00626C22">
        <w:rPr>
          <w:rFonts w:eastAsia="Calibri" w:cs="Times New Roman"/>
          <w:color w:val="auto"/>
          <w:szCs w:val="22"/>
          <w:lang w:eastAsia="en-US"/>
        </w:rPr>
        <w:t xml:space="preserve">gezien. </w:t>
      </w:r>
    </w:p>
    <w:p w:rsidRPr="00626C22" w:rsidR="006D6AF8" w:rsidP="006D6AF8" w:rsidRDefault="006D6AF8" w14:paraId="3743DF0D" w14:textId="77777777">
      <w:pPr>
        <w:numPr>
          <w:ilvl w:val="0"/>
          <w:numId w:val="9"/>
        </w:numPr>
        <w:autoSpaceDN/>
        <w:spacing w:after="160" w:line="259" w:lineRule="auto"/>
        <w:contextualSpacing/>
        <w:textAlignment w:val="auto"/>
        <w:rPr>
          <w:rFonts w:eastAsia="Calibri" w:cs="Times New Roman"/>
          <w:b/>
          <w:bCs/>
          <w:color w:val="auto"/>
          <w:szCs w:val="22"/>
          <w:lang w:eastAsia="en-US"/>
        </w:rPr>
      </w:pPr>
      <w:r w:rsidRPr="00626C22">
        <w:rPr>
          <w:rFonts w:eastAsia="Calibri" w:cs="Times New Roman"/>
          <w:b/>
          <w:bCs/>
          <w:color w:val="auto"/>
          <w:szCs w:val="22"/>
          <w:lang w:eastAsia="en-US"/>
        </w:rPr>
        <w:t>Jaarlijkse indexatie boetes arbeidswetten</w:t>
      </w:r>
    </w:p>
    <w:p w:rsidRPr="00626C22" w:rsidR="006D6AF8" w:rsidP="006D6AF8" w:rsidRDefault="006D6AF8" w14:paraId="41D0BC3B"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Door boetes in het vervolg jaarlijks te indexeren behouden zij hun reële waarde. </w:t>
      </w:r>
      <w:r>
        <w:rPr>
          <w:rFonts w:eastAsia="Calibri" w:cs="Times New Roman"/>
          <w:color w:val="auto"/>
          <w:szCs w:val="22"/>
          <w:lang w:eastAsia="en-US"/>
        </w:rPr>
        <w:t xml:space="preserve"> Hiervoor zal </w:t>
      </w:r>
      <w:r w:rsidRPr="00626C22">
        <w:rPr>
          <w:rFonts w:eastAsia="Calibri" w:cs="Times New Roman"/>
          <w:color w:val="auto"/>
          <w:szCs w:val="22"/>
          <w:lang w:eastAsia="en-US"/>
        </w:rPr>
        <w:t>een wettelijke grondslag</w:t>
      </w:r>
      <w:r>
        <w:rPr>
          <w:rFonts w:eastAsia="Calibri" w:cs="Times New Roman"/>
          <w:color w:val="auto"/>
          <w:szCs w:val="22"/>
          <w:lang w:eastAsia="en-US"/>
        </w:rPr>
        <w:t xml:space="preserve"> worden opgenomen</w:t>
      </w:r>
      <w:r w:rsidRPr="00626C22">
        <w:rPr>
          <w:rFonts w:eastAsia="Calibri" w:cs="Times New Roman"/>
          <w:color w:val="auto"/>
          <w:szCs w:val="22"/>
          <w:lang w:eastAsia="en-US"/>
        </w:rPr>
        <w:t xml:space="preserve"> in de betreffende arbeidswetten. </w:t>
      </w:r>
      <w:r>
        <w:rPr>
          <w:rFonts w:eastAsia="Calibri" w:cs="Times New Roman"/>
          <w:color w:val="auto"/>
          <w:szCs w:val="22"/>
          <w:lang w:eastAsia="en-US"/>
        </w:rPr>
        <w:t xml:space="preserve">De </w:t>
      </w:r>
      <w:r w:rsidRPr="00626C22">
        <w:rPr>
          <w:rFonts w:eastAsia="Calibri" w:cs="Times New Roman"/>
          <w:color w:val="auto"/>
          <w:szCs w:val="22"/>
          <w:lang w:eastAsia="en-US"/>
        </w:rPr>
        <w:t xml:space="preserve">verwachting is dat vanaf 1 januari 2028 jaarlijks kan worden geïndexeerd. </w:t>
      </w:r>
    </w:p>
    <w:p w:rsidRPr="00626C22" w:rsidR="006D6AF8" w:rsidP="006D6AF8" w:rsidRDefault="006D6AF8" w14:paraId="7FD1FA59"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De boetes worden jaarlijks geïndexeerd op basis van CPI</w:t>
      </w:r>
      <w:r>
        <w:rPr>
          <w:rFonts w:eastAsia="Calibri" w:cs="Times New Roman"/>
          <w:color w:val="auto"/>
          <w:szCs w:val="22"/>
          <w:lang w:eastAsia="en-US"/>
        </w:rPr>
        <w:t>-</w:t>
      </w:r>
      <w:r w:rsidRPr="00626C22">
        <w:rPr>
          <w:rFonts w:eastAsia="Calibri" w:cs="Times New Roman"/>
          <w:color w:val="auto"/>
          <w:szCs w:val="22"/>
          <w:lang w:eastAsia="en-US"/>
        </w:rPr>
        <w:t>ontwikkeling met de tabelcorrectiefactor. Dit is vergelijkbaar met hoe</w:t>
      </w:r>
      <w:r>
        <w:rPr>
          <w:rFonts w:eastAsia="Calibri" w:cs="Times New Roman"/>
          <w:color w:val="auto"/>
          <w:szCs w:val="22"/>
          <w:lang w:eastAsia="en-US"/>
        </w:rPr>
        <w:t xml:space="preserve"> in wetgeving vaker wordt geïndexeerd.</w:t>
      </w:r>
      <w:r w:rsidRPr="00626C22">
        <w:rPr>
          <w:rFonts w:eastAsia="Calibri" w:cs="Times New Roman"/>
          <w:color w:val="auto"/>
          <w:szCs w:val="22"/>
          <w:lang w:eastAsia="en-US"/>
        </w:rPr>
        <w:t xml:space="preserve"> De CPI-ontwikkeling geeft een simpele en generieke brede </w:t>
      </w:r>
      <w:r w:rsidRPr="00626C22">
        <w:rPr>
          <w:rFonts w:eastAsia="Calibri" w:cs="Times New Roman"/>
          <w:color w:val="auto"/>
          <w:szCs w:val="22"/>
          <w:lang w:eastAsia="en-US"/>
        </w:rPr>
        <w:lastRenderedPageBreak/>
        <w:t>prijsontwikkeling weer. Daarmee volgt het voor de meeste bedrijven relatief goed de nominale waarde van de omzet</w:t>
      </w:r>
      <w:r>
        <w:rPr>
          <w:rFonts w:eastAsia="Calibri" w:cs="Times New Roman"/>
          <w:color w:val="auto"/>
          <w:szCs w:val="22"/>
          <w:lang w:eastAsia="en-US"/>
        </w:rPr>
        <w:t>.</w:t>
      </w:r>
    </w:p>
    <w:p w:rsidRPr="00626C22" w:rsidR="006D6AF8" w:rsidP="006D6AF8" w:rsidRDefault="006D6AF8" w14:paraId="357E1D25" w14:textId="77777777">
      <w:pPr>
        <w:numPr>
          <w:ilvl w:val="0"/>
          <w:numId w:val="9"/>
        </w:numPr>
        <w:autoSpaceDN/>
        <w:spacing w:after="160" w:line="259" w:lineRule="auto"/>
        <w:contextualSpacing/>
        <w:textAlignment w:val="auto"/>
        <w:rPr>
          <w:rFonts w:eastAsia="Calibri" w:cs="Times New Roman"/>
          <w:b/>
          <w:bCs/>
          <w:color w:val="auto"/>
          <w:szCs w:val="22"/>
          <w:lang w:eastAsia="en-US"/>
        </w:rPr>
      </w:pPr>
      <w:r w:rsidRPr="00626C22">
        <w:rPr>
          <w:rFonts w:eastAsia="Calibri" w:cs="Times New Roman"/>
          <w:b/>
          <w:bCs/>
          <w:color w:val="auto"/>
          <w:szCs w:val="22"/>
          <w:lang w:eastAsia="en-US"/>
        </w:rPr>
        <w:t>Differentiatie in boetes</w:t>
      </w:r>
    </w:p>
    <w:p w:rsidR="006D6AF8" w:rsidP="006D6AF8" w:rsidRDefault="006D6AF8" w14:paraId="4230F52D"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De hoogte van een boete dient in redelijke verhouding te staan met de aard en de ernst van de overtreding. Dit zorgt voor rechtvaardigheid, afschrikking en een effectief handhavingsbeleid. Dit belang zien we ook steeds meer naar voren komen binnen de rechtspraak</w:t>
      </w:r>
      <w:r>
        <w:rPr>
          <w:rFonts w:eastAsia="Calibri" w:cs="Times New Roman"/>
          <w:color w:val="auto"/>
          <w:szCs w:val="22"/>
          <w:lang w:eastAsia="en-US"/>
        </w:rPr>
        <w:t xml:space="preserve">, </w:t>
      </w:r>
      <w:r w:rsidRPr="00626C22">
        <w:rPr>
          <w:rFonts w:eastAsia="Calibri" w:cs="Times New Roman"/>
          <w:color w:val="auto"/>
          <w:szCs w:val="22"/>
          <w:lang w:eastAsia="en-US"/>
        </w:rPr>
        <w:t>bestuursrechters</w:t>
      </w:r>
      <w:r>
        <w:rPr>
          <w:rFonts w:eastAsia="Calibri" w:cs="Times New Roman"/>
          <w:color w:val="auto"/>
          <w:szCs w:val="22"/>
          <w:lang w:eastAsia="en-US"/>
        </w:rPr>
        <w:t xml:space="preserve"> toetsen</w:t>
      </w:r>
      <w:r w:rsidRPr="00626C22">
        <w:rPr>
          <w:rFonts w:eastAsia="Calibri" w:cs="Times New Roman"/>
          <w:color w:val="auto"/>
          <w:szCs w:val="22"/>
          <w:lang w:eastAsia="en-US"/>
        </w:rPr>
        <w:t xml:space="preserve"> voorgelegde boetebesluiten indringender. Deze indringendere toetsing beperkt zich niet tot toetsing aan de maatstaf van evenredigheid in concrete gevallen, maar ook tot het toegepaste, achterliggende boetebeleid. Hierbij kan de bestuursrechter ook kijken naar de openstaande mogelijkheden om (aanvullend) te differentiëren. Dit ligt </w:t>
      </w:r>
      <w:r>
        <w:rPr>
          <w:rFonts w:eastAsia="Calibri" w:cs="Times New Roman"/>
          <w:color w:val="auto"/>
          <w:szCs w:val="22"/>
          <w:lang w:eastAsia="en-US"/>
        </w:rPr>
        <w:t xml:space="preserve">mogelijk </w:t>
      </w:r>
      <w:r w:rsidRPr="00626C22">
        <w:rPr>
          <w:rFonts w:eastAsia="Calibri" w:cs="Times New Roman"/>
          <w:color w:val="auto"/>
          <w:szCs w:val="22"/>
          <w:lang w:eastAsia="en-US"/>
        </w:rPr>
        <w:t xml:space="preserve">nog meer voor de hand </w:t>
      </w:r>
      <w:r>
        <w:rPr>
          <w:rFonts w:eastAsia="Calibri" w:cs="Times New Roman"/>
          <w:color w:val="auto"/>
          <w:szCs w:val="22"/>
          <w:lang w:eastAsia="en-US"/>
        </w:rPr>
        <w:t xml:space="preserve">bij de voorgestelde verhoging van </w:t>
      </w:r>
      <w:r w:rsidRPr="00626C22">
        <w:rPr>
          <w:rFonts w:eastAsia="Calibri" w:cs="Times New Roman"/>
          <w:color w:val="auto"/>
          <w:szCs w:val="22"/>
          <w:lang w:eastAsia="en-US"/>
        </w:rPr>
        <w:t>de boetenormbedragen</w:t>
      </w:r>
      <w:r>
        <w:rPr>
          <w:rFonts w:eastAsia="Calibri" w:cs="Times New Roman"/>
          <w:color w:val="auto"/>
          <w:szCs w:val="22"/>
          <w:lang w:eastAsia="en-US"/>
        </w:rPr>
        <w:t>.</w:t>
      </w:r>
      <w:r w:rsidRPr="00626C22">
        <w:rPr>
          <w:rFonts w:eastAsia="Calibri" w:cs="Times New Roman"/>
          <w:color w:val="auto"/>
          <w:szCs w:val="22"/>
          <w:lang w:eastAsia="en-US"/>
        </w:rPr>
        <w:t xml:space="preserve"> </w:t>
      </w:r>
    </w:p>
    <w:p w:rsidR="006D6AF8" w:rsidP="006D6AF8" w:rsidRDefault="006D6AF8" w14:paraId="6B3A85EE"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In de kabinetsreactie op het SEO-rapport is aangegeven dat er </w:t>
      </w:r>
      <w:r>
        <w:rPr>
          <w:rFonts w:eastAsia="Calibri" w:cs="Times New Roman"/>
          <w:color w:val="auto"/>
          <w:szCs w:val="22"/>
          <w:lang w:eastAsia="en-US"/>
        </w:rPr>
        <w:t xml:space="preserve">al </w:t>
      </w:r>
      <w:r w:rsidRPr="00626C22">
        <w:rPr>
          <w:rFonts w:eastAsia="Calibri" w:cs="Times New Roman"/>
          <w:color w:val="auto"/>
          <w:szCs w:val="22"/>
          <w:lang w:eastAsia="en-US"/>
        </w:rPr>
        <w:t xml:space="preserve">sprake is van een wijd- en fijnvertakt boetebeleid voor de Eerlijk Werk wetten. Hetzelfde geldt voor de Gezond en Veilig Werk wetten, zoals is beschreven in de Kamerbrief ‘Boetebeleid SZW’ (2021). SEO beveelt in haar rapport aan om de boeteverhogingen van Eerlijk Werk verder te differentiëren op basis van kenmerken van de overtreder, zoals financiële draagkracht (bijv. op basis van winst of omzet) of bedrijfsomvang. Volgens SEO zal dit onder meer zorgen voor </w:t>
      </w:r>
      <w:r>
        <w:rPr>
          <w:rFonts w:eastAsia="Calibri" w:cs="Times New Roman"/>
          <w:color w:val="auto"/>
          <w:szCs w:val="22"/>
          <w:lang w:eastAsia="en-US"/>
        </w:rPr>
        <w:t xml:space="preserve">een grotere </w:t>
      </w:r>
      <w:r w:rsidRPr="00626C22">
        <w:rPr>
          <w:rFonts w:eastAsia="Calibri" w:cs="Times New Roman"/>
          <w:color w:val="auto"/>
          <w:szCs w:val="22"/>
          <w:lang w:eastAsia="en-US"/>
        </w:rPr>
        <w:t>effectiviteit van de boeteverhogingen. Op deze manier worden boetes vooral verhoogd waar ze het meeste effect hebben op naleving, terwijl ongewenste bijwerkingen, zoals demotivatie, zoveel mogelijk worden beperkt.</w:t>
      </w:r>
      <w:r>
        <w:rPr>
          <w:rFonts w:eastAsia="Calibri" w:cs="Times New Roman"/>
          <w:color w:val="auto"/>
          <w:szCs w:val="22"/>
          <w:lang w:eastAsia="en-US"/>
        </w:rPr>
        <w:t xml:space="preserve"> SEO beschrijft dat </w:t>
      </w:r>
      <w:r w:rsidRPr="00626C22">
        <w:rPr>
          <w:rFonts w:eastAsia="Calibri" w:cs="Times New Roman"/>
          <w:color w:val="auto"/>
          <w:szCs w:val="22"/>
          <w:lang w:eastAsia="en-US"/>
        </w:rPr>
        <w:t xml:space="preserve">grote bedrijven doorgaans sterker reageren op boeteverhogingen dan kleine bedrijven. Zij zijn vaker calculerend, beschikken over juridische expertise en zijn gevoeliger voor financiële prikkels. De grote calculerende bedrijven worden hiermee directer getroffen waardoor de effectiviteit van de boetes wordt </w:t>
      </w:r>
      <w:r w:rsidRPr="00C70DB5">
        <w:rPr>
          <w:rFonts w:eastAsia="Calibri" w:cs="Times New Roman"/>
          <w:color w:val="auto"/>
          <w:szCs w:val="22"/>
          <w:lang w:eastAsia="en-US"/>
        </w:rPr>
        <w:t>bevorderd</w:t>
      </w:r>
      <w:r w:rsidRPr="00626C22">
        <w:rPr>
          <w:rFonts w:eastAsia="Calibri" w:cs="Times New Roman"/>
          <w:color w:val="auto"/>
          <w:szCs w:val="22"/>
          <w:lang w:eastAsia="en-US"/>
        </w:rPr>
        <w:t xml:space="preserve">. Daarnaast kan het een afschrikwekkender effect hebben voor de grote calculerende bedrijven en daarmee de naleving bevorderen.  </w:t>
      </w:r>
    </w:p>
    <w:p w:rsidR="006D6AF8" w:rsidP="006D6AF8" w:rsidRDefault="006D6AF8" w14:paraId="3F30D959"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De differentiatie naar financiële draagkracht en bedrijfsomvang ontbreekt in alle Eerlijk Werk wetten. SEO </w:t>
      </w:r>
      <w:r>
        <w:rPr>
          <w:rFonts w:eastAsia="Calibri" w:cs="Times New Roman"/>
          <w:color w:val="auto"/>
          <w:szCs w:val="22"/>
          <w:lang w:eastAsia="en-US"/>
        </w:rPr>
        <w:t>geeft aan</w:t>
      </w:r>
      <w:r w:rsidRPr="00626C22">
        <w:rPr>
          <w:rFonts w:eastAsia="Calibri" w:cs="Times New Roman"/>
          <w:color w:val="auto"/>
          <w:szCs w:val="22"/>
          <w:lang w:eastAsia="en-US"/>
        </w:rPr>
        <w:t xml:space="preserve"> geen uitspraken </w:t>
      </w:r>
      <w:r>
        <w:rPr>
          <w:rFonts w:eastAsia="Calibri" w:cs="Times New Roman"/>
          <w:color w:val="auto"/>
          <w:szCs w:val="22"/>
          <w:lang w:eastAsia="en-US"/>
        </w:rPr>
        <w:t xml:space="preserve">te doen </w:t>
      </w:r>
      <w:r w:rsidRPr="00626C22">
        <w:rPr>
          <w:rFonts w:eastAsia="Calibri" w:cs="Times New Roman"/>
          <w:color w:val="auto"/>
          <w:szCs w:val="22"/>
          <w:lang w:eastAsia="en-US"/>
        </w:rPr>
        <w:t xml:space="preserve">over de uitvoerbaarheid van de aanbevelingen en de gewenste rol van de toezichthouder. </w:t>
      </w:r>
      <w:r>
        <w:rPr>
          <w:rFonts w:eastAsia="Calibri" w:cs="Times New Roman"/>
          <w:color w:val="auto"/>
          <w:szCs w:val="22"/>
          <w:lang w:eastAsia="en-US"/>
        </w:rPr>
        <w:t>D</w:t>
      </w:r>
      <w:r w:rsidRPr="00626C22">
        <w:rPr>
          <w:rFonts w:eastAsia="Calibri" w:cs="Times New Roman"/>
          <w:color w:val="auto"/>
          <w:szCs w:val="22"/>
          <w:lang w:eastAsia="en-US"/>
        </w:rPr>
        <w:t xml:space="preserve">e SER adviseert in haar advies over arbeidsmigratie om de hoogte van de boetes van Eerlijk Werk te koppelen aan bedrijfsomzet. </w:t>
      </w:r>
      <w:r>
        <w:rPr>
          <w:rFonts w:eastAsia="Calibri" w:cs="Times New Roman"/>
          <w:color w:val="auto"/>
          <w:szCs w:val="22"/>
          <w:lang w:eastAsia="en-US"/>
        </w:rPr>
        <w:t xml:space="preserve">Het rapport van SEO ging niet over de </w:t>
      </w:r>
      <w:r w:rsidRPr="00626C22">
        <w:rPr>
          <w:rFonts w:eastAsia="Calibri" w:cs="Times New Roman"/>
          <w:color w:val="auto"/>
          <w:szCs w:val="22"/>
          <w:lang w:eastAsia="en-US"/>
        </w:rPr>
        <w:t>Gezond en Veilig werken</w:t>
      </w:r>
      <w:r>
        <w:rPr>
          <w:rFonts w:eastAsia="Calibri" w:cs="Times New Roman"/>
          <w:color w:val="auto"/>
          <w:szCs w:val="22"/>
          <w:lang w:eastAsia="en-US"/>
        </w:rPr>
        <w:t xml:space="preserve"> wetten en daarvoor</w:t>
      </w:r>
      <w:r w:rsidRPr="00626C22">
        <w:rPr>
          <w:rFonts w:eastAsia="Calibri" w:cs="Times New Roman"/>
          <w:color w:val="auto"/>
          <w:szCs w:val="22"/>
          <w:lang w:eastAsia="en-US"/>
        </w:rPr>
        <w:t xml:space="preserve"> zijn deze aanbevelingen tot differentiatie</w:t>
      </w:r>
      <w:r>
        <w:rPr>
          <w:rFonts w:eastAsia="Calibri" w:cs="Times New Roman"/>
          <w:color w:val="auto"/>
          <w:szCs w:val="22"/>
          <w:lang w:eastAsia="en-US"/>
        </w:rPr>
        <w:t xml:space="preserve"> dus ook</w:t>
      </w:r>
      <w:r w:rsidRPr="00626C22">
        <w:rPr>
          <w:rFonts w:eastAsia="Calibri" w:cs="Times New Roman"/>
          <w:color w:val="auto"/>
          <w:szCs w:val="22"/>
          <w:lang w:eastAsia="en-US"/>
        </w:rPr>
        <w:t xml:space="preserve"> niet gedaan. Maar vanwege de verhoging van de boetes, en het belang dat deze bedragen in verhouding staan </w:t>
      </w:r>
      <w:r>
        <w:rPr>
          <w:rFonts w:eastAsia="Calibri" w:cs="Times New Roman"/>
          <w:color w:val="auto"/>
          <w:szCs w:val="22"/>
          <w:lang w:eastAsia="en-US"/>
        </w:rPr>
        <w:t xml:space="preserve">tot </w:t>
      </w:r>
      <w:r w:rsidRPr="00626C22">
        <w:rPr>
          <w:rFonts w:eastAsia="Calibri" w:cs="Times New Roman"/>
          <w:color w:val="auto"/>
          <w:szCs w:val="22"/>
          <w:lang w:eastAsia="en-US"/>
        </w:rPr>
        <w:t>de aard en de ernst van de overtreding</w:t>
      </w:r>
      <w:r>
        <w:rPr>
          <w:rFonts w:eastAsia="Calibri" w:cs="Times New Roman"/>
          <w:color w:val="auto"/>
          <w:szCs w:val="22"/>
          <w:lang w:eastAsia="en-US"/>
        </w:rPr>
        <w:t>,</w:t>
      </w:r>
      <w:r w:rsidRPr="00626C22">
        <w:rPr>
          <w:rFonts w:eastAsia="Calibri" w:cs="Times New Roman"/>
          <w:color w:val="auto"/>
          <w:szCs w:val="22"/>
          <w:lang w:eastAsia="en-US"/>
        </w:rPr>
        <w:t xml:space="preserve"> is wel onderzocht of hier voldoende mate van differentiatie aanwezig is. </w:t>
      </w:r>
    </w:p>
    <w:p w:rsidRPr="00626C22" w:rsidR="006D6AF8" w:rsidP="006D6AF8" w:rsidRDefault="006D6AF8" w14:paraId="500EF5BC" w14:textId="77777777">
      <w:pPr>
        <w:autoSpaceDN/>
        <w:spacing w:after="160" w:line="259" w:lineRule="auto"/>
        <w:textAlignment w:val="auto"/>
        <w:rPr>
          <w:rFonts w:eastAsia="Calibri" w:cs="Times New Roman"/>
          <w:color w:val="auto"/>
          <w:szCs w:val="22"/>
          <w:u w:val="single"/>
          <w:lang w:eastAsia="en-US"/>
        </w:rPr>
      </w:pPr>
      <w:r>
        <w:rPr>
          <w:rFonts w:eastAsia="Calibri" w:cs="Times New Roman"/>
          <w:color w:val="auto"/>
          <w:szCs w:val="22"/>
          <w:u w:val="single"/>
          <w:lang w:eastAsia="en-US"/>
        </w:rPr>
        <w:t xml:space="preserve">Gezond en Veilig Werk arbeidswetten </w:t>
      </w:r>
    </w:p>
    <w:p w:rsidR="006D6AF8" w:rsidP="006D6AF8" w:rsidRDefault="006D6AF8" w14:paraId="68F6154C" w14:textId="77777777">
      <w:pPr>
        <w:autoSpaceDN/>
        <w:spacing w:after="160" w:line="259" w:lineRule="auto"/>
        <w:textAlignment w:val="auto"/>
      </w:pPr>
      <w:r>
        <w:t>Voor de</w:t>
      </w:r>
      <w:r w:rsidRPr="00C4691D">
        <w:t xml:space="preserve"> Arbowet</w:t>
      </w:r>
      <w:r>
        <w:t xml:space="preserve"> </w:t>
      </w:r>
      <w:r w:rsidRPr="00C4691D">
        <w:t>en de A</w:t>
      </w:r>
      <w:r>
        <w:t xml:space="preserve">TW </w:t>
      </w:r>
      <w:r w:rsidRPr="00C4691D">
        <w:t>wordt</w:t>
      </w:r>
      <w:r>
        <w:t xml:space="preserve"> </w:t>
      </w:r>
      <w:r w:rsidRPr="00C4691D">
        <w:t>al rekening gehouden met de kenmerken van de overtreder</w:t>
      </w:r>
      <w:r>
        <w:t xml:space="preserve"> omdat onder andere wordt gedifferentieerd op basis van de bedrijfsomvang door te kijken naar het aantal werknemers. Dit hangt samen met het te beschermen belang van veilig werken. </w:t>
      </w:r>
      <w:r w:rsidRPr="00C4691D">
        <w:t>De boete wordt vastgesteld aan de hand van het aantal vaste, tijdelijke en ingeleende werknemers in dienst op het moment van overtreding</w:t>
      </w:r>
      <w:r>
        <w:t>.</w:t>
      </w:r>
      <w:r>
        <w:rPr>
          <w:rStyle w:val="Voetnootmarkering"/>
        </w:rPr>
        <w:footnoteReference w:id="7"/>
      </w:r>
      <w:r w:rsidRPr="00C4691D">
        <w:t xml:space="preserve"> </w:t>
      </w:r>
    </w:p>
    <w:p w:rsidR="006D6AF8" w:rsidP="006D6AF8" w:rsidRDefault="006D6AF8" w14:paraId="439BE2F2" w14:textId="77777777">
      <w:pPr>
        <w:autoSpaceDN/>
        <w:spacing w:after="160" w:line="259" w:lineRule="auto"/>
        <w:textAlignment w:val="auto"/>
      </w:pPr>
      <w:r>
        <w:lastRenderedPageBreak/>
        <w:t xml:space="preserve">In het verleden is bewust gekozen voor het aantal werknemers als graadmeter van de draagkracht van een onderneming. Overtreding van deze wetten kunnen leiden tot gezondheidsschade die de werkgever (of de werknemer zelf), bewust of onbewust, toebrengt aan de werkende. Boeteberekening aan de hand van het aantal werkenden is in deze wetten een betere indicator van dit (potentieel) risico aan gezondheidsschade dan omzet. </w:t>
      </w:r>
    </w:p>
    <w:p w:rsidR="006D6AF8" w:rsidP="006D6AF8" w:rsidRDefault="006D6AF8" w14:paraId="4E5E2BB0"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Een </w:t>
      </w:r>
      <w:r>
        <w:rPr>
          <w:rFonts w:eastAsia="Calibri" w:cs="Times New Roman"/>
          <w:color w:val="auto"/>
          <w:szCs w:val="22"/>
          <w:lang w:eastAsia="en-US"/>
        </w:rPr>
        <w:t xml:space="preserve">ambtelijke </w:t>
      </w:r>
      <w:r w:rsidRPr="00626C22">
        <w:rPr>
          <w:rFonts w:eastAsia="Calibri" w:cs="Times New Roman"/>
          <w:color w:val="auto"/>
          <w:szCs w:val="22"/>
          <w:lang w:eastAsia="en-US"/>
        </w:rPr>
        <w:t>evaluatie van de differentiatiemogelijkheden voor Arbowet- en regelgeving geeft geen aanleiding om meer differentiatie toe te passen, dan nu al gebruikelijk is. De boetes</w:t>
      </w:r>
      <w:r>
        <w:rPr>
          <w:rFonts w:eastAsia="Calibri" w:cs="Times New Roman"/>
          <w:color w:val="auto"/>
          <w:szCs w:val="22"/>
          <w:lang w:eastAsia="en-US"/>
        </w:rPr>
        <w:t>ystematiek</w:t>
      </w:r>
      <w:r w:rsidRPr="00626C22">
        <w:rPr>
          <w:rFonts w:eastAsia="Calibri" w:cs="Times New Roman"/>
          <w:color w:val="auto"/>
          <w:szCs w:val="22"/>
          <w:lang w:eastAsia="en-US"/>
        </w:rPr>
        <w:t xml:space="preserve"> </w:t>
      </w:r>
      <w:r>
        <w:rPr>
          <w:rFonts w:eastAsia="Calibri" w:cs="Times New Roman"/>
          <w:color w:val="auto"/>
          <w:szCs w:val="22"/>
          <w:lang w:eastAsia="en-US"/>
        </w:rPr>
        <w:t xml:space="preserve">inclusief de differentiatie wordt als </w:t>
      </w:r>
      <w:r w:rsidRPr="00626C22">
        <w:rPr>
          <w:rFonts w:eastAsia="Calibri" w:cs="Times New Roman"/>
          <w:color w:val="auto"/>
          <w:szCs w:val="22"/>
          <w:lang w:eastAsia="en-US"/>
        </w:rPr>
        <w:t>passend en evenredig</w:t>
      </w:r>
      <w:r>
        <w:rPr>
          <w:rFonts w:eastAsia="Calibri" w:cs="Times New Roman"/>
          <w:color w:val="auto"/>
          <w:szCs w:val="22"/>
          <w:lang w:eastAsia="en-US"/>
        </w:rPr>
        <w:t xml:space="preserve"> gezien</w:t>
      </w:r>
      <w:r w:rsidRPr="00626C22">
        <w:rPr>
          <w:rFonts w:eastAsia="Calibri" w:cs="Times New Roman"/>
          <w:color w:val="auto"/>
          <w:szCs w:val="22"/>
          <w:lang w:eastAsia="en-US"/>
        </w:rPr>
        <w:t>, ook na de eenmalige boeteverhoging</w:t>
      </w:r>
      <w:r>
        <w:rPr>
          <w:rFonts w:eastAsia="Calibri" w:cs="Times New Roman"/>
          <w:color w:val="auto"/>
          <w:szCs w:val="22"/>
          <w:lang w:eastAsia="en-US"/>
        </w:rPr>
        <w:t xml:space="preserve">. We gaan nog nader bezien of er aanleiding is om verdere differentiatie toe te passen in de huidige boetesystematiek van de ATW.  </w:t>
      </w:r>
    </w:p>
    <w:p w:rsidRPr="00626C22" w:rsidR="006D6AF8" w:rsidP="006D6AF8" w:rsidRDefault="006D6AF8" w14:paraId="0DBEED9C" w14:textId="77777777">
      <w:pPr>
        <w:autoSpaceDN/>
        <w:spacing w:after="160" w:line="259" w:lineRule="auto"/>
        <w:textAlignment w:val="auto"/>
        <w:rPr>
          <w:rFonts w:eastAsia="Calibri" w:cs="Times New Roman"/>
          <w:color w:val="auto"/>
          <w:szCs w:val="22"/>
          <w:u w:val="single"/>
          <w:lang w:eastAsia="en-US"/>
        </w:rPr>
      </w:pPr>
      <w:r>
        <w:rPr>
          <w:rFonts w:eastAsia="Calibri" w:cs="Times New Roman"/>
          <w:color w:val="auto"/>
          <w:szCs w:val="22"/>
          <w:u w:val="single"/>
          <w:lang w:eastAsia="en-US"/>
        </w:rPr>
        <w:t xml:space="preserve">Eerlijk Werk arbeidswetten </w:t>
      </w:r>
    </w:p>
    <w:p w:rsidR="006D6AF8" w:rsidP="006D6AF8" w:rsidRDefault="006D6AF8" w14:paraId="70AE3802" w14:textId="77777777">
      <w:pPr>
        <w:autoSpaceDN/>
        <w:spacing w:after="160" w:line="259" w:lineRule="auto"/>
        <w:textAlignment w:val="auto"/>
        <w:rPr>
          <w:rFonts w:eastAsia="Calibri" w:cs="Times New Roman"/>
          <w:color w:val="auto"/>
          <w:szCs w:val="22"/>
          <w:lang w:eastAsia="en-US"/>
        </w:rPr>
      </w:pPr>
      <w:r>
        <w:rPr>
          <w:rFonts w:eastAsia="Calibri" w:cs="Times New Roman"/>
          <w:color w:val="auto"/>
          <w:szCs w:val="22"/>
          <w:lang w:eastAsia="en-US"/>
        </w:rPr>
        <w:t xml:space="preserve">Zoals genoemd hebben de Eerlijk Werk wetten geen differentiatie van het boetenormbedrag op basis van de omzet of winst van de overtreder of op basis van de bedrijfsomvang. Samen met de Arbeidsinspectie is in de afgelopen periode onderzocht of hier invulling aan gegeven zou kunnen worden en wat dit zou vragen van de uitvoering.   </w:t>
      </w:r>
    </w:p>
    <w:p w:rsidRPr="00626C22" w:rsidR="006D6AF8" w:rsidP="006D6AF8" w:rsidRDefault="006D6AF8" w14:paraId="66A7A9B9" w14:textId="77777777">
      <w:pPr>
        <w:autoSpaceDN/>
        <w:spacing w:after="160" w:line="259" w:lineRule="auto"/>
        <w:textAlignment w:val="auto"/>
        <w:rPr>
          <w:rFonts w:eastAsia="Calibri" w:cs="Times New Roman"/>
          <w:color w:val="auto"/>
          <w:szCs w:val="22"/>
          <w:lang w:eastAsia="en-US"/>
        </w:rPr>
      </w:pPr>
      <w:r w:rsidRPr="00626C22">
        <w:rPr>
          <w:rFonts w:eastAsia="Calibri" w:cs="Times New Roman"/>
          <w:color w:val="auto"/>
          <w:szCs w:val="22"/>
          <w:lang w:eastAsia="en-US"/>
        </w:rPr>
        <w:t xml:space="preserve">Voor de Eerlijk Werk wetten </w:t>
      </w:r>
      <w:r>
        <w:rPr>
          <w:rFonts w:eastAsia="Calibri" w:cs="Times New Roman"/>
          <w:color w:val="auto"/>
          <w:szCs w:val="22"/>
          <w:lang w:eastAsia="en-US"/>
        </w:rPr>
        <w:t xml:space="preserve">is de conclusie dat verdere differentiatie naar kenmerken van de overtreder bij het bepalen van de hoogte van de boete geen passende optie is. Dit betreft het betrekken van de bedrijfsomvang (aantal werknemers) of de omzet.  </w:t>
      </w:r>
    </w:p>
    <w:p w:rsidR="006D6AF8" w:rsidP="006D6AF8" w:rsidRDefault="006D6AF8" w14:paraId="492707EE" w14:textId="77777777">
      <w:pPr>
        <w:autoSpaceDN/>
        <w:spacing w:after="160" w:line="259" w:lineRule="auto"/>
        <w:textAlignment w:val="auto"/>
        <w:rPr>
          <w:rFonts w:eastAsia="Calibri" w:cs="Times New Roman"/>
          <w:color w:val="auto"/>
          <w:szCs w:val="22"/>
          <w:lang w:eastAsia="en-US"/>
        </w:rPr>
      </w:pPr>
      <w:r>
        <w:rPr>
          <w:rFonts w:eastAsia="Calibri" w:cs="Times New Roman"/>
          <w:color w:val="auto"/>
          <w:szCs w:val="22"/>
          <w:lang w:eastAsia="en-US"/>
        </w:rPr>
        <w:t xml:space="preserve">Het </w:t>
      </w:r>
      <w:r w:rsidRPr="00626C22">
        <w:rPr>
          <w:rFonts w:eastAsia="Calibri" w:cs="Times New Roman"/>
          <w:color w:val="auto"/>
          <w:szCs w:val="22"/>
          <w:lang w:eastAsia="en-US"/>
        </w:rPr>
        <w:t xml:space="preserve">boetebeleid van de </w:t>
      </w:r>
      <w:r>
        <w:rPr>
          <w:rFonts w:eastAsia="Calibri" w:cs="Times New Roman"/>
          <w:color w:val="auto"/>
          <w:szCs w:val="22"/>
          <w:lang w:eastAsia="en-US"/>
        </w:rPr>
        <w:t>Eerlijk Werk wetten</w:t>
      </w:r>
      <w:r w:rsidRPr="00626C22">
        <w:rPr>
          <w:rFonts w:eastAsia="Calibri" w:cs="Times New Roman"/>
          <w:color w:val="auto"/>
          <w:szCs w:val="22"/>
          <w:lang w:eastAsia="en-US"/>
        </w:rPr>
        <w:t xml:space="preserve"> </w:t>
      </w:r>
      <w:r>
        <w:rPr>
          <w:rFonts w:eastAsia="Calibri" w:cs="Times New Roman"/>
          <w:color w:val="auto"/>
          <w:szCs w:val="22"/>
          <w:lang w:eastAsia="en-US"/>
        </w:rPr>
        <w:t xml:space="preserve">kent </w:t>
      </w:r>
      <w:r w:rsidRPr="00626C22">
        <w:rPr>
          <w:rFonts w:eastAsia="Calibri" w:cs="Times New Roman"/>
          <w:color w:val="auto"/>
          <w:szCs w:val="22"/>
          <w:lang w:eastAsia="en-US"/>
        </w:rPr>
        <w:t>al veel differentiatiegronden</w:t>
      </w:r>
      <w:r>
        <w:rPr>
          <w:rFonts w:eastAsia="Calibri" w:cs="Times New Roman"/>
          <w:color w:val="auto"/>
          <w:szCs w:val="22"/>
          <w:lang w:eastAsia="en-US"/>
        </w:rPr>
        <w:t xml:space="preserve">, die onder meer zien op het type overtreder, type overtreding en gradaties van ernst en verwijtbaarheid. </w:t>
      </w:r>
      <w:r w:rsidRPr="00626C22">
        <w:rPr>
          <w:rFonts w:eastAsia="Calibri" w:cs="Times New Roman"/>
          <w:color w:val="auto"/>
          <w:szCs w:val="22"/>
          <w:lang w:eastAsia="en-US"/>
        </w:rPr>
        <w:t>Afgevraagd kan worden of extra differentiatie</w:t>
      </w:r>
      <w:r>
        <w:rPr>
          <w:rFonts w:eastAsia="Calibri" w:cs="Times New Roman"/>
          <w:color w:val="auto"/>
          <w:szCs w:val="22"/>
          <w:lang w:eastAsia="en-US"/>
        </w:rPr>
        <w:t xml:space="preserve"> naar bedrijfsomvang vanuit de inhoud bekeken nodig is. Anders dan bij de Arbowet en ATW is dit immers geen directe indicatie van het te beschermen belang. Daarnaast maakt differentiatie naar bedrijfsomvang of omzet het boetebeleid complexer,</w:t>
      </w:r>
      <w:r w:rsidRPr="00626C22">
        <w:rPr>
          <w:rFonts w:eastAsia="Calibri" w:cs="Times New Roman"/>
          <w:color w:val="auto"/>
          <w:szCs w:val="22"/>
          <w:lang w:eastAsia="en-US"/>
        </w:rPr>
        <w:t xml:space="preserve"> zowel voor werkgevers als de Arbeidsinspectie als toezichthouder. Zoals in het SEO-rapport is aangekaart, kan het leiden tot juridisering van het toezicht. Er bestaat een risico dat werkgevers de</w:t>
      </w:r>
      <w:r>
        <w:rPr>
          <w:rFonts w:eastAsia="Calibri" w:cs="Times New Roman"/>
          <w:color w:val="auto"/>
          <w:szCs w:val="22"/>
          <w:lang w:eastAsia="en-US"/>
        </w:rPr>
        <w:t>ze</w:t>
      </w:r>
      <w:r w:rsidRPr="00626C22">
        <w:rPr>
          <w:rFonts w:eastAsia="Calibri" w:cs="Times New Roman"/>
          <w:color w:val="auto"/>
          <w:szCs w:val="22"/>
          <w:lang w:eastAsia="en-US"/>
        </w:rPr>
        <w:t xml:space="preserve"> differentiatie zullen gebruiken om vaker bezwaar te maken over de juistheid van via de differentiatie opgelegde boetes. </w:t>
      </w:r>
      <w:r>
        <w:rPr>
          <w:rFonts w:eastAsia="Calibri" w:cs="Times New Roman"/>
          <w:color w:val="auto"/>
          <w:szCs w:val="22"/>
          <w:lang w:eastAsia="en-US"/>
        </w:rPr>
        <w:t>Bij</w:t>
      </w:r>
      <w:r w:rsidRPr="00626C22">
        <w:rPr>
          <w:rFonts w:eastAsia="Calibri" w:cs="Times New Roman"/>
          <w:color w:val="auto"/>
          <w:szCs w:val="22"/>
          <w:lang w:eastAsia="en-US"/>
        </w:rPr>
        <w:t xml:space="preserve"> een dergelijke aanpassing</w:t>
      </w:r>
      <w:r>
        <w:rPr>
          <w:rFonts w:eastAsia="Calibri" w:cs="Times New Roman"/>
          <w:color w:val="auto"/>
          <w:szCs w:val="22"/>
          <w:lang w:eastAsia="en-US"/>
        </w:rPr>
        <w:t xml:space="preserve"> speelt</w:t>
      </w:r>
      <w:r w:rsidRPr="00626C22">
        <w:rPr>
          <w:rFonts w:eastAsia="Calibri" w:cs="Times New Roman"/>
          <w:color w:val="auto"/>
          <w:szCs w:val="22"/>
          <w:lang w:eastAsia="en-US"/>
        </w:rPr>
        <w:t xml:space="preserve"> de uitvoerbaarheid een cruciale rol. De Arbeidsinspectie past immers de boetebeleidsregels toe in haar toezichts- en handhavingspraktijk. </w:t>
      </w:r>
      <w:r>
        <w:rPr>
          <w:rFonts w:eastAsia="Calibri" w:cs="Times New Roman"/>
          <w:color w:val="auto"/>
          <w:szCs w:val="22"/>
          <w:lang w:eastAsia="en-US"/>
        </w:rPr>
        <w:t xml:space="preserve">De Arbeidsinspectie heeft aangegeven dat de invoering van een omzetgerelateerde boete voor alle werkgevers of specifiek een kleinere groep werkgevers met een hoge omzet complex in de uitvoering is. Het maakt het toezicht complexer en tijdrovender, waar de Arbeidsinspectie streeft naar vereenvoudiging en versnelling. </w:t>
      </w:r>
      <w:r w:rsidRPr="00842EB9">
        <w:rPr>
          <w:rFonts w:eastAsia="Calibri" w:cs="Times New Roman"/>
          <w:color w:val="auto"/>
          <w:szCs w:val="22"/>
          <w:lang w:eastAsia="en-US"/>
        </w:rPr>
        <w:t>Omzet toevoegen aan de huidige differentiatie zou een nieuw element voor de Arbeidsinspectie bij de boeteoplegging zijn, dat leidt tot extra complexiteit. Ook betreft dit een element waarover nu geen uitgebreide expertise beschikbaar is bij de Arbeidsinspectie. Vanwege de variëteit aan mogelijke overtredende werkgevers (</w:t>
      </w:r>
      <w:r>
        <w:rPr>
          <w:rFonts w:eastAsia="Calibri" w:cs="Times New Roman"/>
          <w:color w:val="auto"/>
          <w:szCs w:val="22"/>
          <w:lang w:eastAsia="en-US"/>
        </w:rPr>
        <w:t xml:space="preserve">onder andere </w:t>
      </w:r>
      <w:r w:rsidRPr="00842EB9">
        <w:rPr>
          <w:rFonts w:eastAsia="Calibri" w:cs="Times New Roman"/>
          <w:color w:val="auto"/>
          <w:szCs w:val="22"/>
          <w:lang w:eastAsia="en-US"/>
        </w:rPr>
        <w:t>binnenlands/buitenlands, klein/groot, publiek/privaat) zullen precieze omzetcijfers moeilijk vast te stellen zijn door de toezichthouder.</w:t>
      </w:r>
      <w:r>
        <w:rPr>
          <w:rFonts w:eastAsia="Calibri" w:cs="Times New Roman"/>
          <w:color w:val="auto"/>
          <w:szCs w:val="22"/>
          <w:lang w:eastAsia="en-US"/>
        </w:rPr>
        <w:t xml:space="preserve"> Daarbij is de inschatting dat de voorgestelde boeteverhoging de afschrikkende werking substantieel versterkt en calculerend gedrag ontmoedigt. In dat kader wijs ik er ook dat de boeteverhoging ook doorwerkt bij de boetes voor opzettelijke en ernstigere overtredingen en de boetes voor recidivisten. Bovendien behoudt de Arbeidsinspectie op deze manier een groot bereik van haar toezicht en handhaving.     </w:t>
      </w:r>
    </w:p>
    <w:p w:rsidR="006D6AF8" w:rsidP="006D6AF8" w:rsidRDefault="006D6AF8" w14:paraId="79681A9C" w14:textId="77777777">
      <w:pPr>
        <w:autoSpaceDN/>
        <w:spacing w:after="160" w:line="259" w:lineRule="auto"/>
        <w:textAlignment w:val="auto"/>
        <w:rPr>
          <w:rFonts w:eastAsia="Calibri" w:cs="Times New Roman"/>
          <w:color w:val="auto"/>
          <w:szCs w:val="22"/>
          <w:lang w:eastAsia="en-US"/>
        </w:rPr>
      </w:pPr>
      <w:r>
        <w:rPr>
          <w:rFonts w:eastAsia="Calibri" w:cs="Times New Roman"/>
          <w:color w:val="auto"/>
          <w:szCs w:val="22"/>
          <w:lang w:eastAsia="en-US"/>
        </w:rPr>
        <w:lastRenderedPageBreak/>
        <w:t xml:space="preserve">Er wordt daarom geen boete afhankelijk van de bedrijfsomvang of omzetgerelateerde boete ingevoerd. In de afweging tussen enerzijds een proportioneel, evenredig en effectiever boetebeleid en anderzijds de gewenste vereenvoudiging van regelgeving en toezicht is ervoor gekozen om het laatste in dit geval zwaarder te wegen. Dit mede gezien de reeds bestaande mogelijkheden tot differentiatie en het eventueel risico op juridisering van het toezicht. </w:t>
      </w:r>
      <w:r w:rsidRPr="006D3E34">
        <w:rPr>
          <w:rFonts w:eastAsia="Calibri" w:cs="Times New Roman"/>
          <w:color w:val="auto"/>
          <w:szCs w:val="22"/>
          <w:lang w:eastAsia="en-US"/>
        </w:rPr>
        <w:t xml:space="preserve">Uiteraard blijft het kabinet alert op signalen van ondermijnend gedrag en blijft de Arbeidsinspectie optreden tegen werkgevers die (bewust) de arbeidswetten overtreden. </w:t>
      </w:r>
      <w:r>
        <w:rPr>
          <w:rFonts w:eastAsia="Calibri" w:cs="Times New Roman"/>
          <w:color w:val="auto"/>
          <w:szCs w:val="22"/>
          <w:lang w:eastAsia="en-US"/>
        </w:rPr>
        <w:t>Ook zal er in het kader van de wetswijziging een evaluatie plaatsvinden</w:t>
      </w:r>
      <w:r w:rsidRPr="006D3E34">
        <w:rPr>
          <w:rFonts w:eastAsia="Calibri" w:cs="Times New Roman"/>
          <w:color w:val="auto"/>
          <w:szCs w:val="22"/>
          <w:lang w:eastAsia="en-US"/>
        </w:rPr>
        <w:t xml:space="preserve"> op doelmatigheid en doeltreffendheid.</w:t>
      </w:r>
    </w:p>
    <w:p w:rsidRPr="00626C22" w:rsidR="006D6AF8" w:rsidP="006D6AF8" w:rsidRDefault="006D6AF8" w14:paraId="29D1DB1E" w14:textId="77777777">
      <w:pPr>
        <w:numPr>
          <w:ilvl w:val="0"/>
          <w:numId w:val="9"/>
        </w:numPr>
        <w:autoSpaceDN/>
        <w:spacing w:after="160" w:line="259" w:lineRule="auto"/>
        <w:contextualSpacing/>
        <w:textAlignment w:val="auto"/>
        <w:rPr>
          <w:rFonts w:eastAsia="Calibri" w:cs="Times New Roman"/>
          <w:b/>
          <w:bCs/>
          <w:color w:val="auto"/>
          <w:szCs w:val="22"/>
          <w:lang w:eastAsia="en-US"/>
        </w:rPr>
      </w:pPr>
      <w:r w:rsidRPr="00626C22">
        <w:rPr>
          <w:rFonts w:eastAsia="Calibri" w:cs="Times New Roman"/>
          <w:b/>
          <w:bCs/>
          <w:color w:val="auto"/>
          <w:szCs w:val="22"/>
          <w:lang w:eastAsia="en-US"/>
        </w:rPr>
        <w:t>Conclusie</w:t>
      </w:r>
    </w:p>
    <w:p w:rsidR="006D6AF8" w:rsidP="006D6AF8" w:rsidRDefault="006D6AF8" w14:paraId="72CFDEE5" w14:textId="77777777">
      <w:pPr>
        <w:pStyle w:val="WitregelW1bodytekst"/>
        <w:rPr>
          <w:lang w:eastAsia="en-US"/>
        </w:rPr>
      </w:pPr>
      <w:r>
        <w:t xml:space="preserve">Voor vijf </w:t>
      </w:r>
      <w:r>
        <w:rPr>
          <w:rFonts w:eastAsia="Calibri" w:cs="Times New Roman"/>
          <w:color w:val="auto"/>
          <w:szCs w:val="22"/>
          <w:lang w:eastAsia="en-US"/>
        </w:rPr>
        <w:t xml:space="preserve">Eerlijk, Gezond en Veilig Werk wetten (Wml, Wav, WagwEU, Arbowet en ATW) worden de boetenormbedragen per 1 juli 2027 met circa 21,7% verhoogd.  </w:t>
      </w:r>
      <w:r w:rsidRPr="00626C22">
        <w:rPr>
          <w:rFonts w:eastAsia="Calibri" w:cs="Times New Roman"/>
          <w:color w:val="auto"/>
          <w:szCs w:val="22"/>
          <w:lang w:eastAsia="en-US"/>
        </w:rPr>
        <w:t xml:space="preserve">Daarmee wordt de reële waarde van boetes, die is afgenomen door het jarenlang niet indexeren, deels hersteld. Daarnaast zal een </w:t>
      </w:r>
      <w:r>
        <w:rPr>
          <w:rFonts w:eastAsia="Calibri" w:cs="Times New Roman"/>
          <w:color w:val="auto"/>
          <w:szCs w:val="22"/>
          <w:lang w:eastAsia="en-US"/>
        </w:rPr>
        <w:t xml:space="preserve">wetsvoorstel worden ingediend om </w:t>
      </w:r>
      <w:r w:rsidRPr="00626C22">
        <w:rPr>
          <w:rFonts w:eastAsia="Calibri" w:cs="Times New Roman"/>
          <w:color w:val="auto"/>
          <w:szCs w:val="22"/>
          <w:lang w:eastAsia="en-US"/>
        </w:rPr>
        <w:t xml:space="preserve">de boetenormbedragen </w:t>
      </w:r>
      <w:r>
        <w:rPr>
          <w:rFonts w:eastAsia="Calibri" w:cs="Times New Roman"/>
          <w:color w:val="auto"/>
          <w:szCs w:val="22"/>
          <w:lang w:eastAsia="en-US"/>
        </w:rPr>
        <w:t xml:space="preserve">vanaf 1 januari 2028 </w:t>
      </w:r>
      <w:r w:rsidRPr="00626C22">
        <w:rPr>
          <w:rFonts w:eastAsia="Calibri" w:cs="Times New Roman"/>
          <w:color w:val="auto"/>
          <w:szCs w:val="22"/>
          <w:lang w:eastAsia="en-US"/>
        </w:rPr>
        <w:t xml:space="preserve">jaarlijks </w:t>
      </w:r>
      <w:r>
        <w:rPr>
          <w:rFonts w:eastAsia="Calibri" w:cs="Times New Roman"/>
          <w:color w:val="auto"/>
          <w:szCs w:val="22"/>
          <w:lang w:eastAsia="en-US"/>
        </w:rPr>
        <w:t>te indexeren voor alle arbeidswetten</w:t>
      </w:r>
      <w:r w:rsidRPr="00626C22">
        <w:rPr>
          <w:rFonts w:eastAsia="Calibri" w:cs="Times New Roman"/>
          <w:color w:val="auto"/>
          <w:szCs w:val="22"/>
          <w:lang w:eastAsia="en-US"/>
        </w:rPr>
        <w:t>.</w:t>
      </w:r>
      <w:r>
        <w:rPr>
          <w:lang w:eastAsia="en-US"/>
        </w:rPr>
        <w:t xml:space="preserve"> Voor de Eerlijk Werk wetten is de conclusie dat de invoering van een omzetgerelateerde boete  bovenop de bestaande differentiatie in het boetebeleid tot complexiteit leidt en te veel vraagt van de uitvoering. </w:t>
      </w:r>
    </w:p>
    <w:p w:rsidR="006D6AF8" w:rsidP="006D6AF8" w:rsidRDefault="006D6AF8" w14:paraId="2BA6DE98" w14:textId="77777777">
      <w:pPr>
        <w:rPr>
          <w:lang w:eastAsia="en-US"/>
        </w:rPr>
      </w:pPr>
    </w:p>
    <w:p w:rsidR="006D6AF8" w:rsidP="006D6AF8" w:rsidRDefault="006D6AF8" w14:paraId="3BB63A2C" w14:textId="77777777">
      <w:pPr>
        <w:rPr>
          <w:lang w:eastAsia="en-US"/>
        </w:rPr>
      </w:pPr>
      <w:r>
        <w:rPr>
          <w:lang w:eastAsia="en-US"/>
        </w:rPr>
        <w:t xml:space="preserve">Toezicht en </w:t>
      </w:r>
      <w:r w:rsidRPr="00B9288E">
        <w:rPr>
          <w:lang w:eastAsia="en-US"/>
        </w:rPr>
        <w:t>handhaving is</w:t>
      </w:r>
      <w:r>
        <w:rPr>
          <w:lang w:eastAsia="en-US"/>
        </w:rPr>
        <w:t xml:space="preserve"> het sluitstuk,</w:t>
      </w:r>
      <w:r w:rsidRPr="00B9288E">
        <w:rPr>
          <w:lang w:eastAsia="en-US"/>
        </w:rPr>
        <w:t xml:space="preserve"> </w:t>
      </w:r>
      <w:r>
        <w:rPr>
          <w:lang w:eastAsia="en-US"/>
        </w:rPr>
        <w:t>bedrijven dienen zich te houden aan de geldende wet- en regelgeving. Het kabinet wil benadrukken dat werkgevers</w:t>
      </w:r>
      <w:r w:rsidRPr="00B9288E">
        <w:rPr>
          <w:lang w:eastAsia="en-US"/>
        </w:rPr>
        <w:t xml:space="preserve">, inlenende én uitlenende bedrijven, de verantwoordelijkheid die zij hebben voor goed werkgeverschap ook </w:t>
      </w:r>
      <w:r>
        <w:rPr>
          <w:lang w:eastAsia="en-US"/>
        </w:rPr>
        <w:t xml:space="preserve">moeten </w:t>
      </w:r>
      <w:r w:rsidRPr="00B9288E">
        <w:rPr>
          <w:lang w:eastAsia="en-US"/>
        </w:rPr>
        <w:t>nemen op de dagen dat de Arbeidsinspectie niet langskomt.</w:t>
      </w:r>
    </w:p>
    <w:p w:rsidR="006D6AF8" w:rsidP="006D6AF8" w:rsidRDefault="006D6AF8" w14:paraId="58E2725D" w14:textId="77777777">
      <w:pPr>
        <w:rPr>
          <w:lang w:eastAsia="en-US"/>
        </w:rPr>
      </w:pPr>
    </w:p>
    <w:p w:rsidRPr="007F5D15" w:rsidR="006D6AF8" w:rsidP="006D6AF8" w:rsidRDefault="006D6AF8" w14:paraId="024A4576" w14:textId="77777777">
      <w:pPr>
        <w:rPr>
          <w:lang w:eastAsia="en-US"/>
        </w:rPr>
      </w:pPr>
    </w:p>
    <w:p w:rsidR="006D6AF8" w:rsidP="006D6AF8" w:rsidRDefault="006D6AF8" w14:paraId="76577404" w14:textId="77777777"/>
    <w:p w:rsidR="006D6AF8" w:rsidP="006D6AF8" w:rsidRDefault="006D6AF8" w14:paraId="140AA77B" w14:textId="77777777">
      <w:pPr>
        <w:pStyle w:val="WitregelW1bodytekst"/>
      </w:pPr>
    </w:p>
    <w:p w:rsidR="006D6AF8" w:rsidP="006D6AF8" w:rsidRDefault="006D6AF8" w14:paraId="77C7E4FC" w14:textId="77777777">
      <w:r>
        <w:t>De Minister van Sociale Zaken            De Minister van Werk                              en Werkgelegenheid,                         en Participatie,</w:t>
      </w:r>
    </w:p>
    <w:p w:rsidR="006D6AF8" w:rsidP="006D6AF8" w:rsidRDefault="006D6AF8" w14:paraId="4AA88671" w14:textId="77777777"/>
    <w:p w:rsidR="006D6AF8" w:rsidP="006D6AF8" w:rsidRDefault="006D6AF8" w14:paraId="3E3A704C" w14:textId="77777777"/>
    <w:p w:rsidR="006D6AF8" w:rsidP="006D6AF8" w:rsidRDefault="006D6AF8" w14:paraId="62F2E5E1" w14:textId="77777777"/>
    <w:p w:rsidR="006D6AF8" w:rsidP="006D6AF8" w:rsidRDefault="006D6AF8" w14:paraId="1B69D383" w14:textId="77777777"/>
    <w:p w:rsidR="006D6AF8" w:rsidP="006D6AF8" w:rsidRDefault="006D6AF8" w14:paraId="45E41C36" w14:textId="77777777"/>
    <w:p w:rsidR="006D6AF8" w:rsidP="006D6AF8" w:rsidRDefault="006D6AF8" w14:paraId="5B1B125E" w14:textId="77777777">
      <w:r>
        <w:t>J.A. Vijlbrief                                      A.A. Aartsen</w:t>
      </w:r>
    </w:p>
    <w:p w:rsidR="00B901ED" w:rsidRDefault="00B901ED" w14:paraId="389C7651" w14:textId="77777777"/>
    <w:sectPr w:rsidR="00B901ED">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434E" w14:textId="77777777" w:rsidR="007F5D15" w:rsidRDefault="007F5D15">
      <w:pPr>
        <w:spacing w:line="240" w:lineRule="auto"/>
      </w:pPr>
      <w:r>
        <w:separator/>
      </w:r>
    </w:p>
  </w:endnote>
  <w:endnote w:type="continuationSeparator" w:id="0">
    <w:p w14:paraId="69CF09A8" w14:textId="77777777" w:rsidR="007F5D15" w:rsidRDefault="007F5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5F62" w14:textId="77777777" w:rsidR="000C47E7" w:rsidRDefault="000C47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F134C" w14:textId="77777777" w:rsidR="000C47E7" w:rsidRDefault="000C47E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82B19" w14:textId="77777777" w:rsidR="000C47E7" w:rsidRDefault="000C47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BAA1" w14:textId="77777777" w:rsidR="007F5D15" w:rsidRDefault="007F5D15">
      <w:pPr>
        <w:spacing w:line="240" w:lineRule="auto"/>
      </w:pPr>
      <w:r>
        <w:separator/>
      </w:r>
    </w:p>
  </w:footnote>
  <w:footnote w:type="continuationSeparator" w:id="0">
    <w:p w14:paraId="5694A696" w14:textId="77777777" w:rsidR="007F5D15" w:rsidRDefault="007F5D15">
      <w:pPr>
        <w:spacing w:line="240" w:lineRule="auto"/>
      </w:pPr>
      <w:r>
        <w:continuationSeparator/>
      </w:r>
    </w:p>
  </w:footnote>
  <w:footnote w:id="1">
    <w:p w14:paraId="447500AD" w14:textId="77777777" w:rsidR="006D6AF8" w:rsidRPr="00626C22" w:rsidRDefault="006D6AF8" w:rsidP="006D6AF8">
      <w:pPr>
        <w:pStyle w:val="Voetnoottekst1"/>
        <w:rPr>
          <w:rFonts w:ascii="Calibri" w:hAnsi="Calibri"/>
          <w:sz w:val="16"/>
          <w:szCs w:val="16"/>
        </w:rPr>
      </w:pPr>
      <w:r w:rsidRPr="009906DE">
        <w:rPr>
          <w:rStyle w:val="Voetnootmarkering"/>
          <w:sz w:val="16"/>
          <w:szCs w:val="16"/>
        </w:rPr>
        <w:footnoteRef/>
      </w:r>
      <w:r w:rsidRPr="00044B49" w:rsidDel="0021625A">
        <w:rPr>
          <w:sz w:val="16"/>
          <w:szCs w:val="16"/>
        </w:rPr>
        <w:t xml:space="preserve"> </w:t>
      </w:r>
      <w:hyperlink r:id="rId1" w:history="1">
        <w:r w:rsidRPr="0021625A">
          <w:rPr>
            <w:rStyle w:val="Hyperlink"/>
            <w:sz w:val="16"/>
            <w:szCs w:val="16"/>
          </w:rPr>
          <w:t>SEO 2025, Hard waar het moet, zacht waar het kan</w:t>
        </w:r>
      </w:hyperlink>
      <w:r>
        <w:rPr>
          <w:sz w:val="16"/>
          <w:szCs w:val="16"/>
        </w:rPr>
        <w:t>.</w:t>
      </w:r>
    </w:p>
  </w:footnote>
  <w:footnote w:id="2">
    <w:p w14:paraId="57A7D91E" w14:textId="77777777" w:rsidR="006D6AF8" w:rsidRPr="006A573D" w:rsidRDefault="006D6AF8" w:rsidP="006D6AF8">
      <w:pPr>
        <w:pStyle w:val="Voetnoottekst"/>
        <w:rPr>
          <w:sz w:val="16"/>
          <w:szCs w:val="16"/>
        </w:rPr>
      </w:pPr>
      <w:r w:rsidRPr="006A573D">
        <w:rPr>
          <w:rStyle w:val="Voetnootmarkering"/>
          <w:sz w:val="16"/>
          <w:szCs w:val="16"/>
        </w:rPr>
        <w:footnoteRef/>
      </w:r>
      <w:r w:rsidRPr="006A573D">
        <w:rPr>
          <w:sz w:val="16"/>
          <w:szCs w:val="16"/>
        </w:rPr>
        <w:t xml:space="preserve"> Kamerstukken II, 36600 XV, nr. 114</w:t>
      </w:r>
      <w:r>
        <w:rPr>
          <w:sz w:val="16"/>
          <w:szCs w:val="16"/>
        </w:rPr>
        <w:t>.</w:t>
      </w:r>
    </w:p>
  </w:footnote>
  <w:footnote w:id="3">
    <w:p w14:paraId="5D413FCB" w14:textId="77777777" w:rsidR="006D6AF8" w:rsidRPr="006A573D" w:rsidRDefault="006D6AF8" w:rsidP="006D6AF8">
      <w:pPr>
        <w:pStyle w:val="Voetnoottekst"/>
        <w:rPr>
          <w:sz w:val="16"/>
          <w:szCs w:val="16"/>
        </w:rPr>
      </w:pPr>
      <w:r w:rsidRPr="006A573D">
        <w:rPr>
          <w:rStyle w:val="Voetnootmarkering"/>
          <w:sz w:val="16"/>
          <w:szCs w:val="16"/>
        </w:rPr>
        <w:footnoteRef/>
      </w:r>
      <w:r w:rsidRPr="006A573D">
        <w:rPr>
          <w:sz w:val="16"/>
          <w:szCs w:val="16"/>
        </w:rPr>
        <w:t xml:space="preserve"> Kamerstukken II, 29861, nr. 187</w:t>
      </w:r>
      <w:r>
        <w:rPr>
          <w:sz w:val="16"/>
          <w:szCs w:val="16"/>
        </w:rPr>
        <w:t>.</w:t>
      </w:r>
    </w:p>
  </w:footnote>
  <w:footnote w:id="4">
    <w:p w14:paraId="2B393E2B" w14:textId="77777777" w:rsidR="006D6AF8" w:rsidRDefault="006D6AF8" w:rsidP="006D6AF8">
      <w:pPr>
        <w:pStyle w:val="Voetnoottekst"/>
      </w:pPr>
      <w:r>
        <w:rPr>
          <w:rStyle w:val="Voetnootmarkering"/>
        </w:rPr>
        <w:footnoteRef/>
      </w:r>
      <w:r>
        <w:t xml:space="preserve"> </w:t>
      </w:r>
      <w:r w:rsidRPr="00CB65F3" w:rsidDel="00A1556C">
        <w:rPr>
          <w:rFonts w:eastAsia="Calibri" w:cs="Times New Roman"/>
          <w:color w:val="auto"/>
          <w:sz w:val="16"/>
          <w:szCs w:val="16"/>
          <w:lang w:eastAsia="en-US"/>
        </w:rPr>
        <w:t>Onder de Eerlijk, Gezond en Veilig Werk wetten vallen de volgende zes wetten: De Wet minimumloon en minimumvakantiebijslag (Wml), de Wet arbeid vreemdelingen (Wav), de Wet allocatie arbeidskrachten door intermediairs (Waadi), de Wet arbeidsvoorwaarden gedetacheerde werknemers in de Europese Unie (WagwEU), de Arbeidsomstandighedenwet (Arbowet) en de Arbeidstijdenwet (ATW).</w:t>
      </w:r>
    </w:p>
  </w:footnote>
  <w:footnote w:id="5">
    <w:p w14:paraId="4E12AEEB" w14:textId="77777777" w:rsidR="006D6AF8" w:rsidRPr="008E6B58" w:rsidRDefault="006D6AF8" w:rsidP="006D6AF8">
      <w:pPr>
        <w:pStyle w:val="Voetnoottekst"/>
        <w:rPr>
          <w:sz w:val="16"/>
          <w:szCs w:val="16"/>
        </w:rPr>
      </w:pPr>
      <w:r w:rsidRPr="008E6B58">
        <w:rPr>
          <w:rStyle w:val="Voetnootmarkering"/>
          <w:sz w:val="16"/>
          <w:szCs w:val="16"/>
        </w:rPr>
        <w:footnoteRef/>
      </w:r>
      <w:r w:rsidRPr="008E6B58">
        <w:rPr>
          <w:sz w:val="16"/>
          <w:szCs w:val="16"/>
        </w:rPr>
        <w:t xml:space="preserve"> </w:t>
      </w:r>
      <w:hyperlink r:id="rId2" w:history="1">
        <w:r w:rsidRPr="008E6B58">
          <w:rPr>
            <w:rStyle w:val="Hyperlink"/>
            <w:sz w:val="16"/>
            <w:szCs w:val="16"/>
          </w:rPr>
          <w:t>Arbeidsmigratie naar waarde - Minder waar het kan, beter waar het moet</w:t>
        </w:r>
      </w:hyperlink>
    </w:p>
  </w:footnote>
  <w:footnote w:id="6">
    <w:p w14:paraId="3DCD4929" w14:textId="77777777" w:rsidR="006D6AF8" w:rsidRPr="007C0247" w:rsidRDefault="006D6AF8" w:rsidP="006D6AF8">
      <w:pPr>
        <w:pStyle w:val="Voetnoottekst"/>
        <w:rPr>
          <w:sz w:val="16"/>
          <w:szCs w:val="16"/>
        </w:rPr>
      </w:pPr>
      <w:r w:rsidRPr="007C0247">
        <w:rPr>
          <w:rStyle w:val="Voetnootmarkering"/>
          <w:sz w:val="16"/>
          <w:szCs w:val="16"/>
        </w:rPr>
        <w:footnoteRef/>
      </w:r>
      <w:r w:rsidRPr="007C0247">
        <w:rPr>
          <w:sz w:val="16"/>
          <w:szCs w:val="16"/>
        </w:rPr>
        <w:t xml:space="preserve"> De cijfers zijn gebaseerd op </w:t>
      </w:r>
      <w:r>
        <w:rPr>
          <w:sz w:val="16"/>
          <w:szCs w:val="16"/>
        </w:rPr>
        <w:t>de tabelcorrectiefactor van de jaren 2023-2026</w:t>
      </w:r>
      <w:r w:rsidRPr="007C0247">
        <w:rPr>
          <w:sz w:val="16"/>
          <w:szCs w:val="16"/>
        </w:rPr>
        <w:t xml:space="preserve"> van het CBS.</w:t>
      </w:r>
    </w:p>
  </w:footnote>
  <w:footnote w:id="7">
    <w:p w14:paraId="077C70EE" w14:textId="77777777" w:rsidR="006D6AF8" w:rsidRPr="00627247" w:rsidRDefault="006D6AF8" w:rsidP="006D6AF8">
      <w:pPr>
        <w:pStyle w:val="Voetnoottekst"/>
      </w:pPr>
      <w:r>
        <w:rPr>
          <w:rStyle w:val="Voetnootmarkering"/>
        </w:rPr>
        <w:footnoteRef/>
      </w:r>
      <w:r w:rsidRPr="00627247">
        <w:t xml:space="preserve"> </w:t>
      </w:r>
      <w:r w:rsidRPr="00650DE5">
        <w:rPr>
          <w:sz w:val="16"/>
          <w:szCs w:val="16"/>
        </w:rPr>
        <w:t>Ter illustratie: bedrijven of instellingen met minder dan 5 werknemers betalen 10 procent van de boetehoogte, bedrijven of instellingen met 500 werknemers of meer betalen 100 procent van de boetehoogte.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5C1" w14:textId="77777777" w:rsidR="000C47E7" w:rsidRDefault="000C47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3FAB" w14:textId="77777777" w:rsidR="00B901ED" w:rsidRDefault="007F5D15">
    <w:r>
      <w:rPr>
        <w:noProof/>
      </w:rPr>
      <mc:AlternateContent>
        <mc:Choice Requires="wps">
          <w:drawing>
            <wp:anchor distT="0" distB="0" distL="0" distR="0" simplePos="0" relativeHeight="251654144" behindDoc="0" locked="1" layoutInCell="1" allowOverlap="1" wp14:anchorId="01B844CF" wp14:editId="01B844D0">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6AA80B60" w14:textId="77777777" w:rsidR="00B901ED" w:rsidRDefault="00B901ED">
                          <w:pPr>
                            <w:pStyle w:val="WitregelW2"/>
                          </w:pPr>
                        </w:p>
                        <w:p w14:paraId="4BC955A4" w14:textId="77777777" w:rsidR="00B901ED" w:rsidRDefault="007F5D15">
                          <w:pPr>
                            <w:pStyle w:val="Referentiegegevenskopjes"/>
                          </w:pPr>
                          <w:r>
                            <w:t>Datum</w:t>
                          </w:r>
                        </w:p>
                        <w:p w14:paraId="05E74069" w14:textId="38C34E80" w:rsidR="0060184C" w:rsidRDefault="000C47E7">
                          <w:pPr>
                            <w:pStyle w:val="Referentiegegevens"/>
                          </w:pPr>
                          <w:r>
                            <w:t>6 november 2026</w:t>
                          </w:r>
                          <w:r>
                            <w:fldChar w:fldCharType="begin"/>
                          </w:r>
                          <w:r>
                            <w:instrText xml:space="preserve"> DOCPROPERTY  "iDatum"  \* MERGEFORMAT </w:instrText>
                          </w:r>
                          <w:r>
                            <w:fldChar w:fldCharType="end"/>
                          </w:r>
                        </w:p>
                        <w:p w14:paraId="139EA8BB" w14:textId="77777777" w:rsidR="00B901ED" w:rsidRDefault="00B901ED">
                          <w:pPr>
                            <w:pStyle w:val="WitregelW1"/>
                          </w:pPr>
                        </w:p>
                        <w:p w14:paraId="48BBC455" w14:textId="77777777" w:rsidR="00B901ED" w:rsidRDefault="007F5D15">
                          <w:pPr>
                            <w:pStyle w:val="Referentiegegevenskopjes"/>
                          </w:pPr>
                          <w:r>
                            <w:t>Onze referentie</w:t>
                          </w:r>
                        </w:p>
                        <w:p w14:paraId="6667C5C5" w14:textId="28A1DAE3" w:rsidR="0060184C" w:rsidRDefault="000C47E7">
                          <w:pPr>
                            <w:pStyle w:val="ReferentiegegevensHL"/>
                          </w:pPr>
                          <w:r>
                            <w:fldChar w:fldCharType="begin"/>
                          </w:r>
                          <w:r>
                            <w:instrText xml:space="preserve"> DOCPROPERTY  "iOnsKenmerk"  \* MERGEFORMAT </w:instrText>
                          </w:r>
                          <w:r>
                            <w:fldChar w:fldCharType="separate"/>
                          </w:r>
                          <w:r>
                            <w:t>2026-0000313897</w:t>
                          </w:r>
                          <w:r>
                            <w:fldChar w:fldCharType="end"/>
                          </w:r>
                        </w:p>
                      </w:txbxContent>
                    </wps:txbx>
                    <wps:bodyPr vert="horz" wrap="square" lIns="0" tIns="0" rIns="0" bIns="0" anchor="t" anchorCtr="0"/>
                  </wps:wsp>
                </a:graphicData>
              </a:graphic>
            </wp:anchor>
          </w:drawing>
        </mc:Choice>
        <mc:Fallback>
          <w:pict>
            <v:shapetype w14:anchorId="01B844CF"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6AA80B60" w14:textId="77777777" w:rsidR="00B901ED" w:rsidRDefault="00B901ED">
                    <w:pPr>
                      <w:pStyle w:val="WitregelW2"/>
                    </w:pPr>
                  </w:p>
                  <w:p w14:paraId="4BC955A4" w14:textId="77777777" w:rsidR="00B901ED" w:rsidRDefault="007F5D15">
                    <w:pPr>
                      <w:pStyle w:val="Referentiegegevenskopjes"/>
                    </w:pPr>
                    <w:r>
                      <w:t>Datum</w:t>
                    </w:r>
                  </w:p>
                  <w:p w14:paraId="05E74069" w14:textId="38C34E80" w:rsidR="0060184C" w:rsidRDefault="000C47E7">
                    <w:pPr>
                      <w:pStyle w:val="Referentiegegevens"/>
                    </w:pPr>
                    <w:r>
                      <w:t>6 november 2026</w:t>
                    </w:r>
                    <w:r>
                      <w:fldChar w:fldCharType="begin"/>
                    </w:r>
                    <w:r>
                      <w:instrText xml:space="preserve"> DOCPROPERTY  "iDatum"  \* MERGEFORMAT </w:instrText>
                    </w:r>
                    <w:r>
                      <w:fldChar w:fldCharType="end"/>
                    </w:r>
                  </w:p>
                  <w:p w14:paraId="139EA8BB" w14:textId="77777777" w:rsidR="00B901ED" w:rsidRDefault="00B901ED">
                    <w:pPr>
                      <w:pStyle w:val="WitregelW1"/>
                    </w:pPr>
                  </w:p>
                  <w:p w14:paraId="48BBC455" w14:textId="77777777" w:rsidR="00B901ED" w:rsidRDefault="007F5D15">
                    <w:pPr>
                      <w:pStyle w:val="Referentiegegevenskopjes"/>
                    </w:pPr>
                    <w:r>
                      <w:t>Onze referentie</w:t>
                    </w:r>
                  </w:p>
                  <w:p w14:paraId="6667C5C5" w14:textId="28A1DAE3" w:rsidR="0060184C" w:rsidRDefault="000C47E7">
                    <w:pPr>
                      <w:pStyle w:val="ReferentiegegevensHL"/>
                    </w:pPr>
                    <w:r>
                      <w:fldChar w:fldCharType="begin"/>
                    </w:r>
                    <w:r>
                      <w:instrText xml:space="preserve"> DOCPROPERTY  "iOnsKenmerk"  \* MERGEFORMAT </w:instrText>
                    </w:r>
                    <w:r>
                      <w:fldChar w:fldCharType="separate"/>
                    </w:r>
                    <w:r>
                      <w:t>2026-0000313897</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1B844D1" wp14:editId="01B844D2">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71D428F" w14:textId="77777777" w:rsidR="0060184C" w:rsidRDefault="000C47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1B844D1"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71D428F" w14:textId="77777777" w:rsidR="0060184C" w:rsidRDefault="000C47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8C3E" w14:textId="77777777" w:rsidR="00B901ED" w:rsidRDefault="007F5D15">
    <w:pPr>
      <w:spacing w:after="7029" w:line="14" w:lineRule="exact"/>
    </w:pPr>
    <w:r>
      <w:rPr>
        <w:noProof/>
      </w:rPr>
      <mc:AlternateContent>
        <mc:Choice Requires="wps">
          <w:drawing>
            <wp:anchor distT="0" distB="0" distL="0" distR="0" simplePos="0" relativeHeight="251656192" behindDoc="0" locked="1" layoutInCell="1" allowOverlap="1" wp14:anchorId="01B844D3" wp14:editId="01B844D4">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B295090" w14:textId="77777777" w:rsidR="00B901ED" w:rsidRDefault="007F5D15">
                          <w:pPr>
                            <w:spacing w:line="240" w:lineRule="auto"/>
                          </w:pPr>
                          <w:r>
                            <w:rPr>
                              <w:noProof/>
                            </w:rPr>
                            <w:drawing>
                              <wp:inline distT="0" distB="0" distL="0" distR="0" wp14:anchorId="60063DB7" wp14:editId="6A7A76E3">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"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id="bd4a8ef7-03a6-11ee-8f29-0242ac130005" o:spid="_x0000_s1028" stroked="f" filled="f">
              <v:textbox inset="0,0,0,0">
                <w:txbxContent>
                  <w:p w:rsidR="00B901ED" w:rsidRDefault="007F5D15" w14:paraId="01B844DF" w14:textId="77777777">
                    <w:pPr>
                      <w:spacing w:line="240" w:lineRule="auto"/>
                    </w:pPr>
                    <w:r>
                      <w:rPr>
                        <w:noProof/>
                      </w:rPr>
                      <w:drawing>
                        <wp:inline distT="0" distB="0" distL="0" distR="0">
                          <wp:extent cx="2339975" cy="1582834"/>
                          <wp:effectExtent l="0" t="0" r="0" b="0"/>
                          <wp:docPr id="4" name="Woordmerk" descr="MInisterie van Sociale Zaken en Werkgelegenheid"/>
                          <wp:cNvGraphicFramePr/>
                          <a:graphic>
                            <a:graphicData uri="http://schemas.openxmlformats.org/drawingml/2006/picture">
                              <pic:pic>
                                <pic:nvPicPr>
                                  <pic:cNvPr id="4" name="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1B844D5" wp14:editId="01B844D6">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6E9CA05" w14:textId="77777777" w:rsidR="00B901ED" w:rsidRDefault="00B901ED">
                          <w:pPr>
                            <w:pStyle w:val="WitregelW1"/>
                          </w:pPr>
                        </w:p>
                        <w:p w14:paraId="41F80193" w14:textId="77777777" w:rsidR="00B901ED" w:rsidRDefault="007F5D15">
                          <w:pPr>
                            <w:pStyle w:val="Afzendgegevens"/>
                          </w:pPr>
                          <w:r>
                            <w:t>Postbus 90801</w:t>
                          </w:r>
                        </w:p>
                        <w:p w14:paraId="6261437C" w14:textId="77777777" w:rsidR="00B901ED" w:rsidRDefault="007F5D15">
                          <w:pPr>
                            <w:pStyle w:val="Afzendgegevens"/>
                          </w:pPr>
                          <w:r>
                            <w:t>2509 LV  Den Haag</w:t>
                          </w:r>
                        </w:p>
                        <w:p w14:paraId="4866D924" w14:textId="77777777" w:rsidR="00B901ED" w:rsidRDefault="007F5D15">
                          <w:pPr>
                            <w:pStyle w:val="Afzendgegevens"/>
                          </w:pPr>
                          <w:r>
                            <w:t>T   070 333 44 44</w:t>
                          </w:r>
                        </w:p>
                        <w:p w14:paraId="2CA525E7" w14:textId="77777777" w:rsidR="00B901ED" w:rsidRDefault="00B901ED">
                          <w:pPr>
                            <w:pStyle w:val="WitregelW2"/>
                          </w:pPr>
                        </w:p>
                        <w:p w14:paraId="56ABD101" w14:textId="77777777" w:rsidR="00B901ED" w:rsidRDefault="007F5D15">
                          <w:pPr>
                            <w:pStyle w:val="Referentiegegevenskopjes"/>
                          </w:pPr>
                          <w:r>
                            <w:t>Onze referentie</w:t>
                          </w:r>
                        </w:p>
                        <w:p w14:paraId="187DF526" w14:textId="76D50326" w:rsidR="0060184C" w:rsidRDefault="000C47E7">
                          <w:pPr>
                            <w:pStyle w:val="ReferentiegegevensHL"/>
                          </w:pPr>
                          <w:r>
                            <w:fldChar w:fldCharType="begin"/>
                          </w:r>
                          <w:r>
                            <w:instrText xml:space="preserve"> DOCPROPERTY  "iOnsKenmerk"  \* MERGEFORMAT </w:instrText>
                          </w:r>
                          <w:r>
                            <w:fldChar w:fldCharType="separate"/>
                          </w:r>
                          <w:r>
                            <w:t>2026-0000313897</w:t>
                          </w:r>
                          <w:r>
                            <w:fldChar w:fldCharType="end"/>
                          </w:r>
                        </w:p>
                        <w:p w14:paraId="333267DB" w14:textId="77777777" w:rsidR="00B901ED" w:rsidRDefault="00B901ED">
                          <w:pPr>
                            <w:pStyle w:val="WitregelW1"/>
                          </w:pPr>
                        </w:p>
                        <w:p w14:paraId="2FC7071D" w14:textId="03A07027" w:rsidR="0060184C" w:rsidRDefault="000C47E7">
                          <w:pPr>
                            <w:pStyle w:val="Referentiegegevens"/>
                          </w:pPr>
                          <w:r>
                            <w:fldChar w:fldCharType="begin"/>
                          </w:r>
                          <w:r>
                            <w:instrText xml:space="preserve"> DOCPROPERTY  "iCC"  \* MERGEFORMAT </w:instrText>
                          </w:r>
                          <w:r>
                            <w:fldChar w:fldCharType="end"/>
                          </w:r>
                        </w:p>
                        <w:p w14:paraId="0168B31D" w14:textId="77777777" w:rsidR="00B901ED" w:rsidRDefault="00B901ED">
                          <w:pPr>
                            <w:pStyle w:val="WitregelW1"/>
                          </w:pPr>
                        </w:p>
                        <w:p w14:paraId="28AC0F44" w14:textId="0B6E6EAA" w:rsidR="0060184C" w:rsidRDefault="000C47E7">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type w14:anchorId="01B844D5" id="_x0000_t202" coordsize="21600,21600" o:spt="202" path="m,l,21600r21600,l21600,xe">
              <v:stroke joinstyle="miter"/>
              <v:path gradientshapeok="t" o:connecttype="rect"/>
            </v:shapetype>
            <v:shape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6E9CA05" w14:textId="77777777" w:rsidR="00B901ED" w:rsidRDefault="00B901ED">
                    <w:pPr>
                      <w:pStyle w:val="WitregelW1"/>
                    </w:pPr>
                  </w:p>
                  <w:p w14:paraId="41F80193" w14:textId="77777777" w:rsidR="00B901ED" w:rsidRDefault="007F5D15">
                    <w:pPr>
                      <w:pStyle w:val="Afzendgegevens"/>
                    </w:pPr>
                    <w:r>
                      <w:t>Postbus 90801</w:t>
                    </w:r>
                  </w:p>
                  <w:p w14:paraId="6261437C" w14:textId="77777777" w:rsidR="00B901ED" w:rsidRDefault="007F5D15">
                    <w:pPr>
                      <w:pStyle w:val="Afzendgegevens"/>
                    </w:pPr>
                    <w:r>
                      <w:t>2509 LV  Den Haag</w:t>
                    </w:r>
                  </w:p>
                  <w:p w14:paraId="4866D924" w14:textId="77777777" w:rsidR="00B901ED" w:rsidRDefault="007F5D15">
                    <w:pPr>
                      <w:pStyle w:val="Afzendgegevens"/>
                    </w:pPr>
                    <w:r>
                      <w:t>T   070 333 44 44</w:t>
                    </w:r>
                  </w:p>
                  <w:p w14:paraId="2CA525E7" w14:textId="77777777" w:rsidR="00B901ED" w:rsidRDefault="00B901ED">
                    <w:pPr>
                      <w:pStyle w:val="WitregelW2"/>
                    </w:pPr>
                  </w:p>
                  <w:p w14:paraId="56ABD101" w14:textId="77777777" w:rsidR="00B901ED" w:rsidRDefault="007F5D15">
                    <w:pPr>
                      <w:pStyle w:val="Referentiegegevenskopjes"/>
                    </w:pPr>
                    <w:r>
                      <w:t>Onze referentie</w:t>
                    </w:r>
                  </w:p>
                  <w:p w14:paraId="187DF526" w14:textId="76D50326" w:rsidR="0060184C" w:rsidRDefault="000C47E7">
                    <w:pPr>
                      <w:pStyle w:val="ReferentiegegevensHL"/>
                    </w:pPr>
                    <w:r>
                      <w:fldChar w:fldCharType="begin"/>
                    </w:r>
                    <w:r>
                      <w:instrText xml:space="preserve"> DOCPROPERTY  "iOnsKenmerk"  \* MERGEFORMAT </w:instrText>
                    </w:r>
                    <w:r>
                      <w:fldChar w:fldCharType="separate"/>
                    </w:r>
                    <w:r>
                      <w:t>2026-0000313897</w:t>
                    </w:r>
                    <w:r>
                      <w:fldChar w:fldCharType="end"/>
                    </w:r>
                  </w:p>
                  <w:p w14:paraId="333267DB" w14:textId="77777777" w:rsidR="00B901ED" w:rsidRDefault="00B901ED">
                    <w:pPr>
                      <w:pStyle w:val="WitregelW1"/>
                    </w:pPr>
                  </w:p>
                  <w:p w14:paraId="2FC7071D" w14:textId="03A07027" w:rsidR="0060184C" w:rsidRDefault="000C47E7">
                    <w:pPr>
                      <w:pStyle w:val="Referentiegegevens"/>
                    </w:pPr>
                    <w:r>
                      <w:fldChar w:fldCharType="begin"/>
                    </w:r>
                    <w:r>
                      <w:instrText xml:space="preserve"> DOCPROPERTY  "iCC"  \* MERGEFORMAT </w:instrText>
                    </w:r>
                    <w:r>
                      <w:fldChar w:fldCharType="end"/>
                    </w:r>
                  </w:p>
                  <w:p w14:paraId="0168B31D" w14:textId="77777777" w:rsidR="00B901ED" w:rsidRDefault="00B901ED">
                    <w:pPr>
                      <w:pStyle w:val="WitregelW1"/>
                    </w:pPr>
                  </w:p>
                  <w:p w14:paraId="28AC0F44" w14:textId="0B6E6EAA" w:rsidR="0060184C" w:rsidRDefault="000C47E7">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1B844D7" wp14:editId="01B844D8">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03750E34" w14:textId="77777777" w:rsidR="00B901ED" w:rsidRDefault="007F5D15">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B901ED" w:rsidRDefault="007F5D15" w14:paraId="01B844ED"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1B844D9" wp14:editId="01B844DA">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0E28C6B9" w14:textId="77777777" w:rsidR="00B901ED" w:rsidRDefault="007F5D15">
                          <w:r>
                            <w:t>De voorzitter van de Tweede Kamer der Staten-Generaal</w:t>
                          </w:r>
                        </w:p>
                        <w:p w14:paraId="4D5C676C" w14:textId="77777777" w:rsidR="00B901ED" w:rsidRDefault="007F5D15">
                          <w:r>
                            <w:t xml:space="preserve">Postbus 20018 </w:t>
                          </w:r>
                        </w:p>
                        <w:p w14:paraId="6CF86742" w14:textId="77777777" w:rsidR="00B901ED" w:rsidRDefault="007F5D15">
                          <w:r>
                            <w:t>2500 EA  Den Haag</w:t>
                          </w:r>
                        </w:p>
                        <w:p w14:paraId="109E44B1" w14:textId="77777777" w:rsidR="00B901ED" w:rsidRDefault="007F5D15">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B901ED" w:rsidRDefault="007F5D15" w14:paraId="01B844EE" w14:textId="77777777">
                    <w:r>
                      <w:t>De voorzitter van de Tweede Kamer der Staten-Generaal</w:t>
                    </w:r>
                  </w:p>
                  <w:p w:rsidR="00B901ED" w:rsidRDefault="007F5D15" w14:paraId="01B844EF" w14:textId="77777777">
                    <w:r>
                      <w:t xml:space="preserve">Postbus 20018 </w:t>
                    </w:r>
                  </w:p>
                  <w:p w:rsidR="00B901ED" w:rsidRDefault="007F5D15" w14:paraId="01B844F0" w14:textId="77777777">
                    <w:r>
                      <w:t>2500 EA  Den Haag</w:t>
                    </w:r>
                  </w:p>
                  <w:p w:rsidR="00B901ED" w:rsidRDefault="007F5D15" w14:paraId="01B844F1"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1B844DB" wp14:editId="01B844DC">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B901ED" w14:paraId="1384FDE0" w14:textId="77777777">
                            <w:trPr>
                              <w:trHeight w:val="200"/>
                            </w:trPr>
                            <w:tc>
                              <w:tcPr>
                                <w:tcW w:w="1134" w:type="dxa"/>
                              </w:tcPr>
                              <w:p w14:paraId="6D68A52B" w14:textId="77777777" w:rsidR="00B901ED" w:rsidRDefault="00B901ED"/>
                            </w:tc>
                            <w:tc>
                              <w:tcPr>
                                <w:tcW w:w="5244" w:type="dxa"/>
                              </w:tcPr>
                              <w:p w14:paraId="62954500" w14:textId="77777777" w:rsidR="00B901ED" w:rsidRDefault="00B901ED"/>
                            </w:tc>
                          </w:tr>
                          <w:tr w:rsidR="00B901ED" w14:paraId="782A5D60" w14:textId="77777777">
                            <w:trPr>
                              <w:trHeight w:val="240"/>
                            </w:trPr>
                            <w:tc>
                              <w:tcPr>
                                <w:tcW w:w="1134" w:type="dxa"/>
                              </w:tcPr>
                              <w:p w14:paraId="700C2AED" w14:textId="77777777" w:rsidR="00B901ED" w:rsidRDefault="007F5D15">
                                <w:r>
                                  <w:t>Datum</w:t>
                                </w:r>
                              </w:p>
                            </w:tc>
                            <w:tc>
                              <w:tcPr>
                                <w:tcW w:w="5244" w:type="dxa"/>
                              </w:tcPr>
                              <w:p w14:paraId="1DD7BAEA" w14:textId="3378BE65" w:rsidR="0060184C" w:rsidRDefault="000C47E7">
                                <w:r>
                                  <w:t>6 november 2026</w:t>
                                </w:r>
                                <w:r>
                                  <w:fldChar w:fldCharType="begin"/>
                                </w:r>
                                <w:r>
                                  <w:instrText xml:space="preserve"> DOCPROPERTY  "iDatum"  \* MERGEFORMAT </w:instrText>
                                </w:r>
                                <w:r>
                                  <w:fldChar w:fldCharType="end"/>
                                </w:r>
                              </w:p>
                            </w:tc>
                          </w:tr>
                          <w:tr w:rsidR="00B901ED" w14:paraId="0A385E6C" w14:textId="77777777">
                            <w:trPr>
                              <w:trHeight w:val="240"/>
                            </w:trPr>
                            <w:tc>
                              <w:tcPr>
                                <w:tcW w:w="1134" w:type="dxa"/>
                              </w:tcPr>
                              <w:p w14:paraId="0C4D18D3" w14:textId="77777777" w:rsidR="00B901ED" w:rsidRDefault="007F5D15">
                                <w:r>
                                  <w:t>Betreft</w:t>
                                </w:r>
                              </w:p>
                            </w:tc>
                            <w:tc>
                              <w:tcPr>
                                <w:tcW w:w="5244" w:type="dxa"/>
                              </w:tcPr>
                              <w:p w14:paraId="04BE0E54" w14:textId="6AFAD642" w:rsidR="0060184C" w:rsidRDefault="000C47E7">
                                <w:r>
                                  <w:fldChar w:fldCharType="begin"/>
                                </w:r>
                                <w:r>
                                  <w:instrText xml:space="preserve"> DOCPROPERTY  "iOnderwerp"  \* MERGEFORMAT </w:instrText>
                                </w:r>
                                <w:r>
                                  <w:fldChar w:fldCharType="separate"/>
                                </w:r>
                                <w:r>
                                  <w:t>Indexeren boetes arbeidswetten</w:t>
                                </w:r>
                                <w:r>
                                  <w:fldChar w:fldCharType="end"/>
                                </w:r>
                              </w:p>
                            </w:tc>
                          </w:tr>
                          <w:tr w:rsidR="00B901ED" w14:paraId="555CF74D" w14:textId="77777777">
                            <w:trPr>
                              <w:trHeight w:val="200"/>
                            </w:trPr>
                            <w:tc>
                              <w:tcPr>
                                <w:tcW w:w="1134" w:type="dxa"/>
                              </w:tcPr>
                              <w:p w14:paraId="2F8B07AA" w14:textId="77777777" w:rsidR="00B901ED" w:rsidRDefault="00B901ED"/>
                            </w:tc>
                            <w:tc>
                              <w:tcPr>
                                <w:tcW w:w="5244" w:type="dxa"/>
                              </w:tcPr>
                              <w:p w14:paraId="03B1C19B" w14:textId="77777777" w:rsidR="00B901ED" w:rsidRDefault="00B901ED"/>
                            </w:tc>
                          </w:tr>
                        </w:tbl>
                        <w:p w14:paraId="6A883450" w14:textId="77777777" w:rsidR="007F5D15" w:rsidRDefault="007F5D15"/>
                      </w:txbxContent>
                    </wps:txbx>
                    <wps:bodyPr vert="horz" wrap="square" lIns="0" tIns="0" rIns="0" bIns="0" anchor="t" anchorCtr="0"/>
                  </wps:wsp>
                </a:graphicData>
              </a:graphic>
            </wp:anchor>
          </w:drawing>
        </mc:Choice>
        <mc:Fallback>
          <w:pict>
            <v:shape w14:anchorId="01B844DB"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B901ED" w14:paraId="1384FDE0" w14:textId="77777777">
                      <w:trPr>
                        <w:trHeight w:val="200"/>
                      </w:trPr>
                      <w:tc>
                        <w:tcPr>
                          <w:tcW w:w="1134" w:type="dxa"/>
                        </w:tcPr>
                        <w:p w14:paraId="6D68A52B" w14:textId="77777777" w:rsidR="00B901ED" w:rsidRDefault="00B901ED"/>
                      </w:tc>
                      <w:tc>
                        <w:tcPr>
                          <w:tcW w:w="5244" w:type="dxa"/>
                        </w:tcPr>
                        <w:p w14:paraId="62954500" w14:textId="77777777" w:rsidR="00B901ED" w:rsidRDefault="00B901ED"/>
                      </w:tc>
                    </w:tr>
                    <w:tr w:rsidR="00B901ED" w14:paraId="782A5D60" w14:textId="77777777">
                      <w:trPr>
                        <w:trHeight w:val="240"/>
                      </w:trPr>
                      <w:tc>
                        <w:tcPr>
                          <w:tcW w:w="1134" w:type="dxa"/>
                        </w:tcPr>
                        <w:p w14:paraId="700C2AED" w14:textId="77777777" w:rsidR="00B901ED" w:rsidRDefault="007F5D15">
                          <w:r>
                            <w:t>Datum</w:t>
                          </w:r>
                        </w:p>
                      </w:tc>
                      <w:tc>
                        <w:tcPr>
                          <w:tcW w:w="5244" w:type="dxa"/>
                        </w:tcPr>
                        <w:p w14:paraId="1DD7BAEA" w14:textId="3378BE65" w:rsidR="0060184C" w:rsidRDefault="000C47E7">
                          <w:r>
                            <w:t>6 november 2026</w:t>
                          </w:r>
                          <w:r>
                            <w:fldChar w:fldCharType="begin"/>
                          </w:r>
                          <w:r>
                            <w:instrText xml:space="preserve"> DOCPROPERTY  "iDatum"  \* MERGEFORMAT </w:instrText>
                          </w:r>
                          <w:r>
                            <w:fldChar w:fldCharType="end"/>
                          </w:r>
                        </w:p>
                      </w:tc>
                    </w:tr>
                    <w:tr w:rsidR="00B901ED" w14:paraId="0A385E6C" w14:textId="77777777">
                      <w:trPr>
                        <w:trHeight w:val="240"/>
                      </w:trPr>
                      <w:tc>
                        <w:tcPr>
                          <w:tcW w:w="1134" w:type="dxa"/>
                        </w:tcPr>
                        <w:p w14:paraId="0C4D18D3" w14:textId="77777777" w:rsidR="00B901ED" w:rsidRDefault="007F5D15">
                          <w:r>
                            <w:t>Betreft</w:t>
                          </w:r>
                        </w:p>
                      </w:tc>
                      <w:tc>
                        <w:tcPr>
                          <w:tcW w:w="5244" w:type="dxa"/>
                        </w:tcPr>
                        <w:p w14:paraId="04BE0E54" w14:textId="6AFAD642" w:rsidR="0060184C" w:rsidRDefault="000C47E7">
                          <w:r>
                            <w:fldChar w:fldCharType="begin"/>
                          </w:r>
                          <w:r>
                            <w:instrText xml:space="preserve"> DOCPROPERTY  "iOnderwerp"  \* MERGEFORMAT </w:instrText>
                          </w:r>
                          <w:r>
                            <w:fldChar w:fldCharType="separate"/>
                          </w:r>
                          <w:r>
                            <w:t>Indexeren boetes arbeidswetten</w:t>
                          </w:r>
                          <w:r>
                            <w:fldChar w:fldCharType="end"/>
                          </w:r>
                        </w:p>
                      </w:tc>
                    </w:tr>
                    <w:tr w:rsidR="00B901ED" w14:paraId="555CF74D" w14:textId="77777777">
                      <w:trPr>
                        <w:trHeight w:val="200"/>
                      </w:trPr>
                      <w:tc>
                        <w:tcPr>
                          <w:tcW w:w="1134" w:type="dxa"/>
                        </w:tcPr>
                        <w:p w14:paraId="2F8B07AA" w14:textId="77777777" w:rsidR="00B901ED" w:rsidRDefault="00B901ED"/>
                      </w:tc>
                      <w:tc>
                        <w:tcPr>
                          <w:tcW w:w="5244" w:type="dxa"/>
                        </w:tcPr>
                        <w:p w14:paraId="03B1C19B" w14:textId="77777777" w:rsidR="00B901ED" w:rsidRDefault="00B901ED"/>
                      </w:tc>
                    </w:tr>
                  </w:tbl>
                  <w:p w14:paraId="6A883450" w14:textId="77777777" w:rsidR="007F5D15" w:rsidRDefault="007F5D1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1B844DD" wp14:editId="01B844DE">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79504CF" w14:textId="77777777" w:rsidR="0060184C" w:rsidRDefault="000C47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1B844DD"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279504CF" w14:textId="77777777" w:rsidR="0060184C" w:rsidRDefault="000C47E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28231C"/>
    <w:multiLevelType w:val="multilevel"/>
    <w:tmpl w:val="D74DD66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A75AC19"/>
    <w:multiLevelType w:val="multilevel"/>
    <w:tmpl w:val="67B4731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B030AA51"/>
    <w:multiLevelType w:val="multilevel"/>
    <w:tmpl w:val="E667DC61"/>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D6F9AD5"/>
    <w:multiLevelType w:val="multilevel"/>
    <w:tmpl w:val="A2001745"/>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849365F"/>
    <w:multiLevelType w:val="multilevel"/>
    <w:tmpl w:val="575DD85B"/>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83B1832"/>
    <w:multiLevelType w:val="multilevel"/>
    <w:tmpl w:val="05A737D7"/>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C63D974"/>
    <w:multiLevelType w:val="multilevel"/>
    <w:tmpl w:val="3034ED1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02953CD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2C4C8DA"/>
    <w:multiLevelType w:val="multilevel"/>
    <w:tmpl w:val="A64845D8"/>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0866422">
    <w:abstractNumId w:val="8"/>
  </w:num>
  <w:num w:numId="2" w16cid:durableId="2087653625">
    <w:abstractNumId w:val="5"/>
  </w:num>
  <w:num w:numId="3" w16cid:durableId="1928270970">
    <w:abstractNumId w:val="6"/>
  </w:num>
  <w:num w:numId="4" w16cid:durableId="728111594">
    <w:abstractNumId w:val="1"/>
  </w:num>
  <w:num w:numId="5" w16cid:durableId="1083836132">
    <w:abstractNumId w:val="3"/>
  </w:num>
  <w:num w:numId="6" w16cid:durableId="202525984">
    <w:abstractNumId w:val="4"/>
  </w:num>
  <w:num w:numId="7" w16cid:durableId="338847206">
    <w:abstractNumId w:val="2"/>
  </w:num>
  <w:num w:numId="8" w16cid:durableId="740491954">
    <w:abstractNumId w:val="0"/>
  </w:num>
  <w:num w:numId="9" w16cid:durableId="128015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ED"/>
    <w:rsid w:val="0002518E"/>
    <w:rsid w:val="000402B2"/>
    <w:rsid w:val="000470C3"/>
    <w:rsid w:val="00062181"/>
    <w:rsid w:val="00064D0F"/>
    <w:rsid w:val="000C0464"/>
    <w:rsid w:val="000C47E7"/>
    <w:rsid w:val="000D2819"/>
    <w:rsid w:val="000F7952"/>
    <w:rsid w:val="001070DF"/>
    <w:rsid w:val="00176989"/>
    <w:rsid w:val="0019539D"/>
    <w:rsid w:val="001C6D63"/>
    <w:rsid w:val="001E40C6"/>
    <w:rsid w:val="001F73B7"/>
    <w:rsid w:val="00270239"/>
    <w:rsid w:val="002C61A0"/>
    <w:rsid w:val="00383BE5"/>
    <w:rsid w:val="003B74C6"/>
    <w:rsid w:val="003E5F2C"/>
    <w:rsid w:val="00400F20"/>
    <w:rsid w:val="00462941"/>
    <w:rsid w:val="00532FD2"/>
    <w:rsid w:val="00536277"/>
    <w:rsid w:val="00547009"/>
    <w:rsid w:val="00587EC6"/>
    <w:rsid w:val="005A4EE6"/>
    <w:rsid w:val="0060184C"/>
    <w:rsid w:val="00637014"/>
    <w:rsid w:val="00687B5B"/>
    <w:rsid w:val="006A765A"/>
    <w:rsid w:val="006D6AF8"/>
    <w:rsid w:val="006F13DD"/>
    <w:rsid w:val="0071091E"/>
    <w:rsid w:val="00752BA6"/>
    <w:rsid w:val="007B56C8"/>
    <w:rsid w:val="007C1D5A"/>
    <w:rsid w:val="007C74E5"/>
    <w:rsid w:val="007F5D15"/>
    <w:rsid w:val="00814A14"/>
    <w:rsid w:val="008325C4"/>
    <w:rsid w:val="0083341E"/>
    <w:rsid w:val="008A5FD5"/>
    <w:rsid w:val="008A6C19"/>
    <w:rsid w:val="008B5FA0"/>
    <w:rsid w:val="008C4B3F"/>
    <w:rsid w:val="008E1793"/>
    <w:rsid w:val="00991A30"/>
    <w:rsid w:val="009D3B76"/>
    <w:rsid w:val="009E467E"/>
    <w:rsid w:val="00A7431F"/>
    <w:rsid w:val="00A9176C"/>
    <w:rsid w:val="00A962D3"/>
    <w:rsid w:val="00AD0239"/>
    <w:rsid w:val="00B14FFB"/>
    <w:rsid w:val="00B31FF7"/>
    <w:rsid w:val="00B901ED"/>
    <w:rsid w:val="00BB05A6"/>
    <w:rsid w:val="00BF715B"/>
    <w:rsid w:val="00C70DB5"/>
    <w:rsid w:val="00C97F18"/>
    <w:rsid w:val="00CA0925"/>
    <w:rsid w:val="00CE69E5"/>
    <w:rsid w:val="00CF541C"/>
    <w:rsid w:val="00D736A7"/>
    <w:rsid w:val="00D87E30"/>
    <w:rsid w:val="00DF2B23"/>
    <w:rsid w:val="00E377CE"/>
    <w:rsid w:val="00E60AA1"/>
    <w:rsid w:val="00F21D79"/>
    <w:rsid w:val="00F77A67"/>
    <w:rsid w:val="00F864D9"/>
    <w:rsid w:val="00F9602F"/>
    <w:rsid w:val="00FF03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3DE6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customStyle="1" w:styleId="Voetnoottekst1">
    <w:name w:val="Voetnoottekst1"/>
    <w:basedOn w:val="Standaard"/>
    <w:next w:val="Voetnoottekst"/>
    <w:link w:val="VoetnoottekstChar"/>
    <w:uiPriority w:val="99"/>
    <w:semiHidden/>
    <w:unhideWhenUsed/>
    <w:rsid w:val="00BF715B"/>
    <w:pPr>
      <w:autoSpaceDN/>
      <w:spacing w:line="240" w:lineRule="auto"/>
      <w:textAlignment w:val="auto"/>
    </w:pPr>
    <w:rPr>
      <w:rFonts w:ascii="Times New Roman" w:hAnsi="Times New Roman"/>
      <w:color w:val="auto"/>
      <w:sz w:val="20"/>
      <w:szCs w:val="20"/>
    </w:rPr>
  </w:style>
  <w:style w:type="character" w:customStyle="1" w:styleId="VoetnoottekstChar">
    <w:name w:val="Voetnoottekst Char"/>
    <w:basedOn w:val="Standaardalinea-lettertype"/>
    <w:link w:val="Voetnoottekst1"/>
    <w:uiPriority w:val="99"/>
    <w:semiHidden/>
    <w:rsid w:val="00BF715B"/>
  </w:style>
  <w:style w:type="character" w:styleId="Voetnootmarkering">
    <w:name w:val="footnote reference"/>
    <w:basedOn w:val="Standaardalinea-lettertype"/>
    <w:uiPriority w:val="99"/>
    <w:semiHidden/>
    <w:unhideWhenUsed/>
    <w:rsid w:val="00BF715B"/>
    <w:rPr>
      <w:vertAlign w:val="superscript"/>
    </w:rPr>
  </w:style>
  <w:style w:type="paragraph" w:styleId="Voetnoottekst">
    <w:name w:val="footnote text"/>
    <w:basedOn w:val="Standaard"/>
    <w:link w:val="VoetnoottekstChar1"/>
    <w:uiPriority w:val="99"/>
    <w:semiHidden/>
    <w:unhideWhenUsed/>
    <w:rsid w:val="00BF715B"/>
    <w:pPr>
      <w:spacing w:line="240" w:lineRule="auto"/>
    </w:pPr>
    <w:rPr>
      <w:sz w:val="20"/>
      <w:szCs w:val="20"/>
    </w:rPr>
  </w:style>
  <w:style w:type="character" w:customStyle="1" w:styleId="VoetnoottekstChar1">
    <w:name w:val="Voetnoottekst Char1"/>
    <w:basedOn w:val="Standaardalinea-lettertype"/>
    <w:link w:val="Voetnoottekst"/>
    <w:uiPriority w:val="99"/>
    <w:semiHidden/>
    <w:rsid w:val="00BF715B"/>
    <w:rPr>
      <w:rFonts w:ascii="Verdana" w:hAnsi="Verdana"/>
      <w:color w:val="000000"/>
    </w:rPr>
  </w:style>
  <w:style w:type="character" w:styleId="Verwijzingopmerking">
    <w:name w:val="annotation reference"/>
    <w:basedOn w:val="Standaardalinea-lettertype"/>
    <w:uiPriority w:val="99"/>
    <w:semiHidden/>
    <w:unhideWhenUsed/>
    <w:rsid w:val="00BF715B"/>
    <w:rPr>
      <w:sz w:val="16"/>
      <w:szCs w:val="16"/>
    </w:rPr>
  </w:style>
  <w:style w:type="paragraph" w:styleId="Tekstopmerking">
    <w:name w:val="annotation text"/>
    <w:basedOn w:val="Standaard"/>
    <w:link w:val="TekstopmerkingChar"/>
    <w:uiPriority w:val="99"/>
    <w:unhideWhenUsed/>
    <w:rsid w:val="00BF715B"/>
    <w:pPr>
      <w:autoSpaceDN/>
      <w:spacing w:after="160" w:line="240" w:lineRule="auto"/>
      <w:textAlignment w:val="auto"/>
    </w:pPr>
    <w:rPr>
      <w:rFonts w:eastAsia="Calibri" w:cs="Times New Roman"/>
      <w:color w:val="auto"/>
      <w:sz w:val="20"/>
      <w:szCs w:val="20"/>
      <w:lang w:val="en-US" w:eastAsia="en-US"/>
    </w:rPr>
  </w:style>
  <w:style w:type="character" w:customStyle="1" w:styleId="TekstopmerkingChar">
    <w:name w:val="Tekst opmerking Char"/>
    <w:basedOn w:val="Standaardalinea-lettertype"/>
    <w:link w:val="Tekstopmerking"/>
    <w:uiPriority w:val="99"/>
    <w:rsid w:val="00BF715B"/>
    <w:rPr>
      <w:rFonts w:ascii="Verdana" w:eastAsia="Calibri" w:hAnsi="Verdana" w:cs="Times New Roman"/>
      <w:lang w:val="en-US" w:eastAsia="en-US"/>
    </w:rPr>
  </w:style>
  <w:style w:type="paragraph" w:styleId="Revisie">
    <w:name w:val="Revision"/>
    <w:hidden/>
    <w:uiPriority w:val="99"/>
    <w:semiHidden/>
    <w:rsid w:val="008B5FA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5A4EE6"/>
    <w:pPr>
      <w:autoSpaceDN w:val="0"/>
      <w:spacing w:after="0"/>
      <w:textAlignment w:val="baseline"/>
    </w:pPr>
    <w:rPr>
      <w:rFonts w:eastAsia="DejaVu Sans" w:cs="Lohit Hindi"/>
      <w:b/>
      <w:bCs/>
      <w:color w:val="000000"/>
      <w:lang w:val="nl-NL" w:eastAsia="nl-NL"/>
    </w:rPr>
  </w:style>
  <w:style w:type="character" w:customStyle="1" w:styleId="OnderwerpvanopmerkingChar">
    <w:name w:val="Onderwerp van opmerking Char"/>
    <w:basedOn w:val="TekstopmerkingChar"/>
    <w:link w:val="Onderwerpvanopmerking"/>
    <w:uiPriority w:val="99"/>
    <w:semiHidden/>
    <w:rsid w:val="005A4EE6"/>
    <w:rPr>
      <w:rFonts w:ascii="Verdana" w:eastAsia="Calibri" w:hAnsi="Verdana" w:cs="Times New Roman"/>
      <w:b/>
      <w:bCs/>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ser.nl/-/media/ser/downloads/adviezen/2025/arbeidsmigratie.pdf" TargetMode="External"/><Relationship Id="rId1" Type="http://schemas.openxmlformats.org/officeDocument/2006/relationships/hyperlink" Target="https://open.overheid.nl/documenten/78c8c03a-7639-466e-a824-9303347fb350/fil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2130</ap:Words>
  <ap:Characters>11715</ap:Characters>
  <ap:DocSecurity>0</ap:DocSecurity>
  <ap:Lines>97</ap:Lines>
  <ap:Paragraphs>27</ap:Paragraphs>
  <ap:ScaleCrop>false</ap:ScaleCrop>
  <ap:HeadingPairs>
    <vt:vector baseType="variant" size="2">
      <vt:variant>
        <vt:lpstr>Titel</vt:lpstr>
      </vt:variant>
      <vt:variant>
        <vt:i4>1</vt:i4>
      </vt:variant>
    </vt:vector>
  </ap:HeadingPairs>
  <ap:TitlesOfParts>
    <vt:vector baseType="lpstr" size="1">
      <vt:lpstr>Brief Kamer - Indexeren boetes arbeidswetten</vt:lpstr>
    </vt:vector>
  </ap:TitlesOfParts>
  <ap:LinksUpToDate>false</ap:LinksUpToDate>
  <ap:CharactersWithSpaces>13818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2026-09-14T16:07:00.0000000Z</dcterms:created>
  <dcterms:modified xsi:type="dcterms:W3CDTF">2026-11-06T11:11:00.0000000Z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Indexeren boetes arbeidswetten</vt:lpwstr>
  </property>
  <property fmtid="{D5CDD505-2E9C-101B-9397-08002B2CF9AE}" pid="5" name="Publicatiedatum">
    <vt:lpwstr/>
  </property>
  <property fmtid="{D5CDD505-2E9C-101B-9397-08002B2CF9AE}" pid="6" name="Verantwoordelijke organisatie">
    <vt:lpwstr>Directie Arbeidsverhoudingen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A.S. Huisman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Indexeren boetes arbeidswetten</vt:lpwstr>
  </property>
  <property fmtid="{D5CDD505-2E9C-101B-9397-08002B2CF9AE}" pid="36" name="iOnsKenmerk">
    <vt:lpwstr>2026-0000313897</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