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85CD9" w:rsidR="00C04E96" w:rsidP="00BB3986" w:rsidRDefault="00C04E96" w14:paraId="30C514CB" w14:textId="77777777">
      <w:pPr>
        <w:spacing w:after="160"/>
        <w:rPr>
          <w:kern w:val="2"/>
          <w:szCs w:val="18"/>
          <w:lang w:eastAsia="en-US"/>
        </w:rPr>
      </w:pPr>
      <w:r w:rsidRPr="00585CD9">
        <w:rPr>
          <w:kern w:val="2"/>
          <w:szCs w:val="18"/>
          <w:lang w:eastAsia="en-US"/>
        </w:rPr>
        <w:t xml:space="preserve">Geachte Voorzitter, </w:t>
      </w:r>
    </w:p>
    <w:p w:rsidRPr="00585CD9" w:rsidR="00C04E96" w:rsidP="00BB3986" w:rsidRDefault="00C04E96" w14:paraId="13BB7B5A" w14:textId="63728EFA">
      <w:pPr>
        <w:spacing w:after="160"/>
        <w:rPr>
          <w:kern w:val="2"/>
          <w:szCs w:val="18"/>
          <w:lang w:eastAsia="en-US"/>
        </w:rPr>
      </w:pPr>
      <w:r w:rsidRPr="00585CD9">
        <w:rPr>
          <w:kern w:val="2"/>
          <w:szCs w:val="18"/>
          <w:lang w:eastAsia="en-US"/>
        </w:rPr>
        <w:t xml:space="preserve">Op </w:t>
      </w:r>
      <w:r>
        <w:rPr>
          <w:kern w:val="2"/>
          <w:szCs w:val="18"/>
          <w:lang w:eastAsia="en-US"/>
        </w:rPr>
        <w:t>26</w:t>
      </w:r>
      <w:r w:rsidDel="00086A25">
        <w:rPr>
          <w:kern w:val="2"/>
          <w:szCs w:val="18"/>
          <w:lang w:eastAsia="en-US"/>
        </w:rPr>
        <w:t xml:space="preserve"> </w:t>
      </w:r>
      <w:r>
        <w:rPr>
          <w:kern w:val="2"/>
          <w:szCs w:val="18"/>
          <w:lang w:eastAsia="en-US"/>
        </w:rPr>
        <w:t>oktober</w:t>
      </w:r>
      <w:r w:rsidRPr="00585CD9">
        <w:rPr>
          <w:kern w:val="2"/>
          <w:szCs w:val="18"/>
          <w:lang w:eastAsia="en-US"/>
        </w:rPr>
        <w:t xml:space="preserve"> jl. vond de Landbouw- en Visserijraad (hierna: Raad) plaats in </w:t>
      </w:r>
      <w:r>
        <w:rPr>
          <w:kern w:val="2"/>
          <w:szCs w:val="18"/>
          <w:lang w:eastAsia="en-US"/>
        </w:rPr>
        <w:t>Luxemburg</w:t>
      </w:r>
      <w:r w:rsidRPr="00585CD9">
        <w:rPr>
          <w:kern w:val="2"/>
          <w:szCs w:val="18"/>
          <w:lang w:eastAsia="en-US"/>
        </w:rPr>
        <w:t xml:space="preserve">. Met deze brief informeren wij de Kamer over de uitkomsten. </w:t>
      </w:r>
      <w:r w:rsidRPr="0BDD7CD4">
        <w:rPr>
          <w:rFonts w:eastAsia="Verdana" w:cs="Verdana"/>
          <w:szCs w:val="18"/>
        </w:rPr>
        <w:t>Aanvullend informeer</w:t>
      </w:r>
      <w:r>
        <w:rPr>
          <w:rFonts w:eastAsia="Verdana" w:cs="Verdana"/>
          <w:szCs w:val="18"/>
        </w:rPr>
        <w:t>t</w:t>
      </w:r>
      <w:r w:rsidRPr="0BDD7CD4">
        <w:rPr>
          <w:rFonts w:eastAsia="Verdana" w:cs="Verdana"/>
          <w:szCs w:val="18"/>
        </w:rPr>
        <w:t xml:space="preserve"> </w:t>
      </w:r>
      <w:r>
        <w:rPr>
          <w:rFonts w:eastAsia="Verdana" w:cs="Verdana"/>
          <w:szCs w:val="18"/>
        </w:rPr>
        <w:t>de minister</w:t>
      </w:r>
      <w:r w:rsidRPr="0BDD7CD4">
        <w:rPr>
          <w:rFonts w:eastAsia="Verdana" w:cs="Verdana"/>
          <w:szCs w:val="18"/>
        </w:rPr>
        <w:t xml:space="preserve"> </w:t>
      </w:r>
      <w:r>
        <w:rPr>
          <w:rFonts w:eastAsia="Verdana" w:cs="Verdana"/>
          <w:szCs w:val="18"/>
        </w:rPr>
        <w:t>de</w:t>
      </w:r>
      <w:r w:rsidRPr="0BDD7CD4">
        <w:rPr>
          <w:rFonts w:eastAsia="Verdana" w:cs="Verdana"/>
          <w:szCs w:val="18"/>
        </w:rPr>
        <w:t xml:space="preserve"> Kamer over een onderzoeksproject dat de afgelopen maanden in opdracht van </w:t>
      </w:r>
      <w:r>
        <w:rPr>
          <w:rFonts w:eastAsia="Verdana" w:cs="Verdana"/>
          <w:szCs w:val="18"/>
        </w:rPr>
        <w:t>het ministerie van LVVN</w:t>
      </w:r>
      <w:r w:rsidRPr="0BDD7CD4">
        <w:rPr>
          <w:rFonts w:eastAsia="Verdana" w:cs="Verdana"/>
          <w:szCs w:val="18"/>
        </w:rPr>
        <w:t xml:space="preserve"> is uitgevoerd door Wageningen Social &amp; Economic Research naar een effectieve inzet van het </w:t>
      </w:r>
      <w:r w:rsidR="005A4E42">
        <w:rPr>
          <w:rFonts w:eastAsia="Verdana" w:cs="Verdana"/>
          <w:szCs w:val="18"/>
        </w:rPr>
        <w:t>Gemeenschappelijk Landbouwbeleid (</w:t>
      </w:r>
      <w:r w:rsidRPr="0BDD7CD4">
        <w:rPr>
          <w:rFonts w:eastAsia="Verdana" w:cs="Verdana"/>
          <w:szCs w:val="18"/>
        </w:rPr>
        <w:t>GLB</w:t>
      </w:r>
      <w:r w:rsidR="005A4E42">
        <w:rPr>
          <w:rFonts w:eastAsia="Verdana" w:cs="Verdana"/>
          <w:szCs w:val="18"/>
        </w:rPr>
        <w:t>) in de periode</w:t>
      </w:r>
      <w:r w:rsidRPr="0BDD7CD4">
        <w:rPr>
          <w:rFonts w:eastAsia="Verdana" w:cs="Verdana"/>
          <w:szCs w:val="18"/>
        </w:rPr>
        <w:t xml:space="preserve"> 2028-2034.</w:t>
      </w:r>
      <w:r>
        <w:rPr>
          <w:rFonts w:eastAsia="Verdana" w:cs="Verdana"/>
          <w:szCs w:val="18"/>
        </w:rPr>
        <w:t xml:space="preserve"> Verder wordt </w:t>
      </w:r>
      <w:r w:rsidR="005A4E42">
        <w:rPr>
          <w:rFonts w:eastAsia="Verdana" w:cs="Verdana"/>
          <w:szCs w:val="18"/>
        </w:rPr>
        <w:t>de Kamer</w:t>
      </w:r>
      <w:r>
        <w:rPr>
          <w:rFonts w:eastAsia="Verdana" w:cs="Verdana"/>
          <w:szCs w:val="18"/>
        </w:rPr>
        <w:t xml:space="preserve"> geïnformeerd over de GLB-conferentie die 28</w:t>
      </w:r>
      <w:r w:rsidR="005A4E42">
        <w:rPr>
          <w:rFonts w:eastAsia="Verdana" w:cs="Verdana"/>
          <w:szCs w:val="18"/>
        </w:rPr>
        <w:t xml:space="preserve"> en </w:t>
      </w:r>
      <w:r>
        <w:rPr>
          <w:rFonts w:eastAsia="Verdana" w:cs="Verdana"/>
          <w:szCs w:val="18"/>
        </w:rPr>
        <w:t xml:space="preserve">29 oktober jl. plaatsvond in Eindhoven. Tot slot gaat de staatssecretaris in op een aangenomen </w:t>
      </w:r>
      <w:r w:rsidRPr="00FD411B">
        <w:rPr>
          <w:kern w:val="2"/>
          <w:szCs w:val="18"/>
          <w:lang w:eastAsia="en-US"/>
        </w:rPr>
        <w:t xml:space="preserve">motie </w:t>
      </w:r>
      <w:r>
        <w:rPr>
          <w:kern w:val="2"/>
          <w:szCs w:val="18"/>
          <w:lang w:eastAsia="en-US"/>
        </w:rPr>
        <w:t xml:space="preserve">en </w:t>
      </w:r>
      <w:r w:rsidR="005A4E42">
        <w:rPr>
          <w:kern w:val="2"/>
          <w:szCs w:val="18"/>
          <w:lang w:eastAsia="en-US"/>
        </w:rPr>
        <w:t xml:space="preserve">een </w:t>
      </w:r>
      <w:r w:rsidRPr="00FD411B">
        <w:rPr>
          <w:kern w:val="2"/>
          <w:szCs w:val="18"/>
          <w:lang w:eastAsia="en-US"/>
        </w:rPr>
        <w:t xml:space="preserve">toezegging </w:t>
      </w:r>
      <w:r>
        <w:rPr>
          <w:kern w:val="2"/>
          <w:szCs w:val="18"/>
          <w:lang w:eastAsia="en-US"/>
        </w:rPr>
        <w:t xml:space="preserve">die </w:t>
      </w:r>
      <w:r w:rsidRPr="00FD411B">
        <w:rPr>
          <w:kern w:val="2"/>
          <w:szCs w:val="18"/>
          <w:lang w:eastAsia="en-US"/>
        </w:rPr>
        <w:t>volgen uit het debat over de wijziging van de Visserijwet 1963 van 9 september 2026.</w:t>
      </w:r>
    </w:p>
    <w:p w:rsidRPr="00585CD9" w:rsidR="00C04E96" w:rsidP="00BB3986" w:rsidRDefault="00C04E96" w14:paraId="1A77E9BD" w14:textId="77777777">
      <w:pPr>
        <w:numPr>
          <w:ilvl w:val="0"/>
          <w:numId w:val="15"/>
        </w:numPr>
        <w:spacing w:after="160"/>
        <w:rPr>
          <w:b/>
          <w:bCs/>
          <w:kern w:val="2"/>
          <w:szCs w:val="18"/>
          <w:lang w:eastAsia="en-US"/>
        </w:rPr>
      </w:pPr>
      <w:r w:rsidRPr="00585CD9">
        <w:rPr>
          <w:b/>
          <w:bCs/>
          <w:kern w:val="2"/>
          <w:szCs w:val="18"/>
          <w:lang w:eastAsia="en-US"/>
        </w:rPr>
        <w:t xml:space="preserve">Verslag Landbouw- en Visserijraad d.d. </w:t>
      </w:r>
      <w:r>
        <w:rPr>
          <w:b/>
          <w:bCs/>
          <w:kern w:val="2"/>
          <w:szCs w:val="18"/>
          <w:lang w:eastAsia="en-US"/>
        </w:rPr>
        <w:t>26 oktober</w:t>
      </w:r>
      <w:r w:rsidRPr="00585CD9">
        <w:rPr>
          <w:b/>
          <w:bCs/>
          <w:kern w:val="2"/>
          <w:szCs w:val="18"/>
          <w:lang w:eastAsia="en-US"/>
        </w:rPr>
        <w:t xml:space="preserve"> 2026</w:t>
      </w:r>
    </w:p>
    <w:p w:rsidR="00C04E96" w:rsidP="00BB3986" w:rsidRDefault="00C04E96" w14:paraId="054EBA6D" w14:textId="12DB0C34">
      <w:pPr>
        <w:spacing w:after="160"/>
      </w:pPr>
      <w:bookmarkStart w:name="OLE_LINK2" w:id="0"/>
      <w:r w:rsidRPr="25D12F89">
        <w:rPr>
          <w:kern w:val="2"/>
          <w:u w:val="single"/>
          <w:lang w:eastAsia="en-US"/>
        </w:rPr>
        <w:t xml:space="preserve">Gedeeltelijke algemene oriëntatie van de Raad </w:t>
      </w:r>
      <w:r>
        <w:rPr>
          <w:kern w:val="2"/>
          <w:u w:val="single"/>
          <w:lang w:eastAsia="en-US"/>
        </w:rPr>
        <w:t>op het nieuwe Gemeenschappelijk Landbouwbeleid</w:t>
      </w:r>
      <w:r w:rsidRPr="25D12F89">
        <w:rPr>
          <w:kern w:val="2"/>
          <w:u w:val="single"/>
          <w:lang w:eastAsia="en-US"/>
        </w:rPr>
        <w:t xml:space="preserve"> </w:t>
      </w:r>
      <w:r>
        <w:rPr>
          <w:kern w:val="2"/>
          <w:u w:val="single"/>
          <w:lang w:eastAsia="en-US"/>
        </w:rPr>
        <w:t>en</w:t>
      </w:r>
      <w:r w:rsidRPr="25D12F89">
        <w:rPr>
          <w:kern w:val="2"/>
          <w:u w:val="single"/>
          <w:lang w:eastAsia="en-US"/>
        </w:rPr>
        <w:t xml:space="preserve"> Diversenpunt Visegrad-landen</w:t>
      </w:r>
      <w:r>
        <w:rPr>
          <w:kern w:val="2"/>
          <w:u w:val="single"/>
          <w:lang w:eastAsia="en-US"/>
        </w:rPr>
        <w:t>, Bulgarije, Kroatië, Roemenië en Slovenië</w:t>
      </w:r>
      <w:r w:rsidRPr="25D12F89">
        <w:rPr>
          <w:kern w:val="2"/>
          <w:u w:val="single"/>
          <w:lang w:eastAsia="en-US"/>
        </w:rPr>
        <w:t>: Gezamenlijke verklaringen over crisisreserves en toekomst GLB</w:t>
      </w:r>
      <w:r>
        <w:rPr>
          <w:kern w:val="2"/>
          <w:szCs w:val="18"/>
          <w:u w:val="single"/>
          <w:lang w:eastAsia="en-US"/>
        </w:rPr>
        <w:br/>
      </w:r>
      <w:r w:rsidRPr="25D12F89">
        <w:t xml:space="preserve">De Raad bereikte unaniem een gedeeltelijke algemene oriëntatie over het voorstel voor het GLB na 2027. Verder </w:t>
      </w:r>
      <w:r w:rsidR="005A4E42">
        <w:t>gaven</w:t>
      </w:r>
      <w:r w:rsidRPr="25D12F89">
        <w:t xml:space="preserve"> Slowakije namens de Visegrad</w:t>
      </w:r>
      <w:r w:rsidR="005A4E42">
        <w:t>-</w:t>
      </w:r>
      <w:r w:rsidRPr="25D12F89">
        <w:t>groep en Bulgarije</w:t>
      </w:r>
      <w:r>
        <w:t>, Kroatië, Roemenië</w:t>
      </w:r>
      <w:r w:rsidRPr="25D12F89">
        <w:t xml:space="preserve"> en </w:t>
      </w:r>
      <w:r>
        <w:t xml:space="preserve">Slovenië </w:t>
      </w:r>
      <w:r w:rsidRPr="25D12F89">
        <w:t>gezamenlijke verklaringen over de crisisreserve en het nieuwe GLB</w:t>
      </w:r>
      <w:r w:rsidRPr="003530D0">
        <w:rPr>
          <w:szCs w:val="18"/>
        </w:rPr>
        <w:t>.</w:t>
      </w:r>
      <w:r>
        <w:rPr>
          <w:szCs w:val="18"/>
        </w:rPr>
        <w:t xml:space="preserve"> </w:t>
      </w:r>
    </w:p>
    <w:p w:rsidRPr="003530D0" w:rsidR="00C04E96" w:rsidP="00BB3986" w:rsidRDefault="00C04E96" w14:paraId="38529501" w14:textId="77FC0417">
      <w:pPr>
        <w:spacing w:after="160"/>
      </w:pPr>
      <w:r>
        <w:t xml:space="preserve">Ten aanzien van de gedeeltelijke algemene oriëntatie vergeleek de Europese Commissie (hierna: Commissie) de in de Raad voorliggende tekst met het oorspronkelijke voorstel. </w:t>
      </w:r>
      <w:r w:rsidR="005A4E42">
        <w:t>De Commissie</w:t>
      </w:r>
      <w:r>
        <w:t xml:space="preserve"> constateerde dat op verschillende punten de ambities waren afgezwakt. Dit betr</w:t>
      </w:r>
      <w:r w:rsidR="003F106E">
        <w:t>eft</w:t>
      </w:r>
      <w:r>
        <w:t xml:space="preserve"> onder meer bepalingen met betrekking tot risicobeheer, sociale conditionaliteit en milieu- en klimaatmaatregelen. Volgens de Commissie zijn investeringen in innovatie, precisielandbouw en waterinfrastructuur belangrijk om de weerbaarheid en het concurrentievermogen van de landbouw te versterken. Ook preventie van schade verdient volgens de Commissie meer aandacht, in plaats van het vergoeden van schade achteraf. De Commissie benoemde het belang van behoud van een evenwicht tussen het gemeenschappelijke karakter van het nieuwe GLB enerzijds, en het behouden van ruimte voor nationale keuzes anderzijds. Verder benadrukte de Commissie het belang van een goede gerichtheid van inkomenssteun. De steun moet terechtkomen bij degenen die daadwerkelijk landbouwactiviteiten uitvoeren. De </w:t>
      </w:r>
      <w:r>
        <w:lastRenderedPageBreak/>
        <w:t xml:space="preserve">Commissie wees in dit verband ook op de rol van de definitie van actieve boer, degressiviteit en plafonnering van betalingen. Deze laatste twee elementen maken deel uit van het onderhandelingskader en moeten bijdragen aan een betere verdeling van de steun. De Commissie gaf aan tevreden te zijn met inzet voor jonge boeren, waarbij ze haar oproep herhaalde voor het besteden van 6% van het geoormerkte GLB-budget voor dit doel. </w:t>
      </w:r>
    </w:p>
    <w:p w:rsidR="00F225F2" w:rsidP="00BB3986" w:rsidRDefault="00C04E96" w14:paraId="76E792FA" w14:textId="18A56D3B">
      <w:pPr>
        <w:spacing w:after="160"/>
      </w:pPr>
      <w:r>
        <w:t xml:space="preserve">De meeste lidstaten, waaronder Nederland, steunden in algemene zin het belang van voldoende flexibiliteit om rekening te kunnen houden met verschillen tussen landbouwstructuren en nationale omstandigheden. </w:t>
      </w:r>
      <w:r w:rsidR="00F225F2">
        <w:t xml:space="preserve">Daarnaast benadrukten veel lidstaten de essentiële rol die een nieuw GLB moet spelen voor voedselzekerheid in en concurrentievermogen van de Europese Unie (EU). Nederland vroeg evenals een paar andere lidstaten om betere prikkels voor vergroening en pleitte in dit kader voor een 6% minimumbesteding voor jonge boeren. Nederland kon op deze punten rekenen op de steun van de Commissie.  </w:t>
      </w:r>
    </w:p>
    <w:p w:rsidR="00F225F2" w:rsidP="00BB3986" w:rsidRDefault="00F225F2" w14:paraId="4CA4AF57" w14:textId="144BC139">
      <w:pPr>
        <w:spacing w:after="160"/>
      </w:pPr>
      <w:r w:rsidRPr="00650CBF">
        <w:t xml:space="preserve">Verschillende lidstaten </w:t>
      </w:r>
      <w:r>
        <w:t>onderstreepten</w:t>
      </w:r>
      <w:r w:rsidRPr="00650CBF">
        <w:t xml:space="preserve"> dat de nieuwe periode daadwerkelijk moet leiden tot minder administratieve lasten</w:t>
      </w:r>
      <w:r>
        <w:t xml:space="preserve"> en</w:t>
      </w:r>
      <w:r w:rsidRPr="00650CBF">
        <w:t xml:space="preserve"> meer rechtszekerheid</w:t>
      </w:r>
      <w:r>
        <w:t>,</w:t>
      </w:r>
      <w:r w:rsidRPr="00650CBF">
        <w:t xml:space="preserve"> en </w:t>
      </w:r>
      <w:r>
        <w:t>zij</w:t>
      </w:r>
      <w:r w:rsidRPr="00650CBF">
        <w:t xml:space="preserve"> </w:t>
      </w:r>
      <w:r w:rsidRPr="00DB4E7F">
        <w:t xml:space="preserve">riepen op tot voorstellen van de Commissie om tot </w:t>
      </w:r>
      <w:r w:rsidRPr="00650CBF">
        <w:t>een soepele overgang tussen de programmeringsperioden</w:t>
      </w:r>
      <w:r w:rsidRPr="00DB4E7F">
        <w:t xml:space="preserve"> te kunnen komen</w:t>
      </w:r>
      <w:r w:rsidRPr="00650CBF">
        <w:t>.</w:t>
      </w:r>
      <w:r>
        <w:t xml:space="preserve"> </w:t>
      </w:r>
      <w:r w:rsidRPr="00F225F2">
        <w:t xml:space="preserve">De toegenomen flexibiliteit in het laatste voorstel </w:t>
      </w:r>
      <w:r>
        <w:t xml:space="preserve">waarover uiteindelijk akkoord is bereikt, </w:t>
      </w:r>
      <w:r w:rsidRPr="00F225F2">
        <w:t xml:space="preserve">biedt meer ruimte om het GLB te richten op de grootste uitdagingen voor Nederland. Zo zijn er minder verplichte interventies dan in de originele teksten, wat bijdraagt aan lagere uitvoeringskosten. </w:t>
      </w:r>
      <w:r>
        <w:t>Een ander belangrijk element van het akkoord betreft de d</w:t>
      </w:r>
      <w:r w:rsidRPr="00F225F2">
        <w:t>egressieve areaal gebonden inkomenssteun (DABIS)</w:t>
      </w:r>
      <w:r>
        <w:t xml:space="preserve">. Deze </w:t>
      </w:r>
      <w:r w:rsidRPr="00F225F2">
        <w:t>kan gerichter worden ingezet per geografisch en agronomisch gebied</w:t>
      </w:r>
      <w:r>
        <w:t xml:space="preserve">. Verder kan </w:t>
      </w:r>
      <w:r w:rsidRPr="00F225F2">
        <w:t>Nederland nu zelf kiezen op welke groepen de DABIS kan worden gericht.</w:t>
      </w:r>
    </w:p>
    <w:p w:rsidRPr="003530D0" w:rsidR="00C04E96" w:rsidP="00BB3986" w:rsidRDefault="00C04E96" w14:paraId="3912D4A6" w14:textId="77777777">
      <w:pPr>
        <w:spacing w:after="160"/>
        <w:rPr>
          <w:szCs w:val="18"/>
        </w:rPr>
      </w:pPr>
      <w:r w:rsidRPr="003530D0">
        <w:rPr>
          <w:szCs w:val="18"/>
        </w:rPr>
        <w:t xml:space="preserve">Verschillende lidstaten benadrukten dat de toekomstige financiering toereikend moet zijn en dat de onderhandelingen over het </w:t>
      </w:r>
      <w:r>
        <w:rPr>
          <w:szCs w:val="18"/>
        </w:rPr>
        <w:t>M</w:t>
      </w:r>
      <w:r w:rsidRPr="003530D0">
        <w:rPr>
          <w:szCs w:val="18"/>
        </w:rPr>
        <w:t xml:space="preserve">eerjarig </w:t>
      </w:r>
      <w:r>
        <w:rPr>
          <w:szCs w:val="18"/>
        </w:rPr>
        <w:t>F</w:t>
      </w:r>
      <w:r w:rsidRPr="003530D0">
        <w:rPr>
          <w:szCs w:val="18"/>
        </w:rPr>
        <w:t xml:space="preserve">inancieel </w:t>
      </w:r>
      <w:r>
        <w:rPr>
          <w:szCs w:val="18"/>
        </w:rPr>
        <w:t>K</w:t>
      </w:r>
      <w:r w:rsidRPr="003530D0">
        <w:rPr>
          <w:szCs w:val="18"/>
        </w:rPr>
        <w:t xml:space="preserve">ader (MFK) de voortgang op het GLB niet mogen ondermijnen. </w:t>
      </w:r>
    </w:p>
    <w:p w:rsidR="00C04E96" w:rsidP="00BB3986" w:rsidRDefault="00C04E96" w14:paraId="2274BA8D" w14:textId="77777777">
      <w:pPr>
        <w:rPr>
          <w:szCs w:val="18"/>
        </w:rPr>
      </w:pPr>
      <w:r w:rsidRPr="003530D0">
        <w:rPr>
          <w:szCs w:val="18"/>
        </w:rPr>
        <w:t xml:space="preserve">Over de definitie van de actieve </w:t>
      </w:r>
      <w:r>
        <w:rPr>
          <w:szCs w:val="18"/>
        </w:rPr>
        <w:t>boer</w:t>
      </w:r>
      <w:r w:rsidRPr="003530D0">
        <w:rPr>
          <w:szCs w:val="18"/>
        </w:rPr>
        <w:t xml:space="preserve"> en de voorwaarden voor subsidiabele hectares bestonden verschillende opvattingen. Sommige lidstaten pleitten voor een duidelijkere en meer gerichte definitie, terwijl andere lidstaten vonden dat nationale flexibiliteit noodzakelijk blijft. Daarbij werd gewezen op de uiteenlopende bedrijfsstructuren, waaronder familiebedrijven en coöperaties. </w:t>
      </w:r>
    </w:p>
    <w:p w:rsidRPr="003530D0" w:rsidR="00C04E96" w:rsidP="00BB3986" w:rsidRDefault="00C04E96" w14:paraId="73256951" w14:textId="208A5152">
      <w:pPr>
        <w:spacing w:after="160"/>
      </w:pPr>
      <w:r>
        <w:t>De toepassing van degressiviteit en plafonnering was eveneens een belangrijk discussiepunt. Sommige lidstaten steunden een sterker gemeenschappelijk kader, terwijl andere lidstaten meer ruimte wilden om de regels vrijwillig of aangepast aan nationale omstandigheden toe te passen. Er werd op gewezen dat grote verschillen tussen landbouwstructuren gevolgen kunnen hebben voor de praktische uitwerking van uniforme regels. Ook de externe convergentie van betalingsniveaus tussen lidstaten bleef voor verschillende lidstaten van belang. In de Raad was veel steun voor toepassing van gekoppelde steun</w:t>
      </w:r>
      <w:r w:rsidR="004A6F81">
        <w:t>. D</w:t>
      </w:r>
      <w:r>
        <w:t xml:space="preserve">eze is ondanks de inzet van Nederland verplicht gebleven in het compromisvoorstel. Tot slot was er discussie in welke mate de verwerking van producten gestimuleerd kan worden via het GLB-budget. </w:t>
      </w:r>
    </w:p>
    <w:p w:rsidRPr="003530D0" w:rsidR="00C04E96" w:rsidP="00BB3986" w:rsidRDefault="00C04E96" w14:paraId="7D464E2B" w14:textId="77777777">
      <w:pPr>
        <w:spacing w:after="160"/>
      </w:pPr>
      <w:r>
        <w:t xml:space="preserve">De Commissie gaf aan dat zij niet op alle onderdelen de voorkeur had voor de gekozen formuleringen, maar een compromis niet in de weg wilde staan. Ook wees de Commissie op het belang van stabiele uitvoeringssystemen en voldoende </w:t>
      </w:r>
      <w:r>
        <w:lastRenderedPageBreak/>
        <w:t>duidelijkheid over de toepassing van sancties. Bij niet-naleving die beperkt en niet-intentioneel is, zou ruimte moeten bestaan om rekening te houden met de omstandigheden en de wijze waarop toezicht wordt gehouden.</w:t>
      </w:r>
    </w:p>
    <w:p w:rsidRPr="003530D0" w:rsidR="00C04E96" w:rsidP="00BB3986" w:rsidRDefault="00C04E96" w14:paraId="0D31D0AB" w14:textId="755E7115">
      <w:pPr>
        <w:spacing w:after="160"/>
      </w:pPr>
      <w:r>
        <w:t>De Visegrad</w:t>
      </w:r>
      <w:r w:rsidR="003F106E">
        <w:t>-</w:t>
      </w:r>
      <w:r>
        <w:t xml:space="preserve">groep riep gezamenlijk met </w:t>
      </w:r>
      <w:r w:rsidRPr="25D12F89">
        <w:t>Bulgarije</w:t>
      </w:r>
      <w:r>
        <w:t>, Kroatië, Roemenië en Slovenië op om de nationale overgangssteun voort te zetten. Dit betreft een beperkte staat</w:t>
      </w:r>
      <w:r w:rsidR="004A6F81">
        <w:t>s</w:t>
      </w:r>
      <w:r>
        <w:t>steunvrijstelling voor de landbouwsector voor lidstaten die in 2004 lid werden van de EU. Afgesproken is dat deze steun in de komende periode helemaal wordt afgebouwd. Daarnaast vroeg deze groep lidstaten aandacht voor de crisisreserves en voor de vraag of uitsluitend nationale maatregelen voldoende zijn om boeren bij grote crises te ondersteunen. Verschillende lidstaten benadrukten in dit kader het strategische belang van voedselvoorziening en weerbaarheid van de landbouwsector.</w:t>
      </w:r>
    </w:p>
    <w:p w:rsidRPr="00726A12" w:rsidR="00C04E96" w:rsidP="00BB3986" w:rsidRDefault="00C04E96" w14:paraId="4B1EEC23" w14:textId="7BE2470C">
      <w:pPr>
        <w:spacing w:after="160"/>
        <w:rPr>
          <w:kern w:val="2"/>
          <w:szCs w:val="18"/>
          <w:u w:val="single"/>
          <w:lang w:eastAsia="en-US"/>
        </w:rPr>
      </w:pPr>
      <w:r w:rsidRPr="00072642">
        <w:rPr>
          <w:kern w:val="2"/>
          <w:szCs w:val="18"/>
          <w:u w:val="single"/>
          <w:lang w:eastAsia="en-US"/>
        </w:rPr>
        <w:t xml:space="preserve">Gedeeltelijke algemene oriëntatie van de Raad </w:t>
      </w:r>
      <w:r w:rsidR="004A6F81">
        <w:rPr>
          <w:kern w:val="2"/>
          <w:szCs w:val="18"/>
          <w:u w:val="single"/>
          <w:lang w:eastAsia="en-US"/>
        </w:rPr>
        <w:t xml:space="preserve">over het voorstel voor de </w:t>
      </w:r>
      <w:r w:rsidRPr="00072642">
        <w:rPr>
          <w:kern w:val="2"/>
          <w:szCs w:val="18"/>
          <w:u w:val="single"/>
          <w:lang w:eastAsia="en-US"/>
        </w:rPr>
        <w:t>G</w:t>
      </w:r>
      <w:r w:rsidRPr="00DB4E7F">
        <w:rPr>
          <w:kern w:val="2"/>
          <w:szCs w:val="18"/>
          <w:u w:val="single"/>
          <w:lang w:eastAsia="en-US"/>
        </w:rPr>
        <w:t xml:space="preserve">emeenschappelijke </w:t>
      </w:r>
      <w:r w:rsidRPr="00072642">
        <w:rPr>
          <w:kern w:val="2"/>
          <w:szCs w:val="18"/>
          <w:u w:val="single"/>
          <w:lang w:eastAsia="en-US"/>
        </w:rPr>
        <w:t>M</w:t>
      </w:r>
      <w:r w:rsidRPr="00DB4E7F">
        <w:rPr>
          <w:kern w:val="2"/>
          <w:szCs w:val="18"/>
          <w:u w:val="single"/>
          <w:lang w:eastAsia="en-US"/>
        </w:rPr>
        <w:t>arktordening (GMO)</w:t>
      </w:r>
      <w:r>
        <w:rPr>
          <w:kern w:val="2"/>
          <w:szCs w:val="18"/>
          <w:u w:val="single"/>
          <w:lang w:eastAsia="en-US"/>
        </w:rPr>
        <w:br/>
      </w:r>
      <w:r>
        <w:rPr>
          <w:szCs w:val="18"/>
        </w:rPr>
        <w:t>Onder dit agendapunt meldde het Ierse v</w:t>
      </w:r>
      <w:r w:rsidRPr="0021775E">
        <w:rPr>
          <w:szCs w:val="18"/>
        </w:rPr>
        <w:t xml:space="preserve">oorzitterschap </w:t>
      </w:r>
      <w:r>
        <w:rPr>
          <w:szCs w:val="18"/>
        </w:rPr>
        <w:t xml:space="preserve">dat tijdens de vergadering van het Speciaal Comité Landbouw van 19 oktober jl. met gekwalificeerde meerderheid (inclusief Nederland) </w:t>
      </w:r>
      <w:r w:rsidRPr="000134F9">
        <w:rPr>
          <w:szCs w:val="18"/>
        </w:rPr>
        <w:t>een</w:t>
      </w:r>
      <w:r>
        <w:rPr>
          <w:szCs w:val="18"/>
        </w:rPr>
        <w:t xml:space="preserve"> gedeeltelijke algemene oriëntatie van de Raad voor </w:t>
      </w:r>
      <w:r w:rsidRPr="003530D0">
        <w:rPr>
          <w:szCs w:val="18"/>
        </w:rPr>
        <w:t xml:space="preserve">het voorstel voor </w:t>
      </w:r>
      <w:r>
        <w:rPr>
          <w:szCs w:val="18"/>
        </w:rPr>
        <w:t>de GMO na 2027 is vastgesteld</w:t>
      </w:r>
      <w:r w:rsidRPr="0021775E">
        <w:rPr>
          <w:szCs w:val="18"/>
        </w:rPr>
        <w:t>.</w:t>
      </w:r>
      <w:r w:rsidRPr="003530D0">
        <w:rPr>
          <w:szCs w:val="18"/>
        </w:rPr>
        <w:t xml:space="preserve"> </w:t>
      </w:r>
      <w:r w:rsidRPr="000134F9">
        <w:rPr>
          <w:szCs w:val="18"/>
        </w:rPr>
        <w:t xml:space="preserve">In </w:t>
      </w:r>
      <w:r>
        <w:rPr>
          <w:szCs w:val="18"/>
        </w:rPr>
        <w:t>de Raadspositie blijven sectorale interventies voor de groenten- en fruitsector en</w:t>
      </w:r>
      <w:r w:rsidRPr="000134F9">
        <w:rPr>
          <w:szCs w:val="18"/>
        </w:rPr>
        <w:t xml:space="preserve"> </w:t>
      </w:r>
      <w:r>
        <w:rPr>
          <w:szCs w:val="18"/>
        </w:rPr>
        <w:t>de bijensector verplicht, maar krijgen lidstaten meer flexibiliteit in de omvang van programma’s, in lijn met de Nederlandse inzet. Anders dan het oorspronkelijke voorstel van de Commissie en de Nederlandse inzet</w:t>
      </w:r>
      <w:r w:rsidR="004A6F81">
        <w:rPr>
          <w:szCs w:val="18"/>
        </w:rPr>
        <w:t>,</w:t>
      </w:r>
      <w:r>
        <w:rPr>
          <w:szCs w:val="18"/>
        </w:rPr>
        <w:t xml:space="preserve"> worden sectorale interventies voor eiwithoudende gewassen niet verplicht, maar vrijwillig. Omgekeerd worden op aandringen van een meerderheid van lidstaten en tegen de Nederlandse inzet, sectorale interventies in de wijnsector verplicht, maar zijn afwijkingen toegestaan voor lidstaten waar deze sector niet voldoende is ontwikkeld of de doelen op andere wijze kunnen worden behaald. </w:t>
      </w:r>
      <w:r>
        <w:rPr>
          <w:rFonts w:eastAsia="MS Mincho"/>
          <w:lang w:eastAsia="ja-JP"/>
        </w:rPr>
        <w:t>Ook blijven de schoolregelingen voor groenten, fruit en zuivel een verplichte interventie.</w:t>
      </w:r>
      <w:r w:rsidRPr="000134F9">
        <w:rPr>
          <w:rFonts w:eastAsia="MS Mincho"/>
          <w:lang w:eastAsia="ja-JP"/>
        </w:rPr>
        <w:t xml:space="preserve"> </w:t>
      </w:r>
      <w:r>
        <w:rPr>
          <w:rFonts w:eastAsia="MS Mincho"/>
          <w:lang w:eastAsia="ja-JP"/>
        </w:rPr>
        <w:t>Nederland was flexibel op dit punt. Tot slot</w:t>
      </w:r>
      <w:r w:rsidRPr="001E6599">
        <w:rPr>
          <w:rFonts w:eastAsia="MS Mincho"/>
          <w:lang w:eastAsia="ja-JP"/>
        </w:rPr>
        <w:t xml:space="preserve"> krijgen</w:t>
      </w:r>
      <w:r>
        <w:rPr>
          <w:rFonts w:eastAsia="MS Mincho"/>
          <w:lang w:eastAsia="ja-JP"/>
        </w:rPr>
        <w:t>, in lijn met de Commissievoorstellen, landbouwers</w:t>
      </w:r>
      <w:r w:rsidRPr="001E6599">
        <w:rPr>
          <w:rFonts w:eastAsia="MS Mincho"/>
          <w:lang w:eastAsia="ja-JP"/>
        </w:rPr>
        <w:t xml:space="preserve"> </w:t>
      </w:r>
      <w:r>
        <w:rPr>
          <w:rFonts w:eastAsia="MS Mincho"/>
          <w:lang w:eastAsia="ja-JP"/>
        </w:rPr>
        <w:t>bij</w:t>
      </w:r>
      <w:r w:rsidRPr="001E6599">
        <w:rPr>
          <w:rFonts w:eastAsia="MS Mincho"/>
          <w:lang w:eastAsia="ja-JP"/>
        </w:rPr>
        <w:t xml:space="preserve"> de teelt van hennep meer rechtszekerheid door </w:t>
      </w:r>
      <w:r>
        <w:rPr>
          <w:rFonts w:eastAsia="MS Mincho"/>
          <w:lang w:eastAsia="ja-JP"/>
        </w:rPr>
        <w:t xml:space="preserve">een EU-brede toepassing van een maximum THC-gehalte van 0,3% bij het telen van hennepvariëteiten en het </w:t>
      </w:r>
      <w:r w:rsidRPr="001E6599">
        <w:rPr>
          <w:rFonts w:eastAsia="MS Mincho"/>
          <w:lang w:eastAsia="ja-JP"/>
        </w:rPr>
        <w:t>opnemen van alle plantonderdelen in de verordening</w:t>
      </w:r>
      <w:r>
        <w:rPr>
          <w:rFonts w:eastAsia="MS Mincho"/>
          <w:lang w:eastAsia="ja-JP"/>
        </w:rPr>
        <w:t>. Hierbij gelden</w:t>
      </w:r>
      <w:r w:rsidR="004A6F81">
        <w:rPr>
          <w:rFonts w:eastAsia="MS Mincho"/>
          <w:lang w:eastAsia="ja-JP"/>
        </w:rPr>
        <w:t xml:space="preserve"> </w:t>
      </w:r>
      <w:r w:rsidRPr="00C22169">
        <w:rPr>
          <w:rFonts w:eastAsia="Verdana" w:cs="Verdana"/>
          <w:szCs w:val="18"/>
        </w:rPr>
        <w:t>strenge regels omtrent zaadselectie</w:t>
      </w:r>
      <w:r>
        <w:rPr>
          <w:rFonts w:eastAsia="MS Mincho"/>
          <w:lang w:eastAsia="ja-JP"/>
        </w:rPr>
        <w:t xml:space="preserve"> en controles en zijn aanvullende waarborgen</w:t>
      </w:r>
      <w:r w:rsidRPr="001E6599">
        <w:rPr>
          <w:rFonts w:eastAsia="MS Mincho"/>
          <w:lang w:eastAsia="ja-JP"/>
        </w:rPr>
        <w:t xml:space="preserve"> ingebouwd </w:t>
      </w:r>
      <w:r>
        <w:rPr>
          <w:rFonts w:eastAsia="MS Mincho"/>
          <w:lang w:eastAsia="ja-JP"/>
        </w:rPr>
        <w:t>voor de</w:t>
      </w:r>
      <w:r w:rsidRPr="001E6599">
        <w:rPr>
          <w:rFonts w:eastAsia="MS Mincho"/>
          <w:lang w:eastAsia="ja-JP"/>
        </w:rPr>
        <w:t xml:space="preserve"> volksgezondheid en </w:t>
      </w:r>
      <w:r w:rsidR="004A6F81">
        <w:rPr>
          <w:rFonts w:eastAsia="MS Mincho"/>
          <w:lang w:eastAsia="ja-JP"/>
        </w:rPr>
        <w:t xml:space="preserve">de </w:t>
      </w:r>
      <w:r w:rsidRPr="001E6599">
        <w:rPr>
          <w:rFonts w:eastAsia="MS Mincho"/>
          <w:lang w:eastAsia="ja-JP"/>
        </w:rPr>
        <w:t>openbare veilighei</w:t>
      </w:r>
      <w:r>
        <w:rPr>
          <w:rFonts w:eastAsia="MS Mincho"/>
          <w:lang w:eastAsia="ja-JP"/>
        </w:rPr>
        <w:t>d</w:t>
      </w:r>
      <w:r w:rsidRPr="001E6599">
        <w:rPr>
          <w:rFonts w:eastAsia="MS Mincho"/>
          <w:lang w:eastAsia="ja-JP"/>
        </w:rPr>
        <w:t xml:space="preserve">. </w:t>
      </w:r>
      <w:r>
        <w:rPr>
          <w:rFonts w:eastAsia="MS Mincho"/>
          <w:lang w:eastAsia="ja-JP"/>
        </w:rPr>
        <w:t>Deze uitkomst was in lijn met de Nederlandse inzet.</w:t>
      </w:r>
    </w:p>
    <w:p w:rsidRPr="003530D0" w:rsidR="00C04E96" w:rsidP="00BB3986" w:rsidRDefault="00C04E96" w14:paraId="7C55E782" w14:textId="77777777">
      <w:pPr>
        <w:rPr>
          <w:rFonts w:eastAsia="MS Mincho"/>
          <w:szCs w:val="18"/>
        </w:rPr>
      </w:pPr>
    </w:p>
    <w:p w:rsidRPr="000B6920" w:rsidR="00C04E96" w:rsidP="00BB3986" w:rsidRDefault="00C04E96" w14:paraId="069F5C8B" w14:textId="77777777">
      <w:pPr>
        <w:spacing w:after="160"/>
        <w:rPr>
          <w:kern w:val="2"/>
          <w:lang w:eastAsia="en-US"/>
        </w:rPr>
      </w:pPr>
      <w:r w:rsidRPr="00585CD9">
        <w:rPr>
          <w:kern w:val="2"/>
          <w:szCs w:val="18"/>
          <w:u w:val="single"/>
          <w:lang w:eastAsia="en-US"/>
        </w:rPr>
        <w:t xml:space="preserve">Visserij: </w:t>
      </w:r>
      <w:r w:rsidRPr="009F465B">
        <w:rPr>
          <w:kern w:val="2"/>
          <w:szCs w:val="18"/>
          <w:u w:val="single"/>
          <w:lang w:eastAsia="en-US"/>
        </w:rPr>
        <w:t>Verordening vangstmogelijkheden Oostzee</w:t>
      </w:r>
      <w:r>
        <w:rPr>
          <w:kern w:val="2"/>
          <w:lang w:eastAsia="en-US"/>
        </w:rPr>
        <w:br/>
      </w:r>
      <w:r w:rsidRPr="000B6920">
        <w:rPr>
          <w:kern w:val="2"/>
          <w:lang w:eastAsia="en-US"/>
        </w:rPr>
        <w:t>De Raad heeft met unanimiteit een politiek akkoord bereikt over de vangstmogelijkheden in de Oostzee voor 2027. Uit de wetenschappelijke adviezen van de Internationale Raad voor het Onderzoek van de Zee (</w:t>
      </w:r>
      <w:r w:rsidRPr="000B6920">
        <w:rPr>
          <w:i/>
          <w:iCs/>
          <w:kern w:val="2"/>
          <w:lang w:eastAsia="en-US"/>
        </w:rPr>
        <w:t>International Council for the Exploration of the Sea</w:t>
      </w:r>
      <w:r w:rsidRPr="000B6920">
        <w:rPr>
          <w:kern w:val="2"/>
          <w:lang w:eastAsia="en-US"/>
        </w:rPr>
        <w:t>, ICES) blijkt dat het met veel bestanden in de Oostzee niet goed gaat. Ondanks dat de afgelopen jaren strenge maatregelen zijn genomen, blijkt er nauwelijks herstel van de visstand. Voor een aantal visbestanden geldt dat er een nulvangst of zeer lage vangstmogelijkheden worden geadviseerd. De Commissie benadrukte dat de visbestanden en het ecosysteem onder druk blijven staan en benoemde het belang van herstelmaatregelen en naleving van de Europese regelgeving. </w:t>
      </w:r>
    </w:p>
    <w:p w:rsidRPr="00585CD9" w:rsidR="00C04E96" w:rsidP="00BB3986" w:rsidRDefault="00C04E96" w14:paraId="2AADECC8" w14:textId="4325189B">
      <w:pPr>
        <w:spacing w:after="160"/>
        <w:rPr>
          <w:kern w:val="2"/>
          <w:szCs w:val="18"/>
          <w:lang w:eastAsia="en-US"/>
        </w:rPr>
      </w:pPr>
      <w:r w:rsidRPr="000B6920">
        <w:rPr>
          <w:kern w:val="2"/>
          <w:lang w:eastAsia="en-US"/>
        </w:rPr>
        <w:lastRenderedPageBreak/>
        <w:t xml:space="preserve">Tegelijkertijd wees de Commissie op het belang van de sociaaleconomische positie van vissers en kustgemeenschappen. Meerdere lidstaten benadrukten dat besluiten over vangstmogelijkheden moeten aansluiten bij de best beschikbare wetenschappelijke adviezen. Sommige lidstaten pleitten daarnaast voor het belang van een evenwicht tussen ecologische duurzaamheid en het behoud van de kleinschalige kustvisserij. De Commissie wees erop dat de pelagische visbestanden kwetsbaar blijven en dat de wetenschappelijke ramingen onzekerheden kennen. Bij sommige bestanden bieden </w:t>
      </w:r>
      <w:r w:rsidRPr="25D12F89">
        <w:rPr>
          <w:lang w:eastAsia="en-US"/>
        </w:rPr>
        <w:t xml:space="preserve">positieve ontwikkelingen ruimte voor aanpassingen van de vangstmogelijkheden, maar </w:t>
      </w:r>
      <w:r w:rsidR="00222625">
        <w:rPr>
          <w:lang w:eastAsia="en-US"/>
        </w:rPr>
        <w:t xml:space="preserve">dit </w:t>
      </w:r>
      <w:r w:rsidRPr="25D12F89">
        <w:rPr>
          <w:lang w:eastAsia="en-US"/>
        </w:rPr>
        <w:t>vraagt een voorzichtige benadering. Verschillende lidstaten wezen erop dat de verbeteringen voor sommige visbestanden laten zien dat de eerder genomen instandhoudingsmaatregelen effect hebben gehad. Tegelijkertijd werd onderkend dat de toestand van de bestanden niet overal hetzelfde is en dat voorzichtigheid nodig blijft.</w:t>
      </w:r>
    </w:p>
    <w:p w:rsidR="00C04E96" w:rsidP="00BB3986" w:rsidRDefault="00C04E96" w14:paraId="6D61758B" w14:textId="77777777">
      <w:pPr>
        <w:rPr>
          <w:szCs w:val="18"/>
        </w:rPr>
      </w:pPr>
      <w:r w:rsidRPr="00DB4E7F">
        <w:rPr>
          <w:u w:val="single"/>
        </w:rPr>
        <w:t>Jaarlijkse vergadering van de International Commission for the Conservation of Atlantic Tuna (ICCAT)</w:t>
      </w:r>
    </w:p>
    <w:p w:rsidRPr="00D620E4" w:rsidR="00C04E96" w:rsidP="00BB3986" w:rsidRDefault="00C04E96" w14:paraId="4EE73AE0" w14:textId="5639D140">
      <w:pPr>
        <w:rPr>
          <w:szCs w:val="18"/>
        </w:rPr>
      </w:pPr>
      <w:r>
        <w:rPr>
          <w:szCs w:val="18"/>
        </w:rPr>
        <w:t xml:space="preserve">De Raad besprak de voorbereiding van de </w:t>
      </w:r>
      <w:r w:rsidRPr="00A11B52">
        <w:rPr>
          <w:szCs w:val="18"/>
        </w:rPr>
        <w:t>ICCAT-</w:t>
      </w:r>
      <w:r>
        <w:rPr>
          <w:szCs w:val="18"/>
        </w:rPr>
        <w:t>jaar</w:t>
      </w:r>
      <w:r w:rsidRPr="00A11B52">
        <w:rPr>
          <w:szCs w:val="18"/>
        </w:rPr>
        <w:t xml:space="preserve">vergadering </w:t>
      </w:r>
      <w:r>
        <w:rPr>
          <w:szCs w:val="18"/>
        </w:rPr>
        <w:t xml:space="preserve">die </w:t>
      </w:r>
      <w:r w:rsidRPr="00A11B52">
        <w:rPr>
          <w:szCs w:val="18"/>
        </w:rPr>
        <w:t xml:space="preserve">van 16 tot en met 23 </w:t>
      </w:r>
      <w:r>
        <w:rPr>
          <w:szCs w:val="18"/>
        </w:rPr>
        <w:t>november</w:t>
      </w:r>
      <w:r w:rsidRPr="00A11B52">
        <w:rPr>
          <w:szCs w:val="18"/>
        </w:rPr>
        <w:t xml:space="preserve"> </w:t>
      </w:r>
      <w:r w:rsidR="00222625">
        <w:rPr>
          <w:szCs w:val="18"/>
        </w:rPr>
        <w:t xml:space="preserve">a.s. </w:t>
      </w:r>
      <w:r w:rsidRPr="00A11B52">
        <w:rPr>
          <w:szCs w:val="18"/>
        </w:rPr>
        <w:t>in Portugal</w:t>
      </w:r>
      <w:r>
        <w:rPr>
          <w:szCs w:val="18"/>
        </w:rPr>
        <w:t xml:space="preserve"> plaatsvindt. De Commissie</w:t>
      </w:r>
      <w:r w:rsidRPr="00A11B52">
        <w:rPr>
          <w:szCs w:val="18"/>
        </w:rPr>
        <w:t xml:space="preserve"> lichtte toe dat ICCAT een van de belangrijkste regionale visserijbeheersorganisaties is voor de EU en benadrukte de belangrijke rol van de </w:t>
      </w:r>
      <w:r>
        <w:rPr>
          <w:szCs w:val="18"/>
        </w:rPr>
        <w:t>EU</w:t>
      </w:r>
      <w:r w:rsidRPr="00A11B52">
        <w:rPr>
          <w:szCs w:val="18"/>
        </w:rPr>
        <w:t xml:space="preserve"> in het duurzaam beheer van visbestanden in ICCAT-verband. De</w:t>
      </w:r>
      <w:r w:rsidRPr="00A11B52" w:rsidDel="00851131">
        <w:rPr>
          <w:szCs w:val="18"/>
        </w:rPr>
        <w:t xml:space="preserve"> </w:t>
      </w:r>
      <w:r>
        <w:rPr>
          <w:szCs w:val="18"/>
        </w:rPr>
        <w:t>Commissie</w:t>
      </w:r>
      <w:r w:rsidRPr="00A11B52">
        <w:rPr>
          <w:szCs w:val="18"/>
        </w:rPr>
        <w:t xml:space="preserve"> gaf onder meer aan dat succesvolle beheersmaatregelen hebben geleid tot een gestegen quotum voor blauwvintonijn, wat vervolgens moet leiden tot stabiliteit en een geleidelijke verhoging van de vangstmogelijkheden voor Europese vissers. Ook benoemde de </w:t>
      </w:r>
      <w:r>
        <w:rPr>
          <w:szCs w:val="18"/>
        </w:rPr>
        <w:t xml:space="preserve">Commissie </w:t>
      </w:r>
      <w:r w:rsidRPr="00A11B52">
        <w:rPr>
          <w:szCs w:val="18"/>
        </w:rPr>
        <w:t>dat de EU zich zal inzetten voor</w:t>
      </w:r>
      <w:r w:rsidRPr="00A11B52" w:rsidDel="0088605D">
        <w:rPr>
          <w:szCs w:val="18"/>
        </w:rPr>
        <w:t xml:space="preserve"> </w:t>
      </w:r>
      <w:r w:rsidRPr="00A11B52">
        <w:rPr>
          <w:szCs w:val="18"/>
        </w:rPr>
        <w:t xml:space="preserve">een beheerskader voor geelvintonijn, aangezien de quota daarvoor stelselmatig worden overschreden. Tot slot benadrukte de Commissie dat strikte en correcte uitvoering van ICCAT-regels door alle verdragspartijen van belang is om een gelijk speelveld te garanderen voor EU-marktdeelnemers. Dit werd door een aantal lidstaten onderschreven, waarbij enkele lidstaten het tegengaan van illegale, ongemelde en ongereglementeerde visserij benoemden. </w:t>
      </w:r>
      <w:r>
        <w:rPr>
          <w:szCs w:val="18"/>
        </w:rPr>
        <w:t xml:space="preserve">Ook </w:t>
      </w:r>
      <w:r w:rsidRPr="00A11B52">
        <w:rPr>
          <w:szCs w:val="18"/>
        </w:rPr>
        <w:t xml:space="preserve">benoemden </w:t>
      </w:r>
      <w:r>
        <w:rPr>
          <w:szCs w:val="18"/>
        </w:rPr>
        <w:t>e</w:t>
      </w:r>
      <w:r w:rsidRPr="00A11B52">
        <w:rPr>
          <w:szCs w:val="18"/>
        </w:rPr>
        <w:t xml:space="preserve">nkele lidstaten de noodzaak om duurzaam te vissen en quota niet te overschrijden. Tegelijkertijd benoemden </w:t>
      </w:r>
      <w:r>
        <w:rPr>
          <w:szCs w:val="18"/>
        </w:rPr>
        <w:t>sommige</w:t>
      </w:r>
      <w:r w:rsidRPr="00A11B52" w:rsidDel="00C312AD">
        <w:rPr>
          <w:szCs w:val="18"/>
        </w:rPr>
        <w:t xml:space="preserve"> </w:t>
      </w:r>
      <w:r w:rsidRPr="00A11B52">
        <w:rPr>
          <w:szCs w:val="18"/>
        </w:rPr>
        <w:t>andere lidstaten dat meer rekening moet worden gehouden met de sociaaleconomische omstandigheden van de visserijsector of dat quota moeten worden verhoogd.</w:t>
      </w:r>
      <w:r>
        <w:rPr>
          <w:szCs w:val="18"/>
        </w:rPr>
        <w:t xml:space="preserve"> </w:t>
      </w:r>
      <w:r>
        <w:rPr>
          <w:szCs w:val="18"/>
        </w:rPr>
        <w:br/>
      </w:r>
    </w:p>
    <w:p w:rsidRPr="00A11B52" w:rsidR="00C04E96" w:rsidP="00BB3986" w:rsidRDefault="00C04E96" w14:paraId="17CA7413" w14:textId="77777777">
      <w:pPr>
        <w:rPr>
          <w:szCs w:val="18"/>
        </w:rPr>
      </w:pPr>
      <w:r>
        <w:rPr>
          <w:kern w:val="2"/>
          <w:szCs w:val="18"/>
          <w:u w:val="single"/>
          <w:lang w:eastAsia="en-US"/>
        </w:rPr>
        <w:t>Handelsgerelateerde landbouwvraagstukken</w:t>
      </w:r>
      <w:r w:rsidRPr="00585CD9">
        <w:rPr>
          <w:kern w:val="2"/>
          <w:szCs w:val="18"/>
          <w:u w:val="single"/>
          <w:lang w:eastAsia="en-US"/>
        </w:rPr>
        <w:t xml:space="preserve"> </w:t>
      </w:r>
      <w:r>
        <w:rPr>
          <w:kern w:val="2"/>
          <w:szCs w:val="18"/>
          <w:u w:val="single"/>
          <w:lang w:eastAsia="en-US"/>
        </w:rPr>
        <w:br/>
      </w:r>
      <w:r w:rsidRPr="0066130F">
        <w:rPr>
          <w:szCs w:val="18"/>
        </w:rPr>
        <w:t xml:space="preserve">De Commissie informeerde zoals gebruikelijk de Raad over de laatste ontwikkelingen met betrekking tot handel en de stand van zaken in lopende bilaterale onderhandelingen over handelsakkoorden. </w:t>
      </w:r>
      <w:r>
        <w:rPr>
          <w:szCs w:val="18"/>
        </w:rPr>
        <w:t xml:space="preserve">Het Ierse voorzitterschap </w:t>
      </w:r>
      <w:r w:rsidRPr="00A11B52">
        <w:rPr>
          <w:szCs w:val="18"/>
        </w:rPr>
        <w:t>benadrukte</w:t>
      </w:r>
      <w:r w:rsidRPr="00A11B52" w:rsidDel="00DA6904">
        <w:rPr>
          <w:szCs w:val="18"/>
        </w:rPr>
        <w:t xml:space="preserve"> </w:t>
      </w:r>
      <w:r w:rsidRPr="00A11B52">
        <w:rPr>
          <w:szCs w:val="18"/>
        </w:rPr>
        <w:t xml:space="preserve">de structurele veerkracht van de agrovoedingssector, die onder meer blijkt uit het ten opzichte van dezelfde periode in 2025 toegenomen handelsoverschot. </w:t>
      </w:r>
      <w:r>
        <w:rPr>
          <w:szCs w:val="18"/>
        </w:rPr>
        <w:t>In dit kader</w:t>
      </w:r>
      <w:r w:rsidRPr="00A11B52">
        <w:rPr>
          <w:szCs w:val="18"/>
        </w:rPr>
        <w:t xml:space="preserve"> vroeg het voorzitterschap om inbreng over hoe de Commissie en de lidstaten </w:t>
      </w:r>
      <w:r>
        <w:rPr>
          <w:szCs w:val="18"/>
        </w:rPr>
        <w:t>kunnen samenwerken om beter te kunnen profiteren van het groeiende netwerk van EU-handelsovereenkomsten om nieuwe exportkansen te creëren</w:t>
      </w:r>
      <w:r w:rsidRPr="00A11B52">
        <w:rPr>
          <w:szCs w:val="18"/>
        </w:rPr>
        <w:t xml:space="preserve"> voor de agrovoedingssector. </w:t>
      </w:r>
    </w:p>
    <w:p w:rsidR="00C04E96" w:rsidP="00BB3986" w:rsidRDefault="00C04E96" w14:paraId="4CD3C86E" w14:textId="77777777">
      <w:pPr>
        <w:rPr>
          <w:szCs w:val="18"/>
        </w:rPr>
      </w:pPr>
    </w:p>
    <w:p w:rsidRPr="00A11B52" w:rsidR="00C04E96" w:rsidP="00BB3986" w:rsidRDefault="00C04E96" w14:paraId="73BD0165" w14:textId="19AC6A1D">
      <w:pPr>
        <w:rPr>
          <w:szCs w:val="18"/>
        </w:rPr>
      </w:pPr>
      <w:r w:rsidRPr="00A11B52">
        <w:rPr>
          <w:szCs w:val="18"/>
        </w:rPr>
        <w:t xml:space="preserve">De Commissie onderstreepte het belang van diversificatie van handelsstromen. Daarnaast informeerde </w:t>
      </w:r>
      <w:r>
        <w:rPr>
          <w:szCs w:val="18"/>
        </w:rPr>
        <w:t>ze</w:t>
      </w:r>
      <w:r w:rsidRPr="00A11B52">
        <w:rPr>
          <w:szCs w:val="18"/>
        </w:rPr>
        <w:t xml:space="preserve"> de Raad over de voorgenomen publicatie van een </w:t>
      </w:r>
      <w:r w:rsidRPr="00A11B52">
        <w:rPr>
          <w:szCs w:val="18"/>
        </w:rPr>
        <w:lastRenderedPageBreak/>
        <w:t>rapport over de voorlopige toepassing van het Mercosur-</w:t>
      </w:r>
      <w:r>
        <w:rPr>
          <w:szCs w:val="18"/>
        </w:rPr>
        <w:t xml:space="preserve">akkoord </w:t>
      </w:r>
      <w:r w:rsidRPr="00A11B52">
        <w:rPr>
          <w:szCs w:val="18"/>
        </w:rPr>
        <w:t>in december</w:t>
      </w:r>
      <w:r w:rsidR="00222625">
        <w:rPr>
          <w:szCs w:val="18"/>
        </w:rPr>
        <w:t xml:space="preserve"> a.s</w:t>
      </w:r>
      <w:r>
        <w:rPr>
          <w:szCs w:val="18"/>
        </w:rPr>
        <w:t xml:space="preserve">. Conform </w:t>
      </w:r>
      <w:r w:rsidR="00222625">
        <w:rPr>
          <w:szCs w:val="18"/>
        </w:rPr>
        <w:t>V</w:t>
      </w:r>
      <w:r>
        <w:rPr>
          <w:szCs w:val="18"/>
        </w:rPr>
        <w:t>erordening (EU) 2026/687 monitort de Commissie de gevoelige producten die onder de overeenkomst preferentiële markttoegang genieten. In het rapport zal de Commissie een beoordeling geven van de gevolgen van de invoer van gevoelige producten. Ten slotte ging de Commissie in op</w:t>
      </w:r>
      <w:r w:rsidRPr="00A11B52" w:rsidDel="00C203F5">
        <w:rPr>
          <w:szCs w:val="18"/>
        </w:rPr>
        <w:t xml:space="preserve"> </w:t>
      </w:r>
      <w:r w:rsidRPr="00A11B52">
        <w:rPr>
          <w:szCs w:val="18"/>
        </w:rPr>
        <w:t xml:space="preserve">de afgeronde Europese implementatie van de </w:t>
      </w:r>
      <w:r w:rsidRPr="00DB4E7F">
        <w:rPr>
          <w:i/>
          <w:iCs/>
          <w:szCs w:val="18"/>
        </w:rPr>
        <w:t>Turnberry Deal</w:t>
      </w:r>
      <w:r w:rsidRPr="00A11B52">
        <w:rPr>
          <w:szCs w:val="18"/>
        </w:rPr>
        <w:t xml:space="preserve"> met de Verenigde Staten</w:t>
      </w:r>
      <w:r>
        <w:rPr>
          <w:szCs w:val="18"/>
        </w:rPr>
        <w:t>.</w:t>
      </w:r>
      <w:r w:rsidRPr="00A11B52">
        <w:rPr>
          <w:szCs w:val="18"/>
        </w:rPr>
        <w:t xml:space="preserve"> </w:t>
      </w:r>
    </w:p>
    <w:p w:rsidR="00C04E96" w:rsidP="00BB3986" w:rsidRDefault="00C04E96" w14:paraId="34EB6CF0" w14:textId="77777777">
      <w:pPr>
        <w:rPr>
          <w:szCs w:val="18"/>
        </w:rPr>
      </w:pPr>
    </w:p>
    <w:p w:rsidRPr="00A11B52" w:rsidR="00C04E96" w:rsidP="00BB3986" w:rsidRDefault="00C04E96" w14:paraId="46BF06BC" w14:textId="066F9A88">
      <w:pPr>
        <w:rPr>
          <w:szCs w:val="18"/>
        </w:rPr>
      </w:pPr>
      <w:r w:rsidRPr="00A11B52">
        <w:rPr>
          <w:szCs w:val="18"/>
        </w:rPr>
        <w:t>Om de exportmogelijkheden voor de agrovoedingssector te vergroten pleitte Nederland voor het sluiten van handelsovereenkomsten en goede informatievoorziening aan ondernemers, onder andere door het organiseren van evenementen.</w:t>
      </w:r>
      <w:r>
        <w:rPr>
          <w:szCs w:val="18"/>
        </w:rPr>
        <w:t xml:space="preserve"> Ook benoemde Nederland het belang van handelsmissies, zoals </w:t>
      </w:r>
      <w:r w:rsidRPr="003C0BB2">
        <w:rPr>
          <w:szCs w:val="18"/>
        </w:rPr>
        <w:t xml:space="preserve">het </w:t>
      </w:r>
      <w:r>
        <w:rPr>
          <w:szCs w:val="18"/>
        </w:rPr>
        <w:t xml:space="preserve">recente </w:t>
      </w:r>
      <w:r w:rsidRPr="003C0BB2">
        <w:rPr>
          <w:szCs w:val="18"/>
        </w:rPr>
        <w:t xml:space="preserve">bezoek van de </w:t>
      </w:r>
      <w:r w:rsidR="00222625">
        <w:rPr>
          <w:szCs w:val="18"/>
        </w:rPr>
        <w:t>s</w:t>
      </w:r>
      <w:r w:rsidRPr="003C0BB2">
        <w:rPr>
          <w:szCs w:val="18"/>
        </w:rPr>
        <w:t>taatssecretaris</w:t>
      </w:r>
      <w:r>
        <w:rPr>
          <w:szCs w:val="18"/>
        </w:rPr>
        <w:t xml:space="preserve"> </w:t>
      </w:r>
      <w:r w:rsidRPr="003C0BB2">
        <w:rPr>
          <w:szCs w:val="18"/>
        </w:rPr>
        <w:t>aan India met een handelsmissie</w:t>
      </w:r>
      <w:r>
        <w:rPr>
          <w:szCs w:val="18"/>
        </w:rPr>
        <w:t xml:space="preserve">. </w:t>
      </w:r>
    </w:p>
    <w:p w:rsidR="00C04E96" w:rsidP="00BB3986" w:rsidRDefault="00C04E96" w14:paraId="29722214" w14:textId="77777777">
      <w:pPr>
        <w:rPr>
          <w:szCs w:val="18"/>
        </w:rPr>
      </w:pPr>
    </w:p>
    <w:p w:rsidRPr="00A11B52" w:rsidR="00C04E96" w:rsidP="00BB3986" w:rsidRDefault="00C04E96" w14:paraId="1A92338F" w14:textId="35E1D045">
      <w:pPr>
        <w:rPr>
          <w:szCs w:val="18"/>
        </w:rPr>
      </w:pPr>
      <w:r w:rsidRPr="00A11B52">
        <w:rPr>
          <w:szCs w:val="18"/>
        </w:rPr>
        <w:t>Een meerderheid van de lidstaten erkende de meerwaarde van handelsovereenkomsten en diversificatie van handelsstromen. Een aantal lidstaten vroeg</w:t>
      </w:r>
      <w:r>
        <w:rPr>
          <w:szCs w:val="18"/>
        </w:rPr>
        <w:t>en</w:t>
      </w:r>
      <w:r w:rsidRPr="00A11B52">
        <w:rPr>
          <w:szCs w:val="18"/>
        </w:rPr>
        <w:t xml:space="preserve"> aandacht voor de gevoeligheden van landbouw- en visserijproducten en de noodzaak om Europese markten en producten te beschermen, gelet op de crises waarmee boeren worden geconfronteerd</w:t>
      </w:r>
      <w:r>
        <w:rPr>
          <w:szCs w:val="18"/>
        </w:rPr>
        <w:t>, zoals droogte</w:t>
      </w:r>
      <w:r w:rsidRPr="00A11B52">
        <w:rPr>
          <w:szCs w:val="18"/>
        </w:rPr>
        <w:t xml:space="preserve">. Ook </w:t>
      </w:r>
      <w:r>
        <w:rPr>
          <w:szCs w:val="18"/>
        </w:rPr>
        <w:t>benadrukte een aantal lidstaten het belang van een gelijk speelveld</w:t>
      </w:r>
      <w:r w:rsidRPr="00A11B52">
        <w:rPr>
          <w:szCs w:val="18"/>
        </w:rPr>
        <w:t xml:space="preserve">. Verder verzochten meerdere lidstaten de Commissie om door derde landen opgeworpen tarifaire en non-tarifaire exportbelemmeringen voor ondernemers weg te nemen en de cumulatieve </w:t>
      </w:r>
      <w:r>
        <w:rPr>
          <w:szCs w:val="18"/>
        </w:rPr>
        <w:t xml:space="preserve">economische </w:t>
      </w:r>
      <w:r w:rsidRPr="00A11B52">
        <w:rPr>
          <w:szCs w:val="18"/>
        </w:rPr>
        <w:t xml:space="preserve">effecten van handelsovereenkomsten op </w:t>
      </w:r>
      <w:r>
        <w:rPr>
          <w:szCs w:val="18"/>
        </w:rPr>
        <w:t xml:space="preserve">de landbouw op </w:t>
      </w:r>
      <w:r w:rsidRPr="00A11B52">
        <w:rPr>
          <w:szCs w:val="18"/>
        </w:rPr>
        <w:t>regelmatige basis te onderzoeken. Nederland verwelkomde het initiatief van de Commissie om met de Mercosur-landen in gesprek te gaan over een juiste toepassing van tariefquota</w:t>
      </w:r>
      <w:r>
        <w:rPr>
          <w:szCs w:val="18"/>
        </w:rPr>
        <w:t xml:space="preserve"> onder het EU-Mercosur</w:t>
      </w:r>
      <w:r w:rsidR="00CB3BAF">
        <w:rPr>
          <w:szCs w:val="18"/>
        </w:rPr>
        <w:t>-</w:t>
      </w:r>
      <w:r>
        <w:rPr>
          <w:szCs w:val="18"/>
        </w:rPr>
        <w:t>akkoord</w:t>
      </w:r>
      <w:r w:rsidRPr="00A11B52">
        <w:rPr>
          <w:szCs w:val="18"/>
        </w:rPr>
        <w:t xml:space="preserve">. </w:t>
      </w:r>
    </w:p>
    <w:p w:rsidR="00C04E96" w:rsidP="00BB3986" w:rsidRDefault="00C04E96" w14:paraId="75D0A3B4" w14:textId="77777777">
      <w:pPr>
        <w:rPr>
          <w:szCs w:val="18"/>
        </w:rPr>
      </w:pPr>
    </w:p>
    <w:p w:rsidRPr="000B2450" w:rsidR="00C04E96" w:rsidP="00BB3986" w:rsidRDefault="00C04E96" w14:paraId="6025176A" w14:textId="77777777">
      <w:pPr>
        <w:rPr>
          <w:szCs w:val="18"/>
        </w:rPr>
      </w:pPr>
      <w:r w:rsidRPr="00A11B52">
        <w:rPr>
          <w:szCs w:val="18"/>
        </w:rPr>
        <w:t>Een groot aantal lidstaten, waaronder Nederland, benadrukte het zwaarwegende belang van de steun aan Oekraïne, in het bijzonder gelet op de moeilijkheden bij de uitvoer van Oekraïense landbouwproducten via de Zwarte Zee. Ook benoemden enkele lidstaten dat de invoer in de EU van illegaal Russisch graan moet worden gestopt en handel met Rusland verder moet worden beperkt. Aan de andere kant vroegen enkele lidstaten aandacht voor de verstorende effecten van de invoer van Oekraïense producten op hun nationale markten.</w:t>
      </w:r>
    </w:p>
    <w:p w:rsidR="00C04E96" w:rsidP="00BB3986" w:rsidRDefault="00C04E96" w14:paraId="0A00346C" w14:textId="77777777">
      <w:pPr>
        <w:rPr>
          <w:kern w:val="2"/>
          <w:szCs w:val="18"/>
          <w:u w:val="single"/>
          <w:lang w:eastAsia="en-US"/>
        </w:rPr>
      </w:pPr>
    </w:p>
    <w:p w:rsidR="00C04E96" w:rsidP="00BB3986" w:rsidRDefault="00C04E96" w14:paraId="44E7D0D3" w14:textId="77777777">
      <w:pPr>
        <w:spacing w:after="160"/>
        <w:rPr>
          <w:szCs w:val="18"/>
        </w:rPr>
      </w:pPr>
      <w:r w:rsidRPr="00EB37A8">
        <w:rPr>
          <w:kern w:val="2"/>
          <w:u w:val="single"/>
          <w:lang w:eastAsia="en-US"/>
        </w:rPr>
        <w:t xml:space="preserve">Diversenpunt </w:t>
      </w:r>
      <w:r>
        <w:rPr>
          <w:kern w:val="2"/>
          <w:u w:val="single"/>
          <w:lang w:eastAsia="en-US"/>
        </w:rPr>
        <w:t>Commissie</w:t>
      </w:r>
      <w:r w:rsidRPr="00EB37A8">
        <w:rPr>
          <w:kern w:val="2"/>
          <w:u w:val="single"/>
          <w:lang w:eastAsia="en-US"/>
        </w:rPr>
        <w:t xml:space="preserve">: Jaarlijkse voortgangsrapportage DG </w:t>
      </w:r>
      <w:r>
        <w:rPr>
          <w:kern w:val="2"/>
          <w:u w:val="single"/>
          <w:lang w:eastAsia="en-US"/>
        </w:rPr>
        <w:t>AGRI</w:t>
      </w:r>
      <w:r>
        <w:rPr>
          <w:kern w:val="2"/>
          <w:u w:val="single"/>
          <w:lang w:eastAsia="en-US"/>
        </w:rPr>
        <w:br/>
      </w:r>
      <w:r w:rsidRPr="00A11B52">
        <w:rPr>
          <w:szCs w:val="18"/>
        </w:rPr>
        <w:t>De Commissie gaf aan dat vereenvoudiging een belangrijke prioriteit van de Commissie is en zal blijven</w:t>
      </w:r>
      <w:r>
        <w:rPr>
          <w:szCs w:val="18"/>
        </w:rPr>
        <w:t>,</w:t>
      </w:r>
      <w:r w:rsidRPr="00A11B52">
        <w:rPr>
          <w:szCs w:val="18"/>
        </w:rPr>
        <w:t xml:space="preserve"> en </w:t>
      </w:r>
      <w:r>
        <w:rPr>
          <w:szCs w:val="18"/>
        </w:rPr>
        <w:t xml:space="preserve">ze </w:t>
      </w:r>
      <w:r w:rsidRPr="00A11B52">
        <w:rPr>
          <w:szCs w:val="18"/>
        </w:rPr>
        <w:t xml:space="preserve">benoemde de maatregelen die in dat kader al zijn getroffen. </w:t>
      </w:r>
      <w:r>
        <w:rPr>
          <w:szCs w:val="18"/>
        </w:rPr>
        <w:t>Daarbij</w:t>
      </w:r>
      <w:r w:rsidRPr="00A11B52">
        <w:rPr>
          <w:szCs w:val="18"/>
        </w:rPr>
        <w:t xml:space="preserve"> </w:t>
      </w:r>
      <w:r>
        <w:rPr>
          <w:szCs w:val="18"/>
        </w:rPr>
        <w:t>deelde</w:t>
      </w:r>
      <w:r w:rsidRPr="00A11B52">
        <w:rPr>
          <w:szCs w:val="18"/>
        </w:rPr>
        <w:t xml:space="preserve"> de Commissie </w:t>
      </w:r>
      <w:r>
        <w:rPr>
          <w:szCs w:val="18"/>
        </w:rPr>
        <w:t>mee</w:t>
      </w:r>
      <w:r w:rsidRPr="00A11B52">
        <w:rPr>
          <w:szCs w:val="18"/>
        </w:rPr>
        <w:t xml:space="preserve"> voornemens te zijn om een stresstest uit te voeren op alle Europese landbouwregelgeving om verdere versimpeling te realiseren. Tot slot benoemde </w:t>
      </w:r>
      <w:r>
        <w:rPr>
          <w:szCs w:val="18"/>
        </w:rPr>
        <w:t xml:space="preserve">ze </w:t>
      </w:r>
      <w:r w:rsidRPr="00A11B52">
        <w:rPr>
          <w:szCs w:val="18"/>
        </w:rPr>
        <w:t>het belang van het waarborgen van een gelijk speelveld en het tegengaan van nationale koppen</w:t>
      </w:r>
      <w:r>
        <w:rPr>
          <w:szCs w:val="18"/>
        </w:rPr>
        <w:t xml:space="preserve"> op EU-wetgeving</w:t>
      </w:r>
      <w:r w:rsidRPr="00A11B52">
        <w:rPr>
          <w:szCs w:val="18"/>
        </w:rPr>
        <w:t>. Het belang van vereenvoudiging van landbouwregelgeving werd door een aantal lidstaten benadrukt.</w:t>
      </w:r>
    </w:p>
    <w:p w:rsidRPr="00870E1A" w:rsidR="00C04E96" w:rsidP="00BB3986" w:rsidRDefault="00C04E96" w14:paraId="0C431455" w14:textId="77777777">
      <w:pPr>
        <w:spacing w:after="160"/>
        <w:rPr>
          <w:kern w:val="2"/>
          <w:lang w:eastAsia="en-US"/>
        </w:rPr>
      </w:pPr>
      <w:r w:rsidRPr="00E455E4">
        <w:rPr>
          <w:kern w:val="2"/>
          <w:u w:val="single"/>
          <w:lang w:eastAsia="en-US"/>
        </w:rPr>
        <w:t xml:space="preserve">Diversenpunt </w:t>
      </w:r>
      <w:r>
        <w:rPr>
          <w:kern w:val="2"/>
          <w:u w:val="single"/>
          <w:lang w:eastAsia="en-US"/>
        </w:rPr>
        <w:t>Luxemburg</w:t>
      </w:r>
      <w:r w:rsidRPr="00E455E4">
        <w:rPr>
          <w:kern w:val="2"/>
          <w:u w:val="single"/>
          <w:lang w:eastAsia="en-US"/>
        </w:rPr>
        <w:t>: Uitbraak Xylella Festidiosa</w:t>
      </w:r>
      <w:r>
        <w:rPr>
          <w:kern w:val="2"/>
          <w:lang w:eastAsia="en-US"/>
        </w:rPr>
        <w:br/>
      </w:r>
      <w:r w:rsidRPr="00A11B52">
        <w:rPr>
          <w:szCs w:val="18"/>
        </w:rPr>
        <w:t>Luxemburg informeerde de Raad over een uitbraak van de plant</w:t>
      </w:r>
      <w:r>
        <w:rPr>
          <w:szCs w:val="18"/>
        </w:rPr>
        <w:t>en</w:t>
      </w:r>
      <w:r w:rsidRPr="00A11B52">
        <w:rPr>
          <w:szCs w:val="18"/>
        </w:rPr>
        <w:t>ziekte Xylella Festidiosa in de wijnbouwregio rondom de Moezel. Luxemburg gaf aan welke bestrijdingsmaatregelen het heeft genomen, waaronder het rooien van planten binnen een straal van 50 kilometer, het instellen van een bufferzone daarbuiten en het compenseren van de getroffen wijnbouwers. T</w:t>
      </w:r>
      <w:r>
        <w:rPr>
          <w:szCs w:val="18"/>
        </w:rPr>
        <w:t>en</w:t>
      </w:r>
      <w:r w:rsidRPr="00A11B52">
        <w:rPr>
          <w:szCs w:val="18"/>
        </w:rPr>
        <w:t xml:space="preserve"> slot</w:t>
      </w:r>
      <w:r>
        <w:rPr>
          <w:szCs w:val="18"/>
        </w:rPr>
        <w:t>te</w:t>
      </w:r>
      <w:r w:rsidRPr="00A11B52">
        <w:rPr>
          <w:szCs w:val="18"/>
        </w:rPr>
        <w:t xml:space="preserve"> vroeg Luxemburg </w:t>
      </w:r>
      <w:r w:rsidRPr="00A11B52">
        <w:rPr>
          <w:szCs w:val="18"/>
        </w:rPr>
        <w:lastRenderedPageBreak/>
        <w:t>aandacht voor de hoge administratieve lasten voor het verkrijgen van Europese cofinanciering voor bestrijdingsmaatregelen.</w:t>
      </w:r>
    </w:p>
    <w:p w:rsidRPr="00870E1A" w:rsidR="00C04E96" w:rsidP="00BB3986" w:rsidRDefault="00C04E96" w14:paraId="046FC704" w14:textId="77777777">
      <w:pPr>
        <w:rPr>
          <w:szCs w:val="18"/>
        </w:rPr>
      </w:pPr>
      <w:r>
        <w:rPr>
          <w:szCs w:val="18"/>
        </w:rPr>
        <w:t>Meerdere</w:t>
      </w:r>
      <w:r w:rsidRPr="00A11B52">
        <w:rPr>
          <w:szCs w:val="18"/>
        </w:rPr>
        <w:t xml:space="preserve"> lidstaten sprak</w:t>
      </w:r>
      <w:r>
        <w:rPr>
          <w:szCs w:val="18"/>
        </w:rPr>
        <w:t>en</w:t>
      </w:r>
      <w:r w:rsidRPr="00A11B52">
        <w:rPr>
          <w:szCs w:val="18"/>
        </w:rPr>
        <w:t xml:space="preserve"> </w:t>
      </w:r>
      <w:r>
        <w:rPr>
          <w:szCs w:val="18"/>
        </w:rPr>
        <w:t>hun medeleven</w:t>
      </w:r>
      <w:r w:rsidRPr="00A11B52">
        <w:rPr>
          <w:szCs w:val="18"/>
        </w:rPr>
        <w:t xml:space="preserve"> uit </w:t>
      </w:r>
      <w:r>
        <w:rPr>
          <w:szCs w:val="18"/>
        </w:rPr>
        <w:t xml:space="preserve">met </w:t>
      </w:r>
      <w:r w:rsidRPr="00A11B52">
        <w:rPr>
          <w:szCs w:val="18"/>
        </w:rPr>
        <w:t xml:space="preserve">Luxemburg en </w:t>
      </w:r>
      <w:r>
        <w:rPr>
          <w:szCs w:val="18"/>
        </w:rPr>
        <w:t xml:space="preserve">benoemden het belang van </w:t>
      </w:r>
      <w:r w:rsidRPr="00A11B52">
        <w:rPr>
          <w:szCs w:val="18"/>
        </w:rPr>
        <w:t>administratieve lasten</w:t>
      </w:r>
      <w:r>
        <w:rPr>
          <w:szCs w:val="18"/>
        </w:rPr>
        <w:t>verlichting bij</w:t>
      </w:r>
      <w:r w:rsidRPr="00A11B52">
        <w:rPr>
          <w:szCs w:val="18"/>
        </w:rPr>
        <w:t xml:space="preserve"> het verkrijgen van cofinanciering voor bestrijdingsmaatregelen </w:t>
      </w:r>
      <w:r>
        <w:rPr>
          <w:szCs w:val="18"/>
        </w:rPr>
        <w:t>tegen</w:t>
      </w:r>
      <w:r w:rsidRPr="00A11B52">
        <w:rPr>
          <w:szCs w:val="18"/>
        </w:rPr>
        <w:t xml:space="preserve"> plant</w:t>
      </w:r>
      <w:r>
        <w:rPr>
          <w:szCs w:val="18"/>
        </w:rPr>
        <w:t>en</w:t>
      </w:r>
      <w:r w:rsidRPr="00A11B52">
        <w:rPr>
          <w:szCs w:val="18"/>
        </w:rPr>
        <w:t xml:space="preserve">ziekten. </w:t>
      </w:r>
      <w:r>
        <w:rPr>
          <w:szCs w:val="18"/>
        </w:rPr>
        <w:t>Ook gaven m</w:t>
      </w:r>
      <w:r w:rsidRPr="00A11B52">
        <w:rPr>
          <w:szCs w:val="18"/>
        </w:rPr>
        <w:t>eerdere lidstaten aan dat op Europees niveau voldoende financiële middelen beschikbaar moeten zijn om enquêtes en informatie-uitwisseling tussen lidstaten te bevorderen, zodat prioritaire ziekten eerder kunnen worden gedetecteerd. Enkele lidstaten gaven hierbij aan te kijken naar financiering vanuit het toekomstige GLB en MFK of de crisisreserve.</w:t>
      </w:r>
      <w:r>
        <w:rPr>
          <w:szCs w:val="18"/>
        </w:rPr>
        <w:br/>
      </w:r>
    </w:p>
    <w:p w:rsidR="00C04E96" w:rsidP="00BB3986" w:rsidRDefault="00C04E96" w14:paraId="4F329887" w14:textId="77777777">
      <w:pPr>
        <w:rPr>
          <w:szCs w:val="18"/>
        </w:rPr>
      </w:pPr>
      <w:r w:rsidRPr="00A11B52">
        <w:rPr>
          <w:szCs w:val="18"/>
          <w:u w:val="single"/>
        </w:rPr>
        <w:t>Diversenpunt Commissie: Jaarlijkse voortgangsrapportage DG MARE</w:t>
      </w:r>
    </w:p>
    <w:p w:rsidR="00C04E96" w:rsidP="00BB3986" w:rsidRDefault="00C04E96" w14:paraId="63125619" w14:textId="390105BD">
      <w:r>
        <w:t xml:space="preserve">De Commissie presenteerde de jaarlijkse voortgangsrapportage van DG MARE over toezicht, vereenvoudiging en handhaving van de visserijregelgeving. Hierbij lichtte ze de genomen maatregelen om de uitvoerbaarheid van regelgeving te vergroten toe. </w:t>
      </w:r>
      <w:r w:rsidR="00416100">
        <w:t>De Commissie</w:t>
      </w:r>
      <w:r>
        <w:t xml:space="preserve"> benadrukte dat regelgeving eenvoudiger, duidelijker en werkbaarder moet zijn, waarbij de basisbeginselen van het Gemeenschappelijk Visserijbeleid moeten worden gewaarborgd. De genomen maatregelen bestonden onder andere uit vereenvoudiging van wetgeving, de versnelde uitvoering van het Oceaanpact en uitvoeringsdialogen. Het belang van de vereenvoudiging van visserijregelgeving werd breed gedeeld door de interveniërende lidstaten, waaronder Nederland. Daarbij werd ook blijvende aandacht gevraagd voor het verlagen van administratieve lasten.</w:t>
      </w:r>
    </w:p>
    <w:p w:rsidR="00C04E96" w:rsidP="00BB3986" w:rsidRDefault="00C04E96" w14:paraId="517DDBDE" w14:textId="77777777">
      <w:pPr>
        <w:rPr>
          <w:szCs w:val="18"/>
          <w:u w:val="single"/>
        </w:rPr>
      </w:pPr>
    </w:p>
    <w:p w:rsidRPr="00A11B52" w:rsidR="00C04E96" w:rsidP="00BB3986" w:rsidRDefault="00C04E96" w14:paraId="6468A4DE" w14:textId="77777777">
      <w:pPr>
        <w:rPr>
          <w:szCs w:val="18"/>
          <w:u w:val="single"/>
        </w:rPr>
      </w:pPr>
      <w:r w:rsidRPr="00A11B52">
        <w:rPr>
          <w:szCs w:val="18"/>
          <w:u w:val="single"/>
        </w:rPr>
        <w:t>Diversenpunt Frankrijk: Meer aandacht voor gevoeligheden van visserijproducten in onderhandelingen over handelsovereenkomsten</w:t>
      </w:r>
    </w:p>
    <w:p w:rsidR="00C04E96" w:rsidP="00BB3986" w:rsidRDefault="00C04E96" w14:paraId="1D89D4F5" w14:textId="77777777">
      <w:pPr>
        <w:rPr>
          <w:szCs w:val="18"/>
        </w:rPr>
      </w:pPr>
      <w:r w:rsidRPr="00A11B52">
        <w:rPr>
          <w:szCs w:val="18"/>
        </w:rPr>
        <w:t xml:space="preserve">Met dit diversenpunt vroeg Frankrijk aandacht voor de gevoeligheden van bepaalde visserijproducten, met name </w:t>
      </w:r>
      <w:r>
        <w:rPr>
          <w:szCs w:val="18"/>
        </w:rPr>
        <w:t xml:space="preserve">(ingeblikte) </w:t>
      </w:r>
      <w:r w:rsidRPr="00A11B52">
        <w:rPr>
          <w:szCs w:val="18"/>
        </w:rPr>
        <w:t xml:space="preserve">tonijn, in </w:t>
      </w:r>
      <w:r>
        <w:rPr>
          <w:szCs w:val="18"/>
        </w:rPr>
        <w:t>onderhandelingen</w:t>
      </w:r>
      <w:r w:rsidRPr="00A11B52">
        <w:rPr>
          <w:szCs w:val="18"/>
        </w:rPr>
        <w:t xml:space="preserve"> met derde landen</w:t>
      </w:r>
      <w:r>
        <w:rPr>
          <w:szCs w:val="18"/>
        </w:rPr>
        <w:t xml:space="preserve"> over handelsovereenkomsten</w:t>
      </w:r>
      <w:r w:rsidRPr="00A11B52">
        <w:rPr>
          <w:szCs w:val="18"/>
        </w:rPr>
        <w:t>, waaronder Thailand</w:t>
      </w:r>
      <w:r>
        <w:rPr>
          <w:szCs w:val="18"/>
        </w:rPr>
        <w:t>, Maleisië</w:t>
      </w:r>
      <w:r w:rsidRPr="00A11B52">
        <w:rPr>
          <w:szCs w:val="18"/>
        </w:rPr>
        <w:t xml:space="preserve"> en de Filipijnen. </w:t>
      </w:r>
      <w:r>
        <w:rPr>
          <w:szCs w:val="18"/>
        </w:rPr>
        <w:t>Frankrijk riep op</w:t>
      </w:r>
      <w:r w:rsidRPr="00253340">
        <w:rPr>
          <w:szCs w:val="18"/>
        </w:rPr>
        <w:t xml:space="preserve"> om de omvang van de concessies (</w:t>
      </w:r>
      <w:r>
        <w:rPr>
          <w:szCs w:val="18"/>
        </w:rPr>
        <w:t xml:space="preserve">het </w:t>
      </w:r>
      <w:r w:rsidRPr="00253340">
        <w:rPr>
          <w:szCs w:val="18"/>
        </w:rPr>
        <w:t>marktaanbod</w:t>
      </w:r>
      <w:r>
        <w:rPr>
          <w:szCs w:val="18"/>
        </w:rPr>
        <w:t xml:space="preserve"> op grond waarvan gebruik gemaakt kan worden van preferentiële importtarieven</w:t>
      </w:r>
      <w:r w:rsidRPr="00253340">
        <w:rPr>
          <w:szCs w:val="18"/>
        </w:rPr>
        <w:t>) te beperken</w:t>
      </w:r>
      <w:r>
        <w:rPr>
          <w:szCs w:val="18"/>
        </w:rPr>
        <w:t>, bijvoorbeeld</w:t>
      </w:r>
      <w:r w:rsidRPr="00253340">
        <w:rPr>
          <w:szCs w:val="18"/>
        </w:rPr>
        <w:t xml:space="preserve"> door gebruik te maken van beperkte quota. </w:t>
      </w:r>
      <w:r>
        <w:rPr>
          <w:szCs w:val="18"/>
        </w:rPr>
        <w:t>Ook riep Frankrijk op om</w:t>
      </w:r>
      <w:r w:rsidRPr="00253340">
        <w:rPr>
          <w:szCs w:val="18"/>
        </w:rPr>
        <w:t xml:space="preserve"> oog te houden voor de cumulatieve effecten van concessies in andere handelsakkoorden die al van toepassing zijn</w:t>
      </w:r>
      <w:r>
        <w:rPr>
          <w:szCs w:val="18"/>
        </w:rPr>
        <w:t xml:space="preserve">. </w:t>
      </w:r>
      <w:r w:rsidRPr="00A11B52" w:rsidDel="002823A8">
        <w:rPr>
          <w:szCs w:val="18"/>
        </w:rPr>
        <w:t xml:space="preserve">Frankrijk </w:t>
      </w:r>
      <w:r>
        <w:rPr>
          <w:szCs w:val="18"/>
        </w:rPr>
        <w:t>onderstreepte het belang dat</w:t>
      </w:r>
      <w:r w:rsidRPr="00A11B52">
        <w:rPr>
          <w:szCs w:val="18"/>
        </w:rPr>
        <w:t xml:space="preserve"> handelspartners voldoen aan Europese kwaliteitseisen. Enkele lidstaten benadrukten het belang van traceerbaarheid van producten uit derde landen en </w:t>
      </w:r>
      <w:r>
        <w:rPr>
          <w:szCs w:val="18"/>
        </w:rPr>
        <w:t>het belang van het bewaken van</w:t>
      </w:r>
      <w:r w:rsidRPr="00A11B52">
        <w:rPr>
          <w:szCs w:val="18"/>
        </w:rPr>
        <w:t xml:space="preserve"> het gelijk</w:t>
      </w:r>
      <w:r>
        <w:rPr>
          <w:szCs w:val="18"/>
        </w:rPr>
        <w:t>e</w:t>
      </w:r>
      <w:r w:rsidRPr="00A11B52">
        <w:rPr>
          <w:szCs w:val="18"/>
        </w:rPr>
        <w:t xml:space="preserve"> speelveld voor Europese producten en producten uit derde landen. </w:t>
      </w:r>
      <w:r>
        <w:rPr>
          <w:szCs w:val="18"/>
        </w:rPr>
        <w:t>De</w:t>
      </w:r>
      <w:r w:rsidRPr="00A11B52">
        <w:rPr>
          <w:szCs w:val="18"/>
        </w:rPr>
        <w:t xml:space="preserve"> Commissie erkende de behoefte om EU-belangen strategisch te verdedigen in handelsovereenkomsten en rekening te houden met deze gevoeligheden.</w:t>
      </w:r>
    </w:p>
    <w:p w:rsidR="00C04E96" w:rsidP="00BB3986" w:rsidRDefault="00C04E96" w14:paraId="4BBB7B97" w14:textId="77777777">
      <w:pPr>
        <w:rPr>
          <w:szCs w:val="18"/>
        </w:rPr>
      </w:pPr>
    </w:p>
    <w:p w:rsidR="00C04E96" w:rsidP="00BB3986" w:rsidRDefault="00C04E96" w14:paraId="72813FB8" w14:textId="7745E90A">
      <w:pPr>
        <w:rPr>
          <w:szCs w:val="18"/>
        </w:rPr>
      </w:pPr>
      <w:r w:rsidRPr="00A11B52">
        <w:rPr>
          <w:szCs w:val="18"/>
          <w:u w:val="single"/>
        </w:rPr>
        <w:t>Diversenpunten Slowakije: Visegrad-verklaring over oneerlijke handelspraktijken</w:t>
      </w:r>
      <w:r>
        <w:rPr>
          <w:szCs w:val="18"/>
          <w:u w:val="single"/>
        </w:rPr>
        <w:t>;</w:t>
      </w:r>
      <w:r w:rsidRPr="00A11B52">
        <w:rPr>
          <w:szCs w:val="18"/>
          <w:u w:val="single"/>
        </w:rPr>
        <w:t xml:space="preserve"> Oostenrijk: Geïntegreerde landbouwstatistieken</w:t>
      </w:r>
      <w:r>
        <w:rPr>
          <w:szCs w:val="18"/>
          <w:u w:val="single"/>
        </w:rPr>
        <w:t>;</w:t>
      </w:r>
      <w:r w:rsidRPr="00A11B52">
        <w:rPr>
          <w:szCs w:val="18"/>
          <w:u w:val="single"/>
        </w:rPr>
        <w:t xml:space="preserve"> Frankrijk en Portugal: Actie op EU-niveau op het gebied van klimaatadaptatie en weerbaarheid</w:t>
      </w:r>
      <w:r w:rsidR="00416100">
        <w:rPr>
          <w:szCs w:val="18"/>
          <w:u w:val="single"/>
        </w:rPr>
        <w:t>;</w:t>
      </w:r>
      <w:r w:rsidRPr="00A11B52">
        <w:rPr>
          <w:szCs w:val="18"/>
          <w:u w:val="single"/>
        </w:rPr>
        <w:t xml:space="preserve"> en Italië: Hoge energie- en dieselprijzen en de effecten hiervan op boeren</w:t>
      </w:r>
    </w:p>
    <w:p w:rsidRPr="00A11B52" w:rsidR="00C04E96" w:rsidP="00BB3986" w:rsidRDefault="00C04E96" w14:paraId="63767D50" w14:textId="31592A4D">
      <w:pPr>
        <w:rPr>
          <w:szCs w:val="18"/>
        </w:rPr>
      </w:pPr>
      <w:r w:rsidRPr="00A11B52">
        <w:rPr>
          <w:szCs w:val="18"/>
        </w:rPr>
        <w:t xml:space="preserve">Slowakije informeerde de Raad over een verklaring van de Visegrad-landen over de herziening van de Richtlijn oneerlijke handelspraktijken. Slowakije pleitte voor een uitbreiding van de lijst van oneerlijke handelspraktijken, het toevoegen van praktijken aan de zwarte lijst, hogere boetes en het afschaffen van de </w:t>
      </w:r>
      <w:r w:rsidRPr="00A11B52">
        <w:rPr>
          <w:szCs w:val="18"/>
        </w:rPr>
        <w:lastRenderedPageBreak/>
        <w:t xml:space="preserve">omzetdrempels. Deze oproep werd door meerdere lidstaten </w:t>
      </w:r>
      <w:r w:rsidR="00416100">
        <w:rPr>
          <w:szCs w:val="18"/>
        </w:rPr>
        <w:t>ge</w:t>
      </w:r>
      <w:r w:rsidRPr="00A11B52">
        <w:rPr>
          <w:szCs w:val="18"/>
        </w:rPr>
        <w:t>steund. De Commissie gaf aan de doelstelling om leveranciers te beschermen te steunen en bij de herziening aandacht te besteden aan tekorten in de handhaving en verduidelijking van de regels.</w:t>
      </w:r>
    </w:p>
    <w:p w:rsidR="00C04E96" w:rsidP="00BB3986" w:rsidRDefault="00C04E96" w14:paraId="53B24F7C" w14:textId="77777777">
      <w:pPr>
        <w:rPr>
          <w:szCs w:val="18"/>
        </w:rPr>
      </w:pPr>
    </w:p>
    <w:p w:rsidRPr="00A11B52" w:rsidR="00C04E96" w:rsidP="00BB3986" w:rsidRDefault="00C04E96" w14:paraId="7AA037B0" w14:textId="7637825A">
      <w:pPr>
        <w:rPr>
          <w:szCs w:val="18"/>
        </w:rPr>
      </w:pPr>
      <w:r w:rsidRPr="00A11B52">
        <w:rPr>
          <w:szCs w:val="18"/>
        </w:rPr>
        <w:t xml:space="preserve">Oostenrijk informeerde de Raad over zijn wens om landbouwstatistieken te vereenvoudigen door het verlagen van de frequentie van uitvragen van landbouwgerelateerde data. Het punt werd door een aantal lidstaten, waaronder Nederland, </w:t>
      </w:r>
      <w:r w:rsidR="00416100">
        <w:rPr>
          <w:szCs w:val="18"/>
        </w:rPr>
        <w:t>ge</w:t>
      </w:r>
      <w:r w:rsidRPr="00A11B52">
        <w:rPr>
          <w:szCs w:val="18"/>
        </w:rPr>
        <w:t>steund. Nederland benadrukte dat hiermee de administratieve lasten voor boeren en nationale statistische instanties zouden worden verlaagd. De Commissie erkende het belang van vermindering van de rapportagelasten, maar gaf aan in het voorgenomen voorstel de focus te leggen op efficiënter gebruik van bestaande data in plaats van het verminderen van de frequentie van uitvragen.</w:t>
      </w:r>
    </w:p>
    <w:p w:rsidR="00C04E96" w:rsidP="00BB3986" w:rsidRDefault="00C04E96" w14:paraId="6F854D80" w14:textId="77777777">
      <w:pPr>
        <w:rPr>
          <w:szCs w:val="18"/>
        </w:rPr>
      </w:pPr>
    </w:p>
    <w:p w:rsidRPr="00A11B52" w:rsidR="00C04E96" w:rsidP="00BB3986" w:rsidRDefault="00C04E96" w14:paraId="67FB1D5C" w14:textId="4A909B40">
      <w:pPr>
        <w:rPr>
          <w:szCs w:val="18"/>
        </w:rPr>
      </w:pPr>
      <w:r w:rsidRPr="00A11B52">
        <w:rPr>
          <w:szCs w:val="18"/>
        </w:rPr>
        <w:t>Frankrijk en Portugal onderstreepten het belang van klimaatadaptatie en beter waterbeheer ten behoeve van de landbouwsector. Frankrijk benadrukte het belang van verbetering van de bestaande en aanleg van nieuwe waterinfrastructuur. Financiële middelen hiervoor zouden uit het Europees Concurrentievermogenfonds</w:t>
      </w:r>
      <w:r>
        <w:rPr>
          <w:szCs w:val="18"/>
        </w:rPr>
        <w:t xml:space="preserve"> (ECF)</w:t>
      </w:r>
      <w:r w:rsidRPr="00A11B52">
        <w:rPr>
          <w:szCs w:val="18"/>
        </w:rPr>
        <w:t xml:space="preserve"> en Horizon</w:t>
      </w:r>
      <w:r>
        <w:rPr>
          <w:szCs w:val="18"/>
        </w:rPr>
        <w:t xml:space="preserve"> </w:t>
      </w:r>
      <w:r w:rsidRPr="00A11B52">
        <w:rPr>
          <w:szCs w:val="18"/>
        </w:rPr>
        <w:t xml:space="preserve">Europe kunnen komen. Het punt werd door een groot aantal lidstaten </w:t>
      </w:r>
      <w:r w:rsidR="00416100">
        <w:rPr>
          <w:szCs w:val="18"/>
        </w:rPr>
        <w:t>ge</w:t>
      </w:r>
      <w:r w:rsidRPr="00A11B52">
        <w:rPr>
          <w:szCs w:val="18"/>
        </w:rPr>
        <w:t>steund. Nederland benadrukte het belang van klimaatadaptatie en goed waterbeheer. De Commissie gaf aan dat acties op het gebied van klimaatadaptatie en waterweerbaarheid moeten worden versneld en dat de Commissie aan een ‘EU Water Initiative’ en wetgeving over geïntegreerde klimaatrisico’s werkt.</w:t>
      </w:r>
    </w:p>
    <w:p w:rsidR="00C04E96" w:rsidP="00BB3986" w:rsidRDefault="00C04E96" w14:paraId="27A247FC" w14:textId="77777777">
      <w:pPr>
        <w:rPr>
          <w:szCs w:val="18"/>
        </w:rPr>
      </w:pPr>
    </w:p>
    <w:p w:rsidRPr="00A11B52" w:rsidR="00C04E96" w:rsidP="00BB3986" w:rsidRDefault="00C04E96" w14:paraId="17B0682A" w14:textId="28A0B719">
      <w:pPr>
        <w:rPr>
          <w:szCs w:val="18"/>
        </w:rPr>
      </w:pPr>
      <w:r w:rsidRPr="00A11B52">
        <w:rPr>
          <w:szCs w:val="18"/>
        </w:rPr>
        <w:t xml:space="preserve">Tot slot informeerde Italië de Raad over de hoge brandstof- en kunstmestprijzen en pleitte ervoor om alle mogelijke middelen, waaronder Europese fondsen, te gebruiken om de situatie voor boeren te verbeteren. Deze oproep werd door enkele lidstaten </w:t>
      </w:r>
      <w:r w:rsidR="009E6E7F">
        <w:rPr>
          <w:szCs w:val="18"/>
        </w:rPr>
        <w:t>ge</w:t>
      </w:r>
      <w:r w:rsidRPr="00A11B52" w:rsidR="009E6E7F">
        <w:rPr>
          <w:szCs w:val="18"/>
        </w:rPr>
        <w:t>steund</w:t>
      </w:r>
      <w:r w:rsidRPr="00A11B52">
        <w:rPr>
          <w:szCs w:val="18"/>
        </w:rPr>
        <w:t>. De Commissie benadrukte dat ze al maatregelen heeft getroffen om lidstaten meer flexibiliteit te geven in de wijze van ondersteuning van boeren.</w:t>
      </w:r>
    </w:p>
    <w:bookmarkEnd w:id="0"/>
    <w:p w:rsidRPr="002C4581" w:rsidR="00C04E96" w:rsidP="00BB3986" w:rsidRDefault="00C04E96" w14:paraId="6598D006" w14:textId="77777777">
      <w:pPr>
        <w:rPr>
          <w:szCs w:val="18"/>
        </w:rPr>
      </w:pPr>
    </w:p>
    <w:p w:rsidRPr="000E401D" w:rsidR="00C04E96" w:rsidP="00BB3986" w:rsidRDefault="00C04E96" w14:paraId="32715BEF" w14:textId="77777777">
      <w:pPr>
        <w:pStyle w:val="Lijstalinea"/>
        <w:numPr>
          <w:ilvl w:val="0"/>
          <w:numId w:val="15"/>
        </w:numPr>
        <w:spacing w:after="160"/>
        <w:rPr>
          <w:rFonts w:eastAsia="Verdana" w:cs="Verdana"/>
          <w:szCs w:val="18"/>
        </w:rPr>
      </w:pPr>
      <w:r w:rsidRPr="00A20BAA">
        <w:rPr>
          <w:b/>
          <w:bCs/>
          <w:kern w:val="2"/>
          <w:lang w:eastAsia="en-US"/>
        </w:rPr>
        <w:t>Onderzoek</w:t>
      </w:r>
      <w:r w:rsidRPr="00A20BAA">
        <w:rPr>
          <w:b/>
          <w:bCs/>
          <w:lang w:eastAsia="en-US"/>
        </w:rPr>
        <w:t xml:space="preserve"> Wageningen Social &amp; Economic Research over GLB 2028-2034</w:t>
      </w:r>
    </w:p>
    <w:p w:rsidR="00C04E96" w:rsidP="00BB3986" w:rsidRDefault="00C04E96" w14:paraId="41E0ACED" w14:textId="225A7B78">
      <w:pPr>
        <w:spacing w:after="160"/>
        <w:rPr>
          <w:rFonts w:eastAsia="Verdana" w:cs="Verdana"/>
          <w:szCs w:val="18"/>
        </w:rPr>
      </w:pPr>
      <w:r w:rsidRPr="0BDD7CD4">
        <w:rPr>
          <w:rFonts w:eastAsia="Verdana" w:cs="Verdana"/>
          <w:szCs w:val="18"/>
        </w:rPr>
        <w:t xml:space="preserve">Wageningen Social &amp; Economic Research </w:t>
      </w:r>
      <w:r>
        <w:rPr>
          <w:rFonts w:eastAsia="Verdana" w:cs="Verdana"/>
          <w:szCs w:val="18"/>
        </w:rPr>
        <w:t xml:space="preserve">heeft de afgelopen maanden </w:t>
      </w:r>
      <w:r w:rsidRPr="0BDD7CD4">
        <w:rPr>
          <w:rFonts w:eastAsia="Verdana" w:cs="Verdana"/>
          <w:szCs w:val="18"/>
        </w:rPr>
        <w:t xml:space="preserve">in opdracht van </w:t>
      </w:r>
      <w:r>
        <w:rPr>
          <w:rFonts w:eastAsia="Verdana" w:cs="Verdana"/>
          <w:szCs w:val="18"/>
        </w:rPr>
        <w:t>het ministerie van LVVN</w:t>
      </w:r>
      <w:r w:rsidRPr="0BDD7CD4">
        <w:rPr>
          <w:rFonts w:eastAsia="Verdana" w:cs="Verdana"/>
          <w:szCs w:val="18"/>
        </w:rPr>
        <w:t xml:space="preserve"> </w:t>
      </w:r>
      <w:r>
        <w:rPr>
          <w:rFonts w:eastAsia="Verdana" w:cs="Verdana"/>
          <w:szCs w:val="18"/>
        </w:rPr>
        <w:t>een onderzoek</w:t>
      </w:r>
      <w:r w:rsidRPr="0BDD7CD4">
        <w:rPr>
          <w:rFonts w:eastAsia="Verdana" w:cs="Verdana"/>
          <w:szCs w:val="18"/>
        </w:rPr>
        <w:t xml:space="preserve"> uitgevoerd naar een effectieve inzet van het GLB 2028-2034.</w:t>
      </w:r>
      <w:r>
        <w:rPr>
          <w:rFonts w:eastAsia="Verdana" w:cs="Verdana"/>
          <w:szCs w:val="18"/>
        </w:rPr>
        <w:t xml:space="preserve"> </w:t>
      </w:r>
      <w:r w:rsidRPr="0BDD7CD4">
        <w:rPr>
          <w:rFonts w:eastAsia="Verdana" w:cs="Verdana"/>
          <w:szCs w:val="18"/>
        </w:rPr>
        <w:t xml:space="preserve">De resultaten van dit onderzoek bieden </w:t>
      </w:r>
      <w:r>
        <w:rPr>
          <w:rFonts w:eastAsia="Verdana" w:cs="Verdana"/>
          <w:szCs w:val="18"/>
        </w:rPr>
        <w:t xml:space="preserve">een </w:t>
      </w:r>
      <w:r w:rsidRPr="0BDD7CD4">
        <w:rPr>
          <w:rFonts w:eastAsia="Verdana" w:cs="Verdana"/>
          <w:szCs w:val="18"/>
        </w:rPr>
        <w:t xml:space="preserve">overzicht van </w:t>
      </w:r>
      <w:r>
        <w:rPr>
          <w:rFonts w:eastAsia="Verdana" w:cs="Verdana"/>
          <w:szCs w:val="18"/>
        </w:rPr>
        <w:t xml:space="preserve">de </w:t>
      </w:r>
      <w:r w:rsidRPr="0BDD7CD4">
        <w:rPr>
          <w:rFonts w:eastAsia="Verdana" w:cs="Verdana"/>
          <w:szCs w:val="18"/>
        </w:rPr>
        <w:t>opgaven voor de Nederlandse landbouw en het landelijk gebied en</w:t>
      </w:r>
      <w:r>
        <w:rPr>
          <w:rFonts w:eastAsia="Verdana" w:cs="Verdana"/>
          <w:szCs w:val="18"/>
        </w:rPr>
        <w:t xml:space="preserve"> geven</w:t>
      </w:r>
      <w:r w:rsidRPr="0BDD7CD4">
        <w:rPr>
          <w:rFonts w:eastAsia="Verdana" w:cs="Verdana"/>
          <w:szCs w:val="18"/>
        </w:rPr>
        <w:t xml:space="preserve"> een inschatting van de mate waarin het GLB hier doeltreffend aan kan bijdragen. Het onderzoek biedt een bouwsteen voor te maken keuzes in het Landbouw en Platteland-hoofdstuk binnen het Nationaal en Regionaal Partnerschap Plan (NRPP). </w:t>
      </w:r>
      <w:r w:rsidRPr="00446379" w:rsidR="00446379">
        <w:rPr>
          <w:rFonts w:eastAsia="Verdana" w:cs="Verdana"/>
          <w:szCs w:val="18"/>
        </w:rPr>
        <w:t xml:space="preserve">Daarbij is het ook belangrijk om te blijven letten op eenvoud en uitvoerbaarheid van beleid. </w:t>
      </w:r>
      <w:r w:rsidRPr="0BDD7CD4">
        <w:rPr>
          <w:rFonts w:eastAsia="Verdana" w:cs="Verdana"/>
          <w:szCs w:val="18"/>
        </w:rPr>
        <w:t>Voor inzicht in het proces van totstandkoming van het NRPP verwijs</w:t>
      </w:r>
      <w:r>
        <w:rPr>
          <w:rFonts w:eastAsia="Verdana" w:cs="Verdana"/>
          <w:szCs w:val="18"/>
        </w:rPr>
        <w:t xml:space="preserve">t de minister </w:t>
      </w:r>
      <w:r w:rsidRPr="0BDD7CD4">
        <w:rPr>
          <w:rFonts w:eastAsia="Verdana" w:cs="Verdana"/>
          <w:szCs w:val="18"/>
        </w:rPr>
        <w:t xml:space="preserve">naar de </w:t>
      </w:r>
      <w:r w:rsidR="009E6E7F">
        <w:rPr>
          <w:rFonts w:eastAsia="Verdana" w:cs="Verdana"/>
          <w:szCs w:val="18"/>
        </w:rPr>
        <w:t>K</w:t>
      </w:r>
      <w:r w:rsidRPr="0BDD7CD4">
        <w:rPr>
          <w:rFonts w:eastAsia="Verdana" w:cs="Verdana"/>
          <w:szCs w:val="18"/>
        </w:rPr>
        <w:t>amerbrief van de minister van Financiën (</w:t>
      </w:r>
      <w:r>
        <w:rPr>
          <w:rFonts w:eastAsia="Verdana" w:cs="Verdana"/>
          <w:szCs w:val="18"/>
        </w:rPr>
        <w:t>K</w:t>
      </w:r>
      <w:r w:rsidRPr="0BDD7CD4">
        <w:rPr>
          <w:rFonts w:eastAsia="Verdana" w:cs="Verdana"/>
          <w:szCs w:val="18"/>
        </w:rPr>
        <w:t>amerstuk 2026Z21119)</w:t>
      </w:r>
      <w:r>
        <w:rPr>
          <w:rFonts w:eastAsia="Verdana" w:cs="Verdana"/>
          <w:szCs w:val="18"/>
        </w:rPr>
        <w:t>.</w:t>
      </w:r>
    </w:p>
    <w:p w:rsidRPr="00DB4E7F" w:rsidR="00C04E96" w:rsidP="00BB3986" w:rsidRDefault="00C04E96" w14:paraId="6356D66A" w14:textId="77777777">
      <w:pPr>
        <w:pStyle w:val="Lijstalinea"/>
        <w:numPr>
          <w:ilvl w:val="0"/>
          <w:numId w:val="15"/>
        </w:numPr>
        <w:spacing w:after="160"/>
        <w:rPr>
          <w:b/>
          <w:bCs/>
        </w:rPr>
      </w:pPr>
      <w:r w:rsidRPr="00DB4E7F">
        <w:rPr>
          <w:b/>
          <w:bCs/>
        </w:rPr>
        <w:t>GLB-conferentie</w:t>
      </w:r>
      <w:r>
        <w:rPr>
          <w:b/>
          <w:bCs/>
        </w:rPr>
        <w:t xml:space="preserve"> 28-29 oktober jl. in Eindhoven</w:t>
      </w:r>
    </w:p>
    <w:p w:rsidRPr="00EB17EA" w:rsidR="00C04E96" w:rsidP="00BB3986" w:rsidRDefault="00C04E96" w14:paraId="156C83F1" w14:textId="7DF15185">
      <w:pPr>
        <w:spacing w:after="160"/>
      </w:pPr>
      <w:r>
        <w:lastRenderedPageBreak/>
        <w:t xml:space="preserve">Op 28 en 29 oktober jl. organiseerde Nederland een Europese GLB-conferentie in Eindhoven. </w:t>
      </w:r>
      <w:r w:rsidRPr="00DB4E7F">
        <w:rPr>
          <w:lang w:val="en-US"/>
        </w:rPr>
        <w:t xml:space="preserve">Het thema van de conferentie was: </w:t>
      </w:r>
      <w:r w:rsidRPr="00DB4E7F">
        <w:rPr>
          <w:i/>
          <w:iCs/>
          <w:lang w:val="en-US"/>
        </w:rPr>
        <w:t>Balancing the EU CAP: Common Goals, Green Ambition, Flexibility</w:t>
      </w:r>
      <w:r w:rsidRPr="00CF1279">
        <w:rPr>
          <w:lang w:val="en-US"/>
        </w:rPr>
        <w:t>.</w:t>
      </w:r>
      <w:r w:rsidRPr="00DB4E7F">
        <w:rPr>
          <w:lang w:val="en-US"/>
        </w:rPr>
        <w:t xml:space="preserve"> </w:t>
      </w:r>
      <w:r>
        <w:t>Enerzijds werd flexibiliteit in de planvorming van lidstaten besproken. Anderzijds ging het over voldoende gemeenschappelijke Europese ambitie in het GLB voor behoud van integriteit van de interne markt en uitdagingen rond onder andere klimaat, water, biodiversiteit en bodem. Beleidsmakers uit de lidstaten</w:t>
      </w:r>
      <w:r w:rsidR="009E6E7F">
        <w:t xml:space="preserve"> en</w:t>
      </w:r>
      <w:r>
        <w:t xml:space="preserve"> van de Commissie, EU-ngo’s, denktanks, wetenschappelijke instellingen en andere belangrijke stakeholders uit de landbouw-, voedsel- en natuursector namen deel aan de conferentie. Er werd hierbij vanuit verschillende perspectieven gesproken over het toekomstige GLB met sprekers uit wetenschap, politiek, privaat en praktijk. Hierop sloten verdiepende sessies aan, die waren gericht op de onderwerpen: publiek-private samenwerking, innovatie en doelsturing. Ten slotte vonden twee werkbezoeken plaats. </w:t>
      </w:r>
    </w:p>
    <w:p w:rsidRPr="00DB4E7F" w:rsidR="00C04E96" w:rsidP="00BB3986" w:rsidRDefault="00C04E96" w14:paraId="7F0E6972" w14:textId="77777777">
      <w:pPr>
        <w:pStyle w:val="Lijstalinea"/>
        <w:numPr>
          <w:ilvl w:val="0"/>
          <w:numId w:val="15"/>
        </w:numPr>
        <w:spacing w:after="160"/>
        <w:rPr>
          <w:kern w:val="2"/>
          <w:lang w:val="en-US" w:eastAsia="en-US"/>
        </w:rPr>
      </w:pPr>
      <w:r w:rsidRPr="66014FA6">
        <w:rPr>
          <w:b/>
          <w:bCs/>
          <w:lang w:eastAsia="en-US"/>
        </w:rPr>
        <w:t>Moties en toezeggingen</w:t>
      </w:r>
    </w:p>
    <w:p w:rsidRPr="00FD411B" w:rsidR="00C04E96" w:rsidP="00BB3986" w:rsidRDefault="00C04E96" w14:paraId="66F043C1" w14:textId="77777777">
      <w:pPr>
        <w:spacing w:after="160"/>
        <w:rPr>
          <w:kern w:val="2"/>
          <w:szCs w:val="18"/>
          <w:lang w:eastAsia="en-US"/>
        </w:rPr>
      </w:pPr>
      <w:r w:rsidRPr="00FD411B">
        <w:rPr>
          <w:kern w:val="2"/>
          <w:szCs w:val="18"/>
          <w:lang w:eastAsia="en-US"/>
        </w:rPr>
        <w:t>De staatssecretaris wil van deze mogelijkheid gebruik maken om in te gaan op de aangenomen motie van de leden Van der Plas en Meulenkamp die de regering</w:t>
      </w:r>
      <w:r>
        <w:rPr>
          <w:kern w:val="2"/>
          <w:szCs w:val="18"/>
          <w:lang w:eastAsia="en-US"/>
        </w:rPr>
        <w:t xml:space="preserve"> </w:t>
      </w:r>
      <w:r w:rsidRPr="00FD411B">
        <w:rPr>
          <w:kern w:val="2"/>
          <w:szCs w:val="18"/>
          <w:lang w:eastAsia="en-US"/>
        </w:rPr>
        <w:t>verzoekt vissers de mogelijkheid te geven om onbedoelde schrijffouten binnen een redelijke termijn te corrigeren, zonder directe bestraffing, mits er geen aanwijzingen zijn voor bewuste fraude (Kamerstuk 36899, nr. 9). Daarnaast gaat hij ook in op een toezegging op de bestuurlijke boetes, met daarin een aantal voorbeelden van de boetecategorieën en wat daaronder zou vallen aan lid Vellinga-Beemsterboer (TZ202609-056). Zowel motie als toezegging volgen uit het debat over de wijziging van de Visserijwet 1963 van 9 september 2026.</w:t>
      </w:r>
    </w:p>
    <w:p w:rsidRPr="00D274AC" w:rsidR="00C04E96" w:rsidP="00BB3986" w:rsidRDefault="00C04E96" w14:paraId="2A64415E" w14:textId="77777777">
      <w:pPr>
        <w:spacing w:after="160"/>
        <w:rPr>
          <w:kern w:val="2"/>
          <w:szCs w:val="18"/>
          <w:u w:val="single"/>
          <w:lang w:eastAsia="en-US"/>
        </w:rPr>
      </w:pPr>
      <w:r w:rsidRPr="00D274AC">
        <w:rPr>
          <w:kern w:val="2"/>
          <w:szCs w:val="18"/>
          <w:u w:val="single"/>
          <w:lang w:eastAsia="en-US"/>
        </w:rPr>
        <w:t>Omgang met onbewuste schrijffouten</w:t>
      </w:r>
    </w:p>
    <w:p w:rsidRPr="00FD411B" w:rsidR="00C04E96" w:rsidP="00BB3986" w:rsidRDefault="00C04E96" w14:paraId="632C8F75" w14:textId="77777777">
      <w:pPr>
        <w:spacing w:after="160"/>
        <w:rPr>
          <w:kern w:val="2"/>
          <w:szCs w:val="18"/>
          <w:lang w:eastAsia="en-US"/>
        </w:rPr>
      </w:pPr>
      <w:r w:rsidRPr="00FD411B">
        <w:rPr>
          <w:kern w:val="2"/>
          <w:szCs w:val="18"/>
          <w:lang w:eastAsia="en-US"/>
        </w:rPr>
        <w:t>Een betrouwbare vangstregistratie is van groot belang voor het bestandsbeheer en een duurzame visserij. Naast de fysieke werkzaamheden aan boord moet een visser zijn administratie bijhouden, waaronder het correct én tijdig versturen van de logboekberichten. De staatssecretaris vindt het belangrijk dat hierbij oog is voor de omstandigheden aan boord én de menselijke maat. In het huidige beleid benut de staatssecretaris de ruimte die Europese wet- en regelgeving biedt en gaat na waar de administratieve lasten verminderd kunnen worden. Hierbij zet hij Europees ook in op de proportionaliteit en uitvoerbaarheid van de Europese wet- en regelgeving.</w:t>
      </w:r>
    </w:p>
    <w:p w:rsidRPr="00FD411B" w:rsidR="00C04E96" w:rsidP="00BB3986" w:rsidRDefault="00C04E96" w14:paraId="3F887351" w14:textId="77777777">
      <w:pPr>
        <w:spacing w:after="160"/>
        <w:rPr>
          <w:kern w:val="2"/>
          <w:szCs w:val="18"/>
          <w:lang w:eastAsia="en-US"/>
        </w:rPr>
      </w:pPr>
      <w:r w:rsidRPr="00FD411B">
        <w:rPr>
          <w:kern w:val="2"/>
          <w:szCs w:val="18"/>
          <w:lang w:eastAsia="en-US"/>
        </w:rPr>
        <w:t xml:space="preserve">Naar aanleiding van de aangenomen motie van de leden Van der Plas en Meulenkamp is de staatssecretaris nader met de Nederlandse Voedsel- en Warenautoriteit (NVWA) en de Rijksdienst voor Ondernemend Nederland (RVO) in gesprek gegaan over de mogelijkheden daartoe binnen de kaders van de Europese wet- en regelgeving. </w:t>
      </w:r>
    </w:p>
    <w:p w:rsidRPr="00FD411B" w:rsidR="00C04E96" w:rsidP="00BB3986" w:rsidRDefault="00C04E96" w14:paraId="70BCAEE8" w14:textId="77777777">
      <w:pPr>
        <w:spacing w:after="160"/>
        <w:rPr>
          <w:kern w:val="2"/>
          <w:szCs w:val="18"/>
          <w:lang w:eastAsia="en-US"/>
        </w:rPr>
      </w:pPr>
      <w:r w:rsidRPr="00FD411B">
        <w:rPr>
          <w:kern w:val="2"/>
          <w:szCs w:val="18"/>
          <w:lang w:eastAsia="en-US"/>
        </w:rPr>
        <w:t>In het Gemeenschappelijk Visserijbeleid staat het risicogerichte toezicht centraal, de NVWA richt haar inspecties daarop in. De inzet van het toezicht is gericht op de overtredingen die het grootste risico vormen voor de duurzaamheid van de visserij. Hierbij wordt rekening gehouden met kleine verschrijvingen. Met de herziene controleverordening is het toezicht en de controle op de visserij tussen de lidstaten verder geharmoniseerd ter bevordering van het gelijke speelveld</w:t>
      </w:r>
      <w:r>
        <w:rPr>
          <w:kern w:val="2"/>
          <w:szCs w:val="18"/>
          <w:lang w:eastAsia="en-US"/>
        </w:rPr>
        <w:t xml:space="preserve"> binnen de EU</w:t>
      </w:r>
      <w:r w:rsidRPr="00FD411B">
        <w:rPr>
          <w:kern w:val="2"/>
          <w:szCs w:val="18"/>
          <w:lang w:eastAsia="en-US"/>
        </w:rPr>
        <w:t>. Hierdoor is de ruimte voor maatwerk op nationaal niveau beperkt.</w:t>
      </w:r>
    </w:p>
    <w:p w:rsidRPr="00FD411B" w:rsidR="00C04E96" w:rsidP="00BB3986" w:rsidRDefault="00C04E96" w14:paraId="118EFB3C" w14:textId="77777777">
      <w:pPr>
        <w:spacing w:after="160"/>
        <w:rPr>
          <w:kern w:val="2"/>
          <w:szCs w:val="18"/>
          <w:lang w:eastAsia="en-US"/>
        </w:rPr>
      </w:pPr>
      <w:r w:rsidRPr="00FD411B">
        <w:rPr>
          <w:kern w:val="2"/>
          <w:szCs w:val="18"/>
          <w:lang w:eastAsia="en-US"/>
        </w:rPr>
        <w:lastRenderedPageBreak/>
        <w:t>De staatssecretaris onderkent dat een onbewuste fout niet meteen zou moeten leiden tot grote gevolgen voor de visser. De RVO contacteert, vanuit haar rol als datasteward, sinds 2021 vissers als zij hun logboekberichten niet, overduidelijk niet correct of niet tijdig insturen. De visser heeft dan voor het beëindigen van de visreis de mogelijkheid om het bericht alsnog in te sturen of aan te passen, voordat de visreis officieel wordt afgesloten in het logboek. Alle kapiteins van vissersvaartuigen zijn in maart 2025 geïnformeerd over het feit dat er gerichter wordt gemonitord op het versturen van logboekberichten. Hier</w:t>
      </w:r>
      <w:r>
        <w:rPr>
          <w:kern w:val="2"/>
          <w:szCs w:val="18"/>
          <w:lang w:eastAsia="en-US"/>
        </w:rPr>
        <w:t>bij</w:t>
      </w:r>
      <w:r w:rsidRPr="00FD411B">
        <w:rPr>
          <w:kern w:val="2"/>
          <w:szCs w:val="18"/>
          <w:lang w:eastAsia="en-US"/>
        </w:rPr>
        <w:t xml:space="preserve"> werd ook vermeld dat er in het kader van het puntensysteem punten kunnen worden opgelegd voor het niet of te laat versturen van logboekberichten. In de tweede helft van 2025 is verder ingezet op het vergroten van het bewustzijn bij de vissers voor het correct en tijdig insturen van de vangstregistratie. In de beoordeling van de tijdigheid van het indienen van logboekberichten wordt door de NVWA een beoordelingsproces gehanteerd om rekening te houden met fouten. Hierin wordt onder meer gelet op 1) het aantal niet tijdig ingediende logboekberichten per vaartuig gedurende een bepaalde periode, 2) de vraag of sprake is van overmacht en, 3) of de schipper voorafgaand aan de constatering reeds één of meerdere waarschuwingen heeft ontvangen wegens het niet tijdig indienen van logboekberichten. Ook voor het permanente digitale toezicht op de vangstregistratie hanteert de NVWA binnen haar handhavingsbeleid bepaalde drempelwaarden voor geringe afwijkingen. Bij de beoordeling of een geconstateerde afwijking aanleiding geeft tot interventie, wordt rekening gehouden met de aard en omvang van de afwijking en de mogelijke impact daarvan op de naleving van de wet- regelgeving. </w:t>
      </w:r>
    </w:p>
    <w:p w:rsidRPr="00FD411B" w:rsidR="00C04E96" w:rsidP="00BB3986" w:rsidRDefault="00C04E96" w14:paraId="3548F780" w14:textId="77777777">
      <w:pPr>
        <w:spacing w:after="160"/>
        <w:rPr>
          <w:kern w:val="2"/>
          <w:szCs w:val="18"/>
          <w:lang w:eastAsia="en-US"/>
        </w:rPr>
      </w:pPr>
      <w:r w:rsidRPr="00FD411B">
        <w:rPr>
          <w:kern w:val="2"/>
          <w:szCs w:val="18"/>
          <w:lang w:eastAsia="en-US"/>
        </w:rPr>
        <w:t>Ten slotte wordt er in het bestuurlijke boetesysteem voor de Visserijwet rekening gehouden met de toezichtintensiteit op de vangstregistratie, wat concreet heeft geleid tot het toepassen van een boetematiging in dit kader. Dit wordt geformaliseerd in het besluit dat op 17 september 2026 is gepubliceerd en op 1 januari 2027 in werking treedt.</w:t>
      </w:r>
      <w:r w:rsidRPr="00FD411B">
        <w:rPr>
          <w:kern w:val="2"/>
          <w:szCs w:val="18"/>
          <w:vertAlign w:val="superscript"/>
          <w:lang w:eastAsia="en-US"/>
        </w:rPr>
        <w:footnoteReference w:id="1"/>
      </w:r>
      <w:r w:rsidRPr="00FD411B">
        <w:rPr>
          <w:kern w:val="2"/>
          <w:szCs w:val="18"/>
          <w:lang w:eastAsia="en-US"/>
        </w:rPr>
        <w:t xml:space="preserve"> Met dit besluit wordt de sanctie op dergelijke logboekfouten via de regelgeving verlaagd waardoor de impact evenredig is aan de ernst van de overtreding. </w:t>
      </w:r>
    </w:p>
    <w:p w:rsidRPr="00FD411B" w:rsidR="00C04E96" w:rsidP="00BB3986" w:rsidRDefault="00C04E96" w14:paraId="4B4BC703" w14:textId="77777777">
      <w:pPr>
        <w:spacing w:after="160"/>
        <w:rPr>
          <w:kern w:val="2"/>
          <w:szCs w:val="18"/>
          <w:lang w:eastAsia="en-US"/>
        </w:rPr>
      </w:pPr>
      <w:r w:rsidRPr="00FD411B">
        <w:rPr>
          <w:kern w:val="2"/>
          <w:szCs w:val="18"/>
          <w:lang w:eastAsia="en-US"/>
        </w:rPr>
        <w:t>Op basis van het overleg met de NVWA en RVO concludeert de staatssecretaris dat Nederland de hiervoor beschreven mogelijkheden, om onbewuste schrijffouten te corrigeren, benut binnen de bestaande Europese wet- en regelgeving en de geldende juridische kaders. Daarmee heeft het kabinet uitvoering gegeven aan de motie van de leden Van der Plas en Meulenkamp.</w:t>
      </w:r>
    </w:p>
    <w:p w:rsidRPr="00FD411B" w:rsidR="00C04E96" w:rsidP="00BB3986" w:rsidRDefault="00C04E96" w14:paraId="351E8BF1" w14:textId="77777777">
      <w:pPr>
        <w:spacing w:after="160"/>
        <w:rPr>
          <w:b/>
          <w:bCs/>
          <w:kern w:val="2"/>
          <w:szCs w:val="18"/>
          <w:lang w:eastAsia="en-US"/>
        </w:rPr>
      </w:pPr>
      <w:r w:rsidRPr="00FD411B">
        <w:rPr>
          <w:b/>
          <w:bCs/>
          <w:kern w:val="2"/>
          <w:szCs w:val="18"/>
          <w:lang w:eastAsia="en-US"/>
        </w:rPr>
        <w:t>Boetecategorieën en overtredingen</w:t>
      </w:r>
    </w:p>
    <w:p w:rsidRPr="00FD411B" w:rsidR="00C04E96" w:rsidP="00BB3986" w:rsidRDefault="00C04E96" w14:paraId="6FEB6BD3" w14:textId="77777777">
      <w:pPr>
        <w:spacing w:after="160"/>
        <w:rPr>
          <w:kern w:val="2"/>
          <w:szCs w:val="18"/>
          <w:lang w:eastAsia="en-US"/>
        </w:rPr>
      </w:pPr>
      <w:r w:rsidRPr="00FD411B">
        <w:rPr>
          <w:kern w:val="2"/>
          <w:szCs w:val="18"/>
          <w:lang w:eastAsia="en-US"/>
        </w:rPr>
        <w:t xml:space="preserve">In het debat van 9 september 2026 vroeg het lid Vellinga-Beemsterboer (D66) om nadere toelichting op de boetecategorieën. </w:t>
      </w:r>
    </w:p>
    <w:p w:rsidRPr="00FD411B" w:rsidR="00C04E96" w:rsidP="00BB3986" w:rsidRDefault="00C04E96" w14:paraId="35945E3C" w14:textId="77777777">
      <w:pPr>
        <w:spacing w:after="160"/>
        <w:rPr>
          <w:kern w:val="2"/>
          <w:szCs w:val="18"/>
          <w:lang w:eastAsia="en-US"/>
        </w:rPr>
      </w:pPr>
      <w:r w:rsidRPr="00FD411B">
        <w:rPr>
          <w:kern w:val="2"/>
          <w:szCs w:val="18"/>
          <w:lang w:eastAsia="en-US"/>
        </w:rPr>
        <w:t xml:space="preserve">Het wetsvoorstel wijzigt het gefixeerde boetestelsel zoals is opgenomen in het Besluit bestuurlijke boete Visserijwet 1963 (hierna: besluit) niet, maar biedt een algemeen maximum voor de oplegging van een bestuurlijke boete voor alle </w:t>
      </w:r>
      <w:r w:rsidRPr="00FD411B">
        <w:rPr>
          <w:kern w:val="2"/>
          <w:szCs w:val="18"/>
          <w:lang w:eastAsia="en-US"/>
        </w:rPr>
        <w:lastRenderedPageBreak/>
        <w:t xml:space="preserve">overtredingen die bestuurlijk beboet kunnen worden. Parallel aan de wetswijziging worden ook het besluit en daarmee in samenhang de Regeling bestuurlijke boete Visserijwet 1963 (hierna: regeling) gewijzigd. </w:t>
      </w:r>
    </w:p>
    <w:p w:rsidRPr="00FD411B" w:rsidR="00C04E96" w:rsidP="00BB3986" w:rsidRDefault="00C04E96" w14:paraId="17F002E2" w14:textId="77777777">
      <w:pPr>
        <w:spacing w:after="160"/>
        <w:rPr>
          <w:kern w:val="2"/>
          <w:szCs w:val="18"/>
          <w:lang w:eastAsia="en-US"/>
        </w:rPr>
      </w:pPr>
      <w:r w:rsidRPr="00FD411B">
        <w:rPr>
          <w:kern w:val="2"/>
          <w:szCs w:val="18"/>
          <w:lang w:eastAsia="en-US"/>
        </w:rPr>
        <w:t>De wijziging van het besluit is op 17 september 2026 gepubliceerd in het Staatsblad en treedt op 1 januari 2027 in werking.</w:t>
      </w:r>
      <w:r w:rsidRPr="00FD411B">
        <w:rPr>
          <w:kern w:val="2"/>
          <w:szCs w:val="18"/>
          <w:vertAlign w:val="superscript"/>
          <w:lang w:eastAsia="en-US"/>
        </w:rPr>
        <w:t>1</w:t>
      </w:r>
      <w:r w:rsidRPr="00FD411B">
        <w:rPr>
          <w:kern w:val="2"/>
          <w:szCs w:val="18"/>
          <w:lang w:eastAsia="en-US"/>
        </w:rPr>
        <w:t xml:space="preserve"> De wijziging van het besluit bestaat uit de volgende onderdelen:</w:t>
      </w:r>
    </w:p>
    <w:p w:rsidRPr="00FD411B" w:rsidR="00C04E96" w:rsidP="00BB3986" w:rsidRDefault="00C04E96" w14:paraId="6DAB5ED5" w14:textId="77777777">
      <w:pPr>
        <w:numPr>
          <w:ilvl w:val="0"/>
          <w:numId w:val="16"/>
        </w:numPr>
        <w:spacing w:after="160"/>
        <w:rPr>
          <w:kern w:val="2"/>
          <w:szCs w:val="18"/>
          <w:lang w:eastAsia="en-US"/>
        </w:rPr>
      </w:pPr>
      <w:r w:rsidRPr="00FD411B">
        <w:rPr>
          <w:kern w:val="2"/>
          <w:szCs w:val="18"/>
          <w:lang w:eastAsia="en-US"/>
        </w:rPr>
        <w:t>Een boetematiging voor overtredingen die onder het permanent administratief toezicht vallen. Dit is nodig om disproportioneel hoge boetebedragen voor relatief kleine en snel gemaakte overtredingen te voorkomen, zoals hierboven in de toelichting op de aangenomen motie is toegelicht.</w:t>
      </w:r>
    </w:p>
    <w:p w:rsidRPr="00FD411B" w:rsidR="00C04E96" w:rsidP="00BB3986" w:rsidRDefault="00C04E96" w14:paraId="6261FD33" w14:textId="77777777">
      <w:pPr>
        <w:numPr>
          <w:ilvl w:val="0"/>
          <w:numId w:val="16"/>
        </w:numPr>
        <w:spacing w:after="160"/>
        <w:rPr>
          <w:kern w:val="2"/>
          <w:szCs w:val="18"/>
          <w:lang w:eastAsia="en-US"/>
        </w:rPr>
      </w:pPr>
      <w:r w:rsidRPr="00FD411B">
        <w:rPr>
          <w:kern w:val="2"/>
          <w:szCs w:val="18"/>
          <w:lang w:eastAsia="en-US"/>
        </w:rPr>
        <w:t>De overtreders in de binnenvisserij en de recreatieve visserij worden beter ingebed in de verschillende overtrederscategorieën. Dit is nodig om te voorkomen dat deze overtreders onevenredig hard bestraft worden.</w:t>
      </w:r>
    </w:p>
    <w:p w:rsidRPr="00FD411B" w:rsidR="00C04E96" w:rsidP="00BB3986" w:rsidRDefault="00C04E96" w14:paraId="643B760D" w14:textId="77777777">
      <w:pPr>
        <w:numPr>
          <w:ilvl w:val="0"/>
          <w:numId w:val="16"/>
        </w:numPr>
        <w:spacing w:after="160"/>
        <w:rPr>
          <w:kern w:val="2"/>
          <w:szCs w:val="18"/>
          <w:lang w:eastAsia="en-US"/>
        </w:rPr>
      </w:pPr>
      <w:r w:rsidRPr="00FD411B">
        <w:rPr>
          <w:kern w:val="2"/>
          <w:szCs w:val="18"/>
          <w:lang w:eastAsia="en-US"/>
        </w:rPr>
        <w:t>De definitie van illegale visserij wordt aangevuld om visbestanden en natuurbelangen beter te beschermen.</w:t>
      </w:r>
    </w:p>
    <w:p w:rsidRPr="00FD411B" w:rsidR="00C04E96" w:rsidP="00BB3986" w:rsidRDefault="00C04E96" w14:paraId="582CB979" w14:textId="77777777">
      <w:pPr>
        <w:spacing w:after="160"/>
        <w:rPr>
          <w:kern w:val="2"/>
          <w:szCs w:val="18"/>
          <w:lang w:eastAsia="en-US"/>
        </w:rPr>
      </w:pPr>
      <w:r w:rsidRPr="00FD411B">
        <w:rPr>
          <w:kern w:val="2"/>
          <w:szCs w:val="18"/>
          <w:lang w:eastAsia="en-US"/>
        </w:rPr>
        <w:t>De regeling (waar nu de binnen- en grotendeels kustvisserij onder vallen) wordt conform het ingroeimodel uitgebreid met overtredingen in de kust- en zeevisserij die bestuurlijk beboet kunnen worden. Ook wordt in de regeling vastgelegd op welke specifieke overtredingen de boetematiging uit het besluit van toepassing is. De regeling zal begin 2027 in werking treden.</w:t>
      </w:r>
    </w:p>
    <w:p w:rsidRPr="00FD411B" w:rsidR="00C04E96" w:rsidP="00BB3986" w:rsidRDefault="00C04E96" w14:paraId="46D42E40" w14:textId="77777777">
      <w:pPr>
        <w:spacing w:after="160"/>
        <w:rPr>
          <w:kern w:val="2"/>
          <w:szCs w:val="18"/>
          <w:lang w:eastAsia="en-US"/>
        </w:rPr>
      </w:pPr>
      <w:r w:rsidRPr="00FD411B">
        <w:rPr>
          <w:kern w:val="2"/>
          <w:szCs w:val="18"/>
          <w:lang w:eastAsia="en-US"/>
        </w:rPr>
        <w:t xml:space="preserve">Ter illustratie, een aantal voorbeelden bij de zes overtredingscategorieën (A-F), oplopend in ernst, zoals die in het (wijzigings)besluit zijn opgenomen en in de (wijzigings)regeling worden gekoppeld aan overtredingen van concrete voorschriften. </w:t>
      </w:r>
    </w:p>
    <w:p w:rsidRPr="00FD411B" w:rsidR="00C04E96" w:rsidP="00BB3986" w:rsidRDefault="00C04E96" w14:paraId="54FF182D" w14:textId="77777777">
      <w:pPr>
        <w:spacing w:after="160"/>
        <w:rPr>
          <w:kern w:val="2"/>
          <w:szCs w:val="18"/>
          <w:lang w:eastAsia="en-US"/>
        </w:rPr>
      </w:pPr>
      <w:r w:rsidRPr="00FD411B">
        <w:rPr>
          <w:kern w:val="2"/>
          <w:szCs w:val="18"/>
          <w:lang w:eastAsia="en-US"/>
        </w:rPr>
        <w:t>A: o.a. het niet voldoen aan een administratieve verplichting in de binnenvisserij. Afhankelijk van de overtrederscategorie kan de boetehoogte variëren tussen de €150,- en €750,- voor deze specifieke overtreding.</w:t>
      </w:r>
    </w:p>
    <w:p w:rsidRPr="00FD411B" w:rsidR="00C04E96" w:rsidP="00BB3986" w:rsidRDefault="00C04E96" w14:paraId="594F68C3" w14:textId="77777777">
      <w:pPr>
        <w:spacing w:after="160"/>
        <w:rPr>
          <w:kern w:val="2"/>
          <w:szCs w:val="18"/>
          <w:lang w:eastAsia="en-US"/>
        </w:rPr>
      </w:pPr>
      <w:r w:rsidRPr="00FD411B">
        <w:rPr>
          <w:kern w:val="2"/>
          <w:szCs w:val="18"/>
          <w:lang w:eastAsia="en-US"/>
        </w:rPr>
        <w:t>B: o.a. kleine afwijkingen van de verplichte registratie vangstgegevens zeevisserij en kleine afwijkingen van het vistuig. Afhankelijk van de overtrederscategorie kan de boetehoogte variëren tussen de €350,- en €3000,- voor deze specifieke overtreding.</w:t>
      </w:r>
    </w:p>
    <w:p w:rsidRPr="00FD411B" w:rsidR="00C04E96" w:rsidP="00BB3986" w:rsidRDefault="00C04E96" w14:paraId="5672E8B0" w14:textId="77777777">
      <w:pPr>
        <w:spacing w:after="160"/>
        <w:rPr>
          <w:kern w:val="2"/>
          <w:szCs w:val="18"/>
          <w:lang w:eastAsia="en-US"/>
        </w:rPr>
      </w:pPr>
      <w:r w:rsidRPr="00FD411B">
        <w:rPr>
          <w:kern w:val="2"/>
          <w:szCs w:val="18"/>
          <w:lang w:eastAsia="en-US"/>
        </w:rPr>
        <w:t>C: met betrekking tot de binnenvisserij o.a. visserij zonder of in afwijking van de vergunning, zonder schriftelijke toestemming, met een verboden vistuig, in gesloten tijden, in gesloten gebied of op een verboden soort. Afhankelijk van de overtrederscategorie kan de boetehoogte variëren tussen de €450,- en €4500,- voor deze specifieke overtreding.</w:t>
      </w:r>
    </w:p>
    <w:p w:rsidRPr="00FD411B" w:rsidR="00C04E96" w:rsidP="00BB3986" w:rsidRDefault="00C04E96" w14:paraId="11559EB4" w14:textId="77777777">
      <w:pPr>
        <w:spacing w:after="160"/>
        <w:rPr>
          <w:kern w:val="2"/>
          <w:szCs w:val="18"/>
          <w:lang w:eastAsia="en-US"/>
        </w:rPr>
      </w:pPr>
      <w:r w:rsidRPr="00FD411B">
        <w:rPr>
          <w:kern w:val="2"/>
          <w:szCs w:val="18"/>
          <w:lang w:eastAsia="en-US"/>
        </w:rPr>
        <w:t>D: o.a. niet-naleving van de verplichte registratie van vangstgegevens. Afhankelijk van de overtrederscategorie en of boetematiging van toepassing is, kan de boetehoogte variëren tussen de €900,- en €7000,- voor deze specifieke overtreding.</w:t>
      </w:r>
    </w:p>
    <w:p w:rsidRPr="00FD411B" w:rsidR="00C04E96" w:rsidP="00BB3986" w:rsidRDefault="00C04E96" w14:paraId="1CB60F0C" w14:textId="77777777">
      <w:pPr>
        <w:spacing w:after="160"/>
        <w:rPr>
          <w:kern w:val="2"/>
          <w:szCs w:val="18"/>
          <w:lang w:eastAsia="en-US"/>
        </w:rPr>
      </w:pPr>
      <w:r w:rsidRPr="00FD411B">
        <w:rPr>
          <w:kern w:val="2"/>
          <w:szCs w:val="18"/>
          <w:lang w:eastAsia="en-US"/>
        </w:rPr>
        <w:t xml:space="preserve">E: o.a. het gebruik van verboden vistuig in de zeevisserij en ook het illegaal aanlanden van ondermaatse vis. Afhankelijk van de overtrederscategorie kan de </w:t>
      </w:r>
      <w:r w:rsidRPr="00FD411B">
        <w:rPr>
          <w:kern w:val="2"/>
          <w:szCs w:val="18"/>
          <w:lang w:eastAsia="en-US"/>
        </w:rPr>
        <w:lastRenderedPageBreak/>
        <w:t>boetehoogte variëren tussen de €750,- en €8500,- voor deze specifieke overtreding.</w:t>
      </w:r>
    </w:p>
    <w:p w:rsidRPr="00FD411B" w:rsidR="00C04E96" w:rsidP="00BB3986" w:rsidRDefault="00C04E96" w14:paraId="0F6C06EB" w14:textId="77777777">
      <w:pPr>
        <w:spacing w:after="160"/>
        <w:rPr>
          <w:kern w:val="2"/>
          <w:szCs w:val="18"/>
          <w:lang w:eastAsia="en-US"/>
        </w:rPr>
      </w:pPr>
      <w:r w:rsidRPr="00FD411B">
        <w:rPr>
          <w:kern w:val="2"/>
          <w:szCs w:val="18"/>
          <w:lang w:eastAsia="en-US"/>
        </w:rPr>
        <w:t>F: o.a. vissen in gesloten gebied of zonder vergunning. Afhankelijk van de overtrederscategorie kan de boetehoogte variëren tussen de €7000,- en €10.000,- voor deze specifieke overtreding, of indien dat meer is maximaal 10% van de jaaromzet, onverminderd artikel 54c, derde lid van de wet (wat na inwerkingtreding van het wetsvoorstel betekent: niet meer dan € 1.100.000).</w:t>
      </w:r>
    </w:p>
    <w:p w:rsidRPr="009E24D1" w:rsidR="00C04E96" w:rsidP="00276548" w:rsidRDefault="00C04E96" w14:paraId="3E522AC1" w14:textId="77777777">
      <w:pPr>
        <w:rPr>
          <w:kern w:val="2"/>
          <w:szCs w:val="18"/>
          <w:lang w:eastAsia="en-US"/>
        </w:rPr>
      </w:pPr>
    </w:p>
    <w:p w:rsidR="00C04E96" w:rsidP="00276548" w:rsidRDefault="00C04E96" w14:paraId="713F0F98" w14:textId="77777777">
      <w:pPr>
        <w:rPr>
          <w:kern w:val="2"/>
          <w:szCs w:val="18"/>
          <w:lang w:eastAsia="en-US"/>
        </w:rPr>
      </w:pPr>
    </w:p>
    <w:p w:rsidRPr="009E24D1" w:rsidR="00276548" w:rsidP="00276548" w:rsidRDefault="00276548" w14:paraId="1C995EB2" w14:textId="77777777">
      <w:pPr>
        <w:rPr>
          <w:kern w:val="2"/>
          <w:szCs w:val="18"/>
          <w:lang w:eastAsia="en-US"/>
        </w:rPr>
      </w:pPr>
    </w:p>
    <w:p w:rsidRPr="00585CD9" w:rsidR="00C04E96" w:rsidP="00276548" w:rsidRDefault="00C04E96" w14:paraId="1922F80D" w14:textId="77777777">
      <w:pPr>
        <w:rPr>
          <w:kern w:val="2"/>
          <w:szCs w:val="18"/>
          <w:lang w:eastAsia="en-US"/>
        </w:rPr>
      </w:pPr>
    </w:p>
    <w:p w:rsidRPr="00585CD9" w:rsidR="00C04E96" w:rsidP="00276548" w:rsidRDefault="00C04E96" w14:paraId="6D92C8B0" w14:textId="77777777">
      <w:pPr>
        <w:rPr>
          <w:kern w:val="2"/>
          <w:szCs w:val="18"/>
          <w:lang w:eastAsia="en-US"/>
        </w:rPr>
      </w:pPr>
      <w:r w:rsidRPr="00585CD9">
        <w:rPr>
          <w:kern w:val="2"/>
          <w:szCs w:val="18"/>
          <w:lang w:eastAsia="en-US"/>
        </w:rPr>
        <w:t>Jaimi van Essen</w:t>
      </w:r>
    </w:p>
    <w:p w:rsidRPr="00585CD9" w:rsidR="00C04E96" w:rsidP="00276548" w:rsidRDefault="00C04E96" w14:paraId="3329EA18" w14:textId="77777777">
      <w:pPr>
        <w:rPr>
          <w:kern w:val="2"/>
          <w:szCs w:val="18"/>
          <w:lang w:eastAsia="en-US"/>
        </w:rPr>
      </w:pPr>
      <w:r w:rsidRPr="00585CD9">
        <w:rPr>
          <w:kern w:val="2"/>
          <w:szCs w:val="18"/>
          <w:lang w:eastAsia="en-US"/>
        </w:rPr>
        <w:t>Minister van Landbouw, Visserij, Voedselzekerheid en Natuur</w:t>
      </w:r>
    </w:p>
    <w:p w:rsidRPr="00585CD9" w:rsidR="00C04E96" w:rsidP="00276548" w:rsidRDefault="00C04E96" w14:paraId="6A0672C2" w14:textId="77777777">
      <w:pPr>
        <w:rPr>
          <w:kern w:val="2"/>
          <w:szCs w:val="18"/>
          <w:lang w:eastAsia="en-US"/>
        </w:rPr>
      </w:pPr>
    </w:p>
    <w:p w:rsidR="00C04E96" w:rsidP="00276548" w:rsidRDefault="00C04E96" w14:paraId="146D66BA" w14:textId="77777777">
      <w:pPr>
        <w:rPr>
          <w:kern w:val="2"/>
          <w:szCs w:val="18"/>
          <w:lang w:eastAsia="en-US"/>
        </w:rPr>
      </w:pPr>
    </w:p>
    <w:p w:rsidR="00276548" w:rsidP="00276548" w:rsidRDefault="00276548" w14:paraId="356D0031" w14:textId="77777777">
      <w:pPr>
        <w:rPr>
          <w:kern w:val="2"/>
          <w:szCs w:val="18"/>
          <w:lang w:eastAsia="en-US"/>
        </w:rPr>
      </w:pPr>
    </w:p>
    <w:p w:rsidRPr="00585CD9" w:rsidR="00276548" w:rsidP="00276548" w:rsidRDefault="00276548" w14:paraId="2A575F2D" w14:textId="77777777">
      <w:pPr>
        <w:rPr>
          <w:kern w:val="2"/>
          <w:szCs w:val="18"/>
          <w:lang w:eastAsia="en-US"/>
        </w:rPr>
      </w:pPr>
    </w:p>
    <w:p w:rsidRPr="00585CD9" w:rsidR="00C04E96" w:rsidP="00276548" w:rsidRDefault="00C04E96" w14:paraId="440AB6C6" w14:textId="77777777">
      <w:pPr>
        <w:rPr>
          <w:kern w:val="2"/>
          <w:szCs w:val="18"/>
          <w:lang w:eastAsia="en-US"/>
        </w:rPr>
      </w:pPr>
      <w:r w:rsidRPr="00585CD9">
        <w:rPr>
          <w:kern w:val="2"/>
          <w:szCs w:val="18"/>
          <w:lang w:eastAsia="en-US"/>
        </w:rPr>
        <w:t>Silvio P.A. Erkens</w:t>
      </w:r>
    </w:p>
    <w:p w:rsidRPr="00EE46B2" w:rsidR="00C04E96" w:rsidP="00276548" w:rsidRDefault="00C04E96" w14:paraId="6A12B586" w14:textId="77777777">
      <w:pPr>
        <w:rPr>
          <w:kern w:val="2"/>
          <w:szCs w:val="18"/>
          <w:lang w:eastAsia="en-US"/>
        </w:rPr>
      </w:pPr>
      <w:r w:rsidRPr="00585CD9">
        <w:rPr>
          <w:kern w:val="2"/>
          <w:szCs w:val="18"/>
          <w:lang w:eastAsia="en-US"/>
        </w:rPr>
        <w:t>Staatssecretaris van Landbouw, Visserij, Voedselzekerheid en Natuur</w:t>
      </w:r>
    </w:p>
    <w:sectPr w:rsidRPr="00EE46B2" w:rsidR="00C04E96" w:rsidSect="00D604B3">
      <w:headerReference w:type="even" r:id="rId7"/>
      <w:headerReference w:type="default" r:id="rId8"/>
      <w:footerReference w:type="even" r:id="rId9"/>
      <w:footerReference w:type="default" r:id="rId10"/>
      <w:headerReference w:type="first" r:id="rId11"/>
      <w:footerReference w:type="first" r:id="rId12"/>
      <w:pgSz w:w="11906" w:h="16838" w:code="9"/>
      <w:pgMar w:top="2398" w:right="2818"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E8B88C" w14:textId="77777777" w:rsidR="00580D0E" w:rsidRDefault="00580D0E">
      <w:r>
        <w:separator/>
      </w:r>
    </w:p>
    <w:p w14:paraId="0AFCB7CB" w14:textId="77777777" w:rsidR="00580D0E" w:rsidRDefault="00580D0E"/>
  </w:endnote>
  <w:endnote w:type="continuationSeparator" w:id="0">
    <w:p w14:paraId="1AFA843D" w14:textId="77777777" w:rsidR="00580D0E" w:rsidRDefault="00580D0E">
      <w:r>
        <w:continuationSeparator/>
      </w:r>
    </w:p>
    <w:p w14:paraId="17AFD11C" w14:textId="77777777" w:rsidR="00580D0E" w:rsidRDefault="00580D0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altName w:val="Verdana"/>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Agrofont">
    <w:panose1 w:val="020B0503040100020103"/>
    <w:charset w:val="00"/>
    <w:family w:val="swiss"/>
    <w:pitch w:val="variable"/>
    <w:sig w:usb0="800000A7" w:usb1="00000040" w:usb2="00000000" w:usb3="00000000" w:csb0="00000001"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BF7F7" w14:textId="77777777" w:rsidR="001F1754" w:rsidRDefault="001F1754">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017B2" w14:textId="77777777" w:rsidR="00527BD4" w:rsidRPr="00BC3B53" w:rsidRDefault="00527BD4" w:rsidP="008C356D">
    <w:pPr>
      <w:pStyle w:val="Voettekst"/>
      <w:spacing w:line="240" w:lineRule="auto"/>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38703D" w14:paraId="7AEF8704" w14:textId="77777777" w:rsidTr="00CA6A25">
      <w:trPr>
        <w:trHeight w:hRule="exact" w:val="240"/>
      </w:trPr>
      <w:tc>
        <w:tcPr>
          <w:tcW w:w="7601" w:type="dxa"/>
        </w:tcPr>
        <w:p w14:paraId="3F2A0B50" w14:textId="77777777" w:rsidR="00527BD4" w:rsidRDefault="00527BD4" w:rsidP="003F1F6B">
          <w:pPr>
            <w:pStyle w:val="Huisstijl-Rubricering"/>
          </w:pPr>
        </w:p>
      </w:tc>
      <w:tc>
        <w:tcPr>
          <w:tcW w:w="2156" w:type="dxa"/>
        </w:tcPr>
        <w:p w14:paraId="4B00DB72" w14:textId="79051B97" w:rsidR="00527BD4" w:rsidRPr="00645414" w:rsidRDefault="00734440" w:rsidP="00645414">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6247BE">
            <w:t>2</w:t>
          </w:r>
          <w:r w:rsidRPr="00645414">
            <w:fldChar w:fldCharType="end"/>
          </w:r>
          <w:r w:rsidRPr="00645414">
            <w:t xml:space="preserve"> </w:t>
          </w:r>
          <w:r>
            <w:t>van</w:t>
          </w:r>
          <w:r w:rsidRPr="00645414">
            <w:t xml:space="preserve"> </w:t>
          </w:r>
          <w:r w:rsidR="00144B73">
            <w:fldChar w:fldCharType="begin"/>
          </w:r>
          <w:r>
            <w:instrText xml:space="preserve"> SECTIONPAGES   \* MERGEFORMAT </w:instrText>
          </w:r>
          <w:r w:rsidR="00144B73">
            <w:fldChar w:fldCharType="separate"/>
          </w:r>
          <w:r w:rsidR="001F1754">
            <w:t>11</w:t>
          </w:r>
          <w:r w:rsidR="00144B73">
            <w:fldChar w:fldCharType="end"/>
          </w:r>
        </w:p>
      </w:tc>
    </w:tr>
  </w:tbl>
  <w:p w14:paraId="521BA627" w14:textId="77777777" w:rsidR="00527BD4" w:rsidRPr="00BC3B53" w:rsidRDefault="00527BD4" w:rsidP="00BC3B53">
    <w:pPr>
      <w:pStyle w:val="Voettekst"/>
      <w:spacing w:line="240" w:lineRule="auto"/>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38703D" w14:paraId="423DE06D" w14:textId="77777777" w:rsidTr="00CA6A25">
      <w:trPr>
        <w:trHeight w:hRule="exact" w:val="240"/>
      </w:trPr>
      <w:tc>
        <w:tcPr>
          <w:tcW w:w="7601" w:type="dxa"/>
        </w:tcPr>
        <w:p w14:paraId="13CABB62" w14:textId="77777777" w:rsidR="00527BD4" w:rsidRDefault="00527BD4" w:rsidP="008C356D">
          <w:pPr>
            <w:pStyle w:val="Huisstijl-Rubricering"/>
          </w:pPr>
        </w:p>
      </w:tc>
      <w:tc>
        <w:tcPr>
          <w:tcW w:w="2170" w:type="dxa"/>
        </w:tcPr>
        <w:p w14:paraId="63836170" w14:textId="33194DF2" w:rsidR="00527BD4" w:rsidRPr="00ED539E" w:rsidRDefault="00734440" w:rsidP="00ED539E">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39201D">
            <w:t>1</w:t>
          </w:r>
          <w:r w:rsidRPr="00645414">
            <w:fldChar w:fldCharType="end"/>
          </w:r>
          <w:r w:rsidRPr="00ED539E">
            <w:rPr>
              <w:rStyle w:val="Huisstijl-GegevenCharChar"/>
            </w:rPr>
            <w:t xml:space="preserve"> </w:t>
          </w:r>
          <w:r>
            <w:t>van</w:t>
          </w:r>
          <w:r w:rsidRPr="00ED539E">
            <w:t xml:space="preserve"> </w:t>
          </w:r>
          <w:r w:rsidR="00E8788E">
            <w:fldChar w:fldCharType="begin"/>
          </w:r>
          <w:r>
            <w:instrText xml:space="preserve"> SECTIONPAGES   \* MERGEFORMAT </w:instrText>
          </w:r>
          <w:r w:rsidR="00E8788E">
            <w:fldChar w:fldCharType="separate"/>
          </w:r>
          <w:r w:rsidR="001F1754">
            <w:t>11</w:t>
          </w:r>
          <w:r w:rsidR="00E8788E">
            <w:fldChar w:fldCharType="end"/>
          </w:r>
        </w:p>
      </w:tc>
    </w:tr>
  </w:tbl>
  <w:p w14:paraId="5AD78E29" w14:textId="77777777" w:rsidR="00527BD4" w:rsidRPr="00BC3B53" w:rsidRDefault="00527BD4" w:rsidP="008C356D">
    <w:pPr>
      <w:pStyle w:val="Voettekst"/>
      <w:spacing w:line="240" w:lineRule="auto"/>
      <w:rPr>
        <w:sz w:val="2"/>
        <w:szCs w:val="2"/>
      </w:rPr>
    </w:pPr>
  </w:p>
  <w:p w14:paraId="1A75AF8F" w14:textId="77777777" w:rsidR="00527BD4" w:rsidRPr="00BC3B53" w:rsidRDefault="00527BD4" w:rsidP="00023E9A">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270721" w14:textId="77777777" w:rsidR="00580D0E" w:rsidRDefault="00580D0E">
      <w:r>
        <w:separator/>
      </w:r>
    </w:p>
    <w:p w14:paraId="22492A79" w14:textId="77777777" w:rsidR="00580D0E" w:rsidRDefault="00580D0E"/>
  </w:footnote>
  <w:footnote w:type="continuationSeparator" w:id="0">
    <w:p w14:paraId="4FDB5E0E" w14:textId="77777777" w:rsidR="00580D0E" w:rsidRDefault="00580D0E">
      <w:r>
        <w:continuationSeparator/>
      </w:r>
    </w:p>
    <w:p w14:paraId="2DB415C8" w14:textId="77777777" w:rsidR="00580D0E" w:rsidRDefault="00580D0E"/>
  </w:footnote>
  <w:footnote w:id="1">
    <w:p w14:paraId="3FDB0E1D" w14:textId="77777777" w:rsidR="00C04E96" w:rsidRPr="00276548" w:rsidRDefault="00C04E96" w:rsidP="00C04E96">
      <w:pPr>
        <w:pStyle w:val="Voetnoottekst"/>
        <w:rPr>
          <w:szCs w:val="13"/>
        </w:rPr>
      </w:pPr>
      <w:r w:rsidRPr="00276548">
        <w:rPr>
          <w:rStyle w:val="Voetnootmarkering"/>
          <w:szCs w:val="13"/>
        </w:rPr>
        <w:footnoteRef/>
      </w:r>
      <w:r w:rsidRPr="00276548">
        <w:rPr>
          <w:szCs w:val="13"/>
        </w:rPr>
        <w:t xml:space="preserve"> Besluit van 3 september 2026, houdende wijziging van het Besluit bestuurlijke boete Visserijwet 1963 in verband met de implementatie van Verordening (EU) 2023/2842 over visserijcontrole met betrekking tot de op te leggen administratieve financiële sancties bij ernstige inbreuken (Stb. 2026, 264).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153E5" w14:textId="77777777" w:rsidR="001F1754" w:rsidRDefault="001F1754">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tblpX="7628" w:tblpY="2978"/>
      <w:tblOverlap w:val="never"/>
      <w:tblW w:w="2156" w:type="dxa"/>
      <w:tblLayout w:type="fixed"/>
      <w:tblCellMar>
        <w:left w:w="0" w:type="dxa"/>
        <w:right w:w="0" w:type="dxa"/>
      </w:tblCellMar>
      <w:tblLook w:val="0000" w:firstRow="0" w:lastRow="0" w:firstColumn="0" w:lastColumn="0" w:noHBand="0" w:noVBand="0"/>
    </w:tblPr>
    <w:tblGrid>
      <w:gridCol w:w="2156"/>
    </w:tblGrid>
    <w:tr w:rsidR="0038703D" w14:paraId="17A07D67" w14:textId="77777777" w:rsidTr="00A50CF6">
      <w:tc>
        <w:tcPr>
          <w:tcW w:w="2156" w:type="dxa"/>
        </w:tcPr>
        <w:p w14:paraId="616916E7" w14:textId="77777777" w:rsidR="00527BD4" w:rsidRPr="005819CE" w:rsidRDefault="00734440" w:rsidP="00A50CF6">
          <w:pPr>
            <w:pStyle w:val="Huisstijl-Adres"/>
            <w:rPr>
              <w:b/>
            </w:rPr>
          </w:pPr>
          <w:r>
            <w:rPr>
              <w:b/>
            </w:rPr>
            <w:t>Directoraat-generaal Agro</w:t>
          </w:r>
          <w:r w:rsidRPr="005819CE">
            <w:rPr>
              <w:b/>
            </w:rPr>
            <w:br/>
          </w:r>
          <w:r>
            <w:t xml:space="preserve">Directie Europees, Internationaal en Agro economisch beleid </w:t>
          </w:r>
        </w:p>
      </w:tc>
    </w:tr>
    <w:tr w:rsidR="0038703D" w14:paraId="6F8D6D0A" w14:textId="77777777" w:rsidTr="00A50CF6">
      <w:trPr>
        <w:trHeight w:hRule="exact" w:val="200"/>
      </w:trPr>
      <w:tc>
        <w:tcPr>
          <w:tcW w:w="2156" w:type="dxa"/>
        </w:tcPr>
        <w:p w14:paraId="02F797F6" w14:textId="77777777" w:rsidR="00527BD4" w:rsidRPr="005819CE" w:rsidRDefault="00527BD4" w:rsidP="00A50CF6"/>
      </w:tc>
    </w:tr>
    <w:tr w:rsidR="0038703D" w14:paraId="3B73723B" w14:textId="77777777" w:rsidTr="00502512">
      <w:trPr>
        <w:trHeight w:hRule="exact" w:val="774"/>
      </w:trPr>
      <w:tc>
        <w:tcPr>
          <w:tcW w:w="2156" w:type="dxa"/>
        </w:tcPr>
        <w:p w14:paraId="1F9D0D13" w14:textId="77777777" w:rsidR="00527BD4" w:rsidRDefault="00734440" w:rsidP="003A5290">
          <w:pPr>
            <w:pStyle w:val="Huisstijl-Kopje"/>
          </w:pPr>
          <w:r>
            <w:t>Ons kenmerk</w:t>
          </w:r>
        </w:p>
        <w:p w14:paraId="670B66CB" w14:textId="77777777" w:rsidR="00527BD4" w:rsidRPr="005819CE" w:rsidRDefault="00734440" w:rsidP="001E6117">
          <w:pPr>
            <w:pStyle w:val="Huisstijl-Kopje"/>
          </w:pPr>
          <w:r>
            <w:rPr>
              <w:b w:val="0"/>
            </w:rPr>
            <w:t>DGA-EIA</w:t>
          </w:r>
          <w:r w:rsidRPr="00502512">
            <w:rPr>
              <w:b w:val="0"/>
            </w:rPr>
            <w:t xml:space="preserve"> / </w:t>
          </w:r>
          <w:r>
            <w:rPr>
              <w:b w:val="0"/>
            </w:rPr>
            <w:t>108818530</w:t>
          </w:r>
        </w:p>
      </w:tc>
    </w:tr>
  </w:tbl>
  <w:p w14:paraId="56F21E45" w14:textId="77777777" w:rsidR="00527BD4" w:rsidRDefault="00527BD4" w:rsidP="008C356D"/>
  <w:p w14:paraId="218018EE" w14:textId="77777777" w:rsidR="00527BD4" w:rsidRPr="00740712" w:rsidRDefault="00527BD4" w:rsidP="008C356D"/>
  <w:p w14:paraId="4A493076" w14:textId="77777777" w:rsidR="00527BD4" w:rsidRPr="00217880" w:rsidRDefault="00527BD4" w:rsidP="008C356D">
    <w:pPr>
      <w:spacing w:line="0" w:lineRule="atLeast"/>
      <w:rPr>
        <w:sz w:val="2"/>
        <w:szCs w:val="2"/>
      </w:rPr>
    </w:pPr>
  </w:p>
  <w:p w14:paraId="74D4FC13" w14:textId="77777777" w:rsidR="00527BD4" w:rsidRDefault="00527BD4" w:rsidP="004F44C2">
    <w:pPr>
      <w:pStyle w:val="Koptekst"/>
      <w:rPr>
        <w:rFonts w:cs="Verdana-Bold"/>
        <w:b/>
        <w:bCs/>
        <w:smallCaps/>
        <w:szCs w:val="18"/>
      </w:rPr>
    </w:pPr>
  </w:p>
  <w:p w14:paraId="29D7639C" w14:textId="77777777" w:rsidR="00527BD4" w:rsidRDefault="00527BD4" w:rsidP="004F44C2"/>
  <w:p w14:paraId="47151124" w14:textId="77777777" w:rsidR="00527BD4" w:rsidRPr="00740712" w:rsidRDefault="00527BD4" w:rsidP="004F44C2"/>
  <w:p w14:paraId="0E3F7822" w14:textId="77777777" w:rsidR="00527BD4" w:rsidRPr="00217880" w:rsidRDefault="00527BD4" w:rsidP="004F44C2">
    <w:pPr>
      <w:spacing w:line="0" w:lineRule="atLeast"/>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38703D" w14:paraId="79027782" w14:textId="77777777" w:rsidTr="00751A6A">
      <w:trPr>
        <w:trHeight w:val="2636"/>
      </w:trPr>
      <w:tc>
        <w:tcPr>
          <w:tcW w:w="737" w:type="dxa"/>
        </w:tcPr>
        <w:p w14:paraId="74F40276" w14:textId="77777777" w:rsidR="00527BD4" w:rsidRDefault="00527BD4" w:rsidP="00D0609E">
          <w:pPr>
            <w:framePr w:w="6340" w:h="2750" w:hRule="exact" w:hSpace="180" w:wrap="around" w:vAnchor="page" w:hAnchor="text" w:x="3873" w:y="-140"/>
            <w:spacing w:line="240" w:lineRule="auto"/>
          </w:pPr>
        </w:p>
      </w:tc>
      <w:tc>
        <w:tcPr>
          <w:tcW w:w="5156" w:type="dxa"/>
        </w:tcPr>
        <w:p w14:paraId="500F60D4" w14:textId="77777777" w:rsidR="00527BD4" w:rsidRDefault="00734440" w:rsidP="00D0609E">
          <w:pPr>
            <w:framePr w:w="6340" w:h="2750" w:hRule="exact" w:hSpace="180" w:wrap="around" w:vAnchor="page" w:hAnchor="text" w:x="3873" w:y="-140"/>
            <w:spacing w:line="240" w:lineRule="auto"/>
          </w:pPr>
          <w:r>
            <w:t xml:space="preserve">   </w:t>
          </w:r>
          <w:r w:rsidRPr="00DE35B7">
            <w:rPr>
              <w:sz w:val="2"/>
              <w:szCs w:val="2"/>
            </w:rPr>
            <w:t xml:space="preserve"> </w:t>
          </w:r>
          <w:r>
            <w:rPr>
              <w:noProof/>
              <w:szCs w:val="18"/>
            </w:rPr>
            <w:t xml:space="preserve"> </w:t>
          </w:r>
          <w:r w:rsidR="00E97D28">
            <w:rPr>
              <w:noProof/>
              <w:szCs w:val="18"/>
            </w:rPr>
            <w:t xml:space="preserve"> </w:t>
          </w:r>
          <w:r w:rsidR="001E234B">
            <w:rPr>
              <w:noProof/>
              <w:szCs w:val="18"/>
            </w:rPr>
            <w:drawing>
              <wp:inline distT="0" distB="0" distL="0" distR="0" wp14:anchorId="3A582BDD" wp14:editId="63978E48">
                <wp:extent cx="2340000" cy="1584000"/>
                <wp:effectExtent l="0" t="0" r="3175" b="0"/>
                <wp:docPr id="1" name="Afbeelding 5"/>
                <wp:cNvGraphicFramePr/>
                <a:graphic xmlns:a="http://schemas.openxmlformats.org/drawingml/2006/main">
                  <a:graphicData uri="http://schemas.openxmlformats.org/drawingml/2006/picture">
                    <pic:pic xmlns:pic="http://schemas.openxmlformats.org/drawingml/2006/picture">
                      <pic:nvPicPr>
                        <pic:cNvPr id="1" name="Picture 4"/>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40000" cy="1584000"/>
                        </a:xfrm>
                        <a:prstGeom prst="rect">
                          <a:avLst/>
                        </a:prstGeom>
                        <a:noFill/>
                        <a:ln>
                          <a:noFill/>
                        </a:ln>
                      </pic:spPr>
                    </pic:pic>
                  </a:graphicData>
                </a:graphic>
              </wp:inline>
            </w:drawing>
          </w:r>
        </w:p>
      </w:tc>
    </w:tr>
  </w:tbl>
  <w:p w14:paraId="6EAFB5E7" w14:textId="77777777" w:rsidR="00527BD4" w:rsidRDefault="00527BD4" w:rsidP="00D0609E">
    <w:pPr>
      <w:framePr w:w="6340" w:h="2750" w:hRule="exact" w:hSpace="180" w:wrap="around" w:vAnchor="page" w:hAnchor="text" w:x="3873" w:y="-140"/>
    </w:pPr>
  </w:p>
  <w:p w14:paraId="65E24C89" w14:textId="77777777" w:rsidR="00527BD4" w:rsidRDefault="00527BD4" w:rsidP="000049FB">
    <w:pPr>
      <w:pStyle w:val="Koptekst"/>
      <w:tabs>
        <w:tab w:val="clear" w:pos="4536"/>
        <w:tab w:val="clear" w:pos="9072"/>
      </w:tabs>
    </w:pP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38703D" w:rsidRPr="00BB3986" w14:paraId="0582CDFC" w14:textId="77777777" w:rsidTr="00A50CF6">
      <w:tc>
        <w:tcPr>
          <w:tcW w:w="2160" w:type="dxa"/>
        </w:tcPr>
        <w:p w14:paraId="359F1A15" w14:textId="77777777" w:rsidR="00527BD4" w:rsidRPr="005819CE" w:rsidRDefault="00734440" w:rsidP="00A50CF6">
          <w:pPr>
            <w:pStyle w:val="Huisstijl-Adres"/>
            <w:rPr>
              <w:b/>
            </w:rPr>
          </w:pPr>
          <w:r>
            <w:rPr>
              <w:b/>
            </w:rPr>
            <w:t>Directoraat-generaal Agro</w:t>
          </w:r>
          <w:r w:rsidRPr="005819CE">
            <w:rPr>
              <w:b/>
            </w:rPr>
            <w:br/>
          </w:r>
          <w:r>
            <w:t xml:space="preserve">Directie Europees, Internationaal en Agro economisch beleid </w:t>
          </w:r>
        </w:p>
        <w:p w14:paraId="33B86A33" w14:textId="77777777" w:rsidR="00527BD4" w:rsidRPr="00BE5ED9" w:rsidRDefault="00734440" w:rsidP="00A50CF6">
          <w:pPr>
            <w:pStyle w:val="Huisstijl-Adres"/>
          </w:pPr>
          <w:r>
            <w:rPr>
              <w:b/>
            </w:rPr>
            <w:t>Bezoekadres</w:t>
          </w:r>
          <w:r>
            <w:rPr>
              <w:b/>
            </w:rPr>
            <w:br/>
          </w:r>
          <w:r>
            <w:t>Bezuidenhoutseweg 73</w:t>
          </w:r>
          <w:r w:rsidRPr="005819CE">
            <w:br/>
          </w:r>
          <w:r>
            <w:t>2594 AC Den Haag</w:t>
          </w:r>
        </w:p>
        <w:p w14:paraId="44CF06CF" w14:textId="77777777" w:rsidR="00EF495B" w:rsidRDefault="00734440" w:rsidP="0098788A">
          <w:pPr>
            <w:pStyle w:val="Huisstijl-Adres"/>
          </w:pPr>
          <w:r>
            <w:rPr>
              <w:b/>
            </w:rPr>
            <w:t>Postadres</w:t>
          </w:r>
          <w:r>
            <w:rPr>
              <w:b/>
            </w:rPr>
            <w:br/>
          </w:r>
          <w:r>
            <w:t>Postbus 20401</w:t>
          </w:r>
          <w:r w:rsidRPr="005819CE">
            <w:br/>
            <w:t>2500 E</w:t>
          </w:r>
          <w:r>
            <w:t>K</w:t>
          </w:r>
          <w:r w:rsidRPr="005819CE">
            <w:t xml:space="preserve"> Den Haag</w:t>
          </w:r>
        </w:p>
        <w:p w14:paraId="55451CB3" w14:textId="77777777" w:rsidR="00556BEE" w:rsidRPr="005B3814" w:rsidRDefault="00734440" w:rsidP="0098788A">
          <w:pPr>
            <w:pStyle w:val="Huisstijl-Adres"/>
          </w:pPr>
          <w:r>
            <w:rPr>
              <w:b/>
            </w:rPr>
            <w:t>Overheidsidentificatienr</w:t>
          </w:r>
          <w:r>
            <w:rPr>
              <w:b/>
            </w:rPr>
            <w:br/>
          </w:r>
          <w:r w:rsidR="00BA129E">
            <w:rPr>
              <w:rFonts w:cs="Agrofont"/>
              <w:iCs/>
            </w:rPr>
            <w:t>00000001858272854000</w:t>
          </w:r>
        </w:p>
        <w:p w14:paraId="5B41C72C" w14:textId="4248FBCF" w:rsidR="00527BD4" w:rsidRPr="00BB3986" w:rsidRDefault="00734440" w:rsidP="00A50CF6">
          <w:pPr>
            <w:pStyle w:val="Huisstijl-Adres"/>
            <w:rPr>
              <w:u w:val="single"/>
            </w:rPr>
          </w:pPr>
          <w:r>
            <w:t>T</w:t>
          </w:r>
          <w:r>
            <w:tab/>
            <w:t>070 379 8911 (algemeen)</w:t>
          </w:r>
          <w:r w:rsidRPr="005819CE">
            <w:br/>
          </w:r>
          <w:r w:rsidR="006F751F">
            <w:t>F</w:t>
          </w:r>
          <w:r w:rsidR="006F751F">
            <w:tab/>
            <w:t>0</w:t>
          </w:r>
          <w:r>
            <w:t>70 378 6100</w:t>
          </w:r>
          <w:r w:rsidR="006F751F">
            <w:t xml:space="preserve"> (algemeen)</w:t>
          </w:r>
          <w:r w:rsidR="006F751F" w:rsidRPr="005819CE">
            <w:br/>
          </w:r>
          <w:r>
            <w:t>www.rijksoverheid.nl/lvvn</w:t>
          </w:r>
        </w:p>
      </w:tc>
    </w:tr>
    <w:tr w:rsidR="0038703D" w:rsidRPr="00BB3986" w14:paraId="544C4E81" w14:textId="77777777" w:rsidTr="00A50CF6">
      <w:trPr>
        <w:trHeight w:hRule="exact" w:val="200"/>
      </w:trPr>
      <w:tc>
        <w:tcPr>
          <w:tcW w:w="2160" w:type="dxa"/>
        </w:tcPr>
        <w:p w14:paraId="0624FEB6" w14:textId="77777777" w:rsidR="00527BD4" w:rsidRPr="00C04E96" w:rsidRDefault="00527BD4" w:rsidP="00A50CF6">
          <w:pPr>
            <w:rPr>
              <w:lang w:val="fr-FR"/>
            </w:rPr>
          </w:pPr>
        </w:p>
      </w:tc>
    </w:tr>
    <w:tr w:rsidR="0038703D" w14:paraId="4C4D08D9" w14:textId="77777777" w:rsidTr="00A50CF6">
      <w:tc>
        <w:tcPr>
          <w:tcW w:w="2160" w:type="dxa"/>
        </w:tcPr>
        <w:p w14:paraId="0E6C8228" w14:textId="77777777" w:rsidR="000C0163" w:rsidRPr="005819CE" w:rsidRDefault="00734440" w:rsidP="000C0163">
          <w:pPr>
            <w:pStyle w:val="Huisstijl-Kopje"/>
          </w:pPr>
          <w:r>
            <w:t>Ons kenmerk</w:t>
          </w:r>
          <w:r w:rsidRPr="005819CE">
            <w:t xml:space="preserve"> </w:t>
          </w:r>
        </w:p>
        <w:p w14:paraId="73CA0375" w14:textId="77777777" w:rsidR="000C0163" w:rsidRPr="005819CE" w:rsidRDefault="00734440" w:rsidP="000C0163">
          <w:pPr>
            <w:pStyle w:val="Huisstijl-Gegeven"/>
          </w:pPr>
          <w:r>
            <w:t>DGA-EIA /</w:t>
          </w:r>
          <w:r w:rsidR="00486354">
            <w:t xml:space="preserve"> </w:t>
          </w:r>
          <w:r>
            <w:t>108818530</w:t>
          </w:r>
        </w:p>
        <w:p w14:paraId="2D616C48" w14:textId="77777777" w:rsidR="00527BD4" w:rsidRDefault="00D2335B" w:rsidP="00BB3986">
          <w:pPr>
            <w:pStyle w:val="Huisstijl-Kopje"/>
          </w:pPr>
          <w:r>
            <w:t>Bijlage(n)</w:t>
          </w:r>
        </w:p>
        <w:p w14:paraId="205086B8" w14:textId="248C9C3A" w:rsidR="00D2335B" w:rsidRPr="00D2335B" w:rsidRDefault="00D2335B" w:rsidP="00BB3986">
          <w:pPr>
            <w:pStyle w:val="Huisstijl-Kopje"/>
            <w:rPr>
              <w:b w:val="0"/>
              <w:bCs/>
            </w:rPr>
          </w:pPr>
          <w:r>
            <w:rPr>
              <w:b w:val="0"/>
              <w:bCs/>
            </w:rPr>
            <w:t>2</w:t>
          </w:r>
        </w:p>
      </w:tc>
    </w:tr>
  </w:tbl>
  <w:p w14:paraId="42595C07" w14:textId="77777777" w:rsidR="00121BF0" w:rsidRPr="00121BF0" w:rsidRDefault="00121BF0" w:rsidP="00121BF0">
    <w:pPr>
      <w:rPr>
        <w:vanish/>
      </w:rPr>
    </w:pPr>
  </w:p>
  <w:tbl>
    <w:tblPr>
      <w:tblW w:w="7371" w:type="dxa"/>
      <w:tblLayout w:type="fixed"/>
      <w:tblCellMar>
        <w:left w:w="0" w:type="dxa"/>
        <w:right w:w="0" w:type="dxa"/>
      </w:tblCellMar>
      <w:tblLook w:val="0000" w:firstRow="0" w:lastRow="0" w:firstColumn="0" w:lastColumn="0" w:noHBand="0" w:noVBand="0"/>
    </w:tblPr>
    <w:tblGrid>
      <w:gridCol w:w="882"/>
      <w:gridCol w:w="6489"/>
    </w:tblGrid>
    <w:tr w:rsidR="0038703D" w14:paraId="31D1E8C3" w14:textId="77777777" w:rsidTr="009E2051">
      <w:trPr>
        <w:trHeight w:val="400"/>
      </w:trPr>
      <w:tc>
        <w:tcPr>
          <w:tcW w:w="7520" w:type="dxa"/>
          <w:gridSpan w:val="2"/>
        </w:tcPr>
        <w:p w14:paraId="792C414C" w14:textId="77777777" w:rsidR="00527BD4" w:rsidRPr="00BC3B53" w:rsidRDefault="00734440" w:rsidP="00A50CF6">
          <w:pPr>
            <w:pStyle w:val="Huisstijl-Retouradres"/>
          </w:pPr>
          <w:r>
            <w:t>&gt; Retouradres Postbus 20401 2500 EK Den Haag</w:t>
          </w:r>
        </w:p>
      </w:tc>
    </w:tr>
    <w:tr w:rsidR="0038703D" w14:paraId="633BB906" w14:textId="77777777" w:rsidTr="009E2051">
      <w:tc>
        <w:tcPr>
          <w:tcW w:w="7520" w:type="dxa"/>
          <w:gridSpan w:val="2"/>
        </w:tcPr>
        <w:p w14:paraId="5CDB46E5" w14:textId="77777777" w:rsidR="00527BD4" w:rsidRPr="00983E8F" w:rsidRDefault="00527BD4" w:rsidP="00A50CF6">
          <w:pPr>
            <w:pStyle w:val="Huisstijl-Rubricering"/>
          </w:pPr>
        </w:p>
      </w:tc>
    </w:tr>
    <w:tr w:rsidR="0038703D" w14:paraId="75BFFBFA" w14:textId="77777777" w:rsidTr="009E2051">
      <w:trPr>
        <w:trHeight w:hRule="exact" w:val="2440"/>
      </w:trPr>
      <w:tc>
        <w:tcPr>
          <w:tcW w:w="7520" w:type="dxa"/>
          <w:gridSpan w:val="2"/>
        </w:tcPr>
        <w:p w14:paraId="0536025C" w14:textId="2AE8FB3D" w:rsidR="00527BD4" w:rsidRDefault="00B022CD" w:rsidP="00A50CF6">
          <w:pPr>
            <w:pStyle w:val="Huisstijl-NAW"/>
          </w:pPr>
          <w:r>
            <w:t xml:space="preserve">De </w:t>
          </w:r>
          <w:r w:rsidR="00734440">
            <w:t>Voorzitter van de Tweede Kamer</w:t>
          </w:r>
        </w:p>
        <w:p w14:paraId="04053B79" w14:textId="77777777" w:rsidR="0038703D" w:rsidRDefault="00734440">
          <w:pPr>
            <w:pStyle w:val="Huisstijl-NAW"/>
          </w:pPr>
          <w:r>
            <w:t xml:space="preserve">der Staten-Generaal </w:t>
          </w:r>
        </w:p>
        <w:p w14:paraId="57C73F56" w14:textId="77777777" w:rsidR="0038703D" w:rsidRDefault="00734440">
          <w:pPr>
            <w:pStyle w:val="Huisstijl-NAW"/>
          </w:pPr>
          <w:r>
            <w:t>Prinses Irenestraat 6</w:t>
          </w:r>
        </w:p>
        <w:p w14:paraId="11D5B0CB" w14:textId="5B5046FD" w:rsidR="0038703D" w:rsidRDefault="00734440">
          <w:pPr>
            <w:pStyle w:val="Huisstijl-NAW"/>
          </w:pPr>
          <w:r>
            <w:t>2595 BD</w:t>
          </w:r>
          <w:r w:rsidR="00BB3986">
            <w:t xml:space="preserve"> </w:t>
          </w:r>
          <w:r>
            <w:t xml:space="preserve"> </w:t>
          </w:r>
          <w:r w:rsidR="00BB3986">
            <w:t xml:space="preserve">DEN HAAG </w:t>
          </w:r>
        </w:p>
        <w:p w14:paraId="4DEC1A76" w14:textId="77777777" w:rsidR="0038703D" w:rsidRDefault="00486354">
          <w:pPr>
            <w:pStyle w:val="Huisstijl-NAW"/>
          </w:pPr>
          <w:r>
            <w:t xml:space="preserve"> </w:t>
          </w:r>
        </w:p>
      </w:tc>
    </w:tr>
    <w:tr w:rsidR="0038703D" w14:paraId="6E600E33" w14:textId="77777777" w:rsidTr="009E2051">
      <w:trPr>
        <w:trHeight w:hRule="exact" w:val="400"/>
      </w:trPr>
      <w:tc>
        <w:tcPr>
          <w:tcW w:w="7520" w:type="dxa"/>
          <w:gridSpan w:val="2"/>
        </w:tcPr>
        <w:p w14:paraId="6132A13A" w14:textId="77777777" w:rsidR="00527BD4" w:rsidRPr="00035E67" w:rsidRDefault="00527BD4" w:rsidP="00A50CF6">
          <w:pPr>
            <w:tabs>
              <w:tab w:val="left" w:pos="740"/>
            </w:tabs>
            <w:autoSpaceDE w:val="0"/>
            <w:autoSpaceDN w:val="0"/>
            <w:adjustRightInd w:val="0"/>
            <w:ind w:left="743" w:hanging="743"/>
            <w:rPr>
              <w:rFonts w:cs="Verdana"/>
              <w:szCs w:val="18"/>
            </w:rPr>
          </w:pPr>
        </w:p>
      </w:tc>
    </w:tr>
    <w:tr w:rsidR="0038703D" w14:paraId="0A567C01" w14:textId="77777777" w:rsidTr="009E2051">
      <w:trPr>
        <w:trHeight w:val="240"/>
      </w:trPr>
      <w:tc>
        <w:tcPr>
          <w:tcW w:w="900" w:type="dxa"/>
        </w:tcPr>
        <w:p w14:paraId="760DBC73" w14:textId="77777777" w:rsidR="00527BD4" w:rsidRPr="007709EF" w:rsidRDefault="00734440" w:rsidP="00A50CF6">
          <w:pPr>
            <w:rPr>
              <w:szCs w:val="18"/>
            </w:rPr>
          </w:pPr>
          <w:r>
            <w:rPr>
              <w:szCs w:val="18"/>
            </w:rPr>
            <w:t>Datum</w:t>
          </w:r>
        </w:p>
      </w:tc>
      <w:tc>
        <w:tcPr>
          <w:tcW w:w="6620" w:type="dxa"/>
        </w:tcPr>
        <w:p w14:paraId="080386C9" w14:textId="039864BE" w:rsidR="00527BD4" w:rsidRPr="007709EF" w:rsidRDefault="00F57D4F" w:rsidP="00A50CF6">
          <w:r>
            <w:t>6 november 2026</w:t>
          </w:r>
        </w:p>
      </w:tc>
    </w:tr>
    <w:tr w:rsidR="0038703D" w14:paraId="350B29EA" w14:textId="77777777" w:rsidTr="009E2051">
      <w:trPr>
        <w:trHeight w:val="240"/>
      </w:trPr>
      <w:tc>
        <w:tcPr>
          <w:tcW w:w="900" w:type="dxa"/>
        </w:tcPr>
        <w:p w14:paraId="32DFE192" w14:textId="77777777" w:rsidR="00527BD4" w:rsidRPr="007709EF" w:rsidRDefault="00734440" w:rsidP="00A50CF6">
          <w:pPr>
            <w:rPr>
              <w:szCs w:val="18"/>
            </w:rPr>
          </w:pPr>
          <w:r>
            <w:rPr>
              <w:szCs w:val="18"/>
            </w:rPr>
            <w:t>Betreft</w:t>
          </w:r>
        </w:p>
      </w:tc>
      <w:tc>
        <w:tcPr>
          <w:tcW w:w="6620" w:type="dxa"/>
        </w:tcPr>
        <w:p w14:paraId="51DD6226" w14:textId="68425B03" w:rsidR="00527BD4" w:rsidRPr="007709EF" w:rsidRDefault="00734440" w:rsidP="00A50CF6">
          <w:r>
            <w:t>Verslag Landbouw- en Visserijraad 26 oktober 202</w:t>
          </w:r>
          <w:r w:rsidR="001F1754">
            <w:t>6</w:t>
          </w:r>
        </w:p>
      </w:tc>
    </w:tr>
  </w:tbl>
  <w:p w14:paraId="0853D53F" w14:textId="77777777" w:rsidR="00527BD4" w:rsidRPr="00BC4AE3" w:rsidRDefault="00527BD4"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E3C3CD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AC68D9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C74114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45ED74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BACCD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3F4DA8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4BC604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2980711E"/>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49BC4920">
      <w:start w:val="1"/>
      <w:numFmt w:val="bullet"/>
      <w:pStyle w:val="Lijstopsomteken"/>
      <w:lvlText w:val="•"/>
      <w:lvlJc w:val="left"/>
      <w:pPr>
        <w:tabs>
          <w:tab w:val="num" w:pos="227"/>
        </w:tabs>
        <w:ind w:left="227" w:hanging="227"/>
      </w:pPr>
      <w:rPr>
        <w:rFonts w:ascii="Verdana" w:hAnsi="Verdana" w:hint="default"/>
        <w:sz w:val="18"/>
        <w:szCs w:val="18"/>
      </w:rPr>
    </w:lvl>
    <w:lvl w:ilvl="1" w:tplc="9EB4CCF4" w:tentative="1">
      <w:start w:val="1"/>
      <w:numFmt w:val="bullet"/>
      <w:lvlText w:val="o"/>
      <w:lvlJc w:val="left"/>
      <w:pPr>
        <w:tabs>
          <w:tab w:val="num" w:pos="1440"/>
        </w:tabs>
        <w:ind w:left="1440" w:hanging="360"/>
      </w:pPr>
      <w:rPr>
        <w:rFonts w:ascii="Courier New" w:hAnsi="Courier New" w:cs="Courier New" w:hint="default"/>
      </w:rPr>
    </w:lvl>
    <w:lvl w:ilvl="2" w:tplc="588A28BC" w:tentative="1">
      <w:start w:val="1"/>
      <w:numFmt w:val="bullet"/>
      <w:lvlText w:val=""/>
      <w:lvlJc w:val="left"/>
      <w:pPr>
        <w:tabs>
          <w:tab w:val="num" w:pos="2160"/>
        </w:tabs>
        <w:ind w:left="2160" w:hanging="360"/>
      </w:pPr>
      <w:rPr>
        <w:rFonts w:ascii="Wingdings" w:hAnsi="Wingdings" w:hint="default"/>
      </w:rPr>
    </w:lvl>
    <w:lvl w:ilvl="3" w:tplc="041046B6" w:tentative="1">
      <w:start w:val="1"/>
      <w:numFmt w:val="bullet"/>
      <w:lvlText w:val=""/>
      <w:lvlJc w:val="left"/>
      <w:pPr>
        <w:tabs>
          <w:tab w:val="num" w:pos="2880"/>
        </w:tabs>
        <w:ind w:left="2880" w:hanging="360"/>
      </w:pPr>
      <w:rPr>
        <w:rFonts w:ascii="Symbol" w:hAnsi="Symbol" w:hint="default"/>
      </w:rPr>
    </w:lvl>
    <w:lvl w:ilvl="4" w:tplc="4900F2AE" w:tentative="1">
      <w:start w:val="1"/>
      <w:numFmt w:val="bullet"/>
      <w:lvlText w:val="o"/>
      <w:lvlJc w:val="left"/>
      <w:pPr>
        <w:tabs>
          <w:tab w:val="num" w:pos="3600"/>
        </w:tabs>
        <w:ind w:left="3600" w:hanging="360"/>
      </w:pPr>
      <w:rPr>
        <w:rFonts w:ascii="Courier New" w:hAnsi="Courier New" w:cs="Courier New" w:hint="default"/>
      </w:rPr>
    </w:lvl>
    <w:lvl w:ilvl="5" w:tplc="8DA0974A" w:tentative="1">
      <w:start w:val="1"/>
      <w:numFmt w:val="bullet"/>
      <w:lvlText w:val=""/>
      <w:lvlJc w:val="left"/>
      <w:pPr>
        <w:tabs>
          <w:tab w:val="num" w:pos="4320"/>
        </w:tabs>
        <w:ind w:left="4320" w:hanging="360"/>
      </w:pPr>
      <w:rPr>
        <w:rFonts w:ascii="Wingdings" w:hAnsi="Wingdings" w:hint="default"/>
      </w:rPr>
    </w:lvl>
    <w:lvl w:ilvl="6" w:tplc="96E4371E" w:tentative="1">
      <w:start w:val="1"/>
      <w:numFmt w:val="bullet"/>
      <w:lvlText w:val=""/>
      <w:lvlJc w:val="left"/>
      <w:pPr>
        <w:tabs>
          <w:tab w:val="num" w:pos="5040"/>
        </w:tabs>
        <w:ind w:left="5040" w:hanging="360"/>
      </w:pPr>
      <w:rPr>
        <w:rFonts w:ascii="Symbol" w:hAnsi="Symbol" w:hint="default"/>
      </w:rPr>
    </w:lvl>
    <w:lvl w:ilvl="7" w:tplc="D83CF2AC" w:tentative="1">
      <w:start w:val="1"/>
      <w:numFmt w:val="bullet"/>
      <w:lvlText w:val="o"/>
      <w:lvlJc w:val="left"/>
      <w:pPr>
        <w:tabs>
          <w:tab w:val="num" w:pos="5760"/>
        </w:tabs>
        <w:ind w:left="5760" w:hanging="360"/>
      </w:pPr>
      <w:rPr>
        <w:rFonts w:ascii="Courier New" w:hAnsi="Courier New" w:cs="Courier New" w:hint="default"/>
      </w:rPr>
    </w:lvl>
    <w:lvl w:ilvl="8" w:tplc="34D2E3D4"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555FEF"/>
    <w:multiLevelType w:val="hybridMultilevel"/>
    <w:tmpl w:val="50F0923E"/>
    <w:lvl w:ilvl="0" w:tplc="0F5A5552">
      <w:start w:val="1"/>
      <w:numFmt w:val="bullet"/>
      <w:pStyle w:val="Lijstopsomteken2"/>
      <w:lvlText w:val="–"/>
      <w:lvlJc w:val="left"/>
      <w:pPr>
        <w:tabs>
          <w:tab w:val="num" w:pos="227"/>
        </w:tabs>
        <w:ind w:left="227" w:firstLine="0"/>
      </w:pPr>
      <w:rPr>
        <w:rFonts w:ascii="Verdana" w:hAnsi="Verdana" w:hint="default"/>
      </w:rPr>
    </w:lvl>
    <w:lvl w:ilvl="1" w:tplc="88D4AEAC" w:tentative="1">
      <w:start w:val="1"/>
      <w:numFmt w:val="bullet"/>
      <w:lvlText w:val="o"/>
      <w:lvlJc w:val="left"/>
      <w:pPr>
        <w:tabs>
          <w:tab w:val="num" w:pos="1440"/>
        </w:tabs>
        <w:ind w:left="1440" w:hanging="360"/>
      </w:pPr>
      <w:rPr>
        <w:rFonts w:ascii="Courier New" w:hAnsi="Courier New" w:cs="Courier New" w:hint="default"/>
      </w:rPr>
    </w:lvl>
    <w:lvl w:ilvl="2" w:tplc="6C22AE52" w:tentative="1">
      <w:start w:val="1"/>
      <w:numFmt w:val="bullet"/>
      <w:lvlText w:val=""/>
      <w:lvlJc w:val="left"/>
      <w:pPr>
        <w:tabs>
          <w:tab w:val="num" w:pos="2160"/>
        </w:tabs>
        <w:ind w:left="2160" w:hanging="360"/>
      </w:pPr>
      <w:rPr>
        <w:rFonts w:ascii="Wingdings" w:hAnsi="Wingdings" w:hint="default"/>
      </w:rPr>
    </w:lvl>
    <w:lvl w:ilvl="3" w:tplc="0290C520" w:tentative="1">
      <w:start w:val="1"/>
      <w:numFmt w:val="bullet"/>
      <w:lvlText w:val=""/>
      <w:lvlJc w:val="left"/>
      <w:pPr>
        <w:tabs>
          <w:tab w:val="num" w:pos="2880"/>
        </w:tabs>
        <w:ind w:left="2880" w:hanging="360"/>
      </w:pPr>
      <w:rPr>
        <w:rFonts w:ascii="Symbol" w:hAnsi="Symbol" w:hint="default"/>
      </w:rPr>
    </w:lvl>
    <w:lvl w:ilvl="4" w:tplc="D5025342" w:tentative="1">
      <w:start w:val="1"/>
      <w:numFmt w:val="bullet"/>
      <w:lvlText w:val="o"/>
      <w:lvlJc w:val="left"/>
      <w:pPr>
        <w:tabs>
          <w:tab w:val="num" w:pos="3600"/>
        </w:tabs>
        <w:ind w:left="3600" w:hanging="360"/>
      </w:pPr>
      <w:rPr>
        <w:rFonts w:ascii="Courier New" w:hAnsi="Courier New" w:cs="Courier New" w:hint="default"/>
      </w:rPr>
    </w:lvl>
    <w:lvl w:ilvl="5" w:tplc="9BBAB752" w:tentative="1">
      <w:start w:val="1"/>
      <w:numFmt w:val="bullet"/>
      <w:lvlText w:val=""/>
      <w:lvlJc w:val="left"/>
      <w:pPr>
        <w:tabs>
          <w:tab w:val="num" w:pos="4320"/>
        </w:tabs>
        <w:ind w:left="4320" w:hanging="360"/>
      </w:pPr>
      <w:rPr>
        <w:rFonts w:ascii="Wingdings" w:hAnsi="Wingdings" w:hint="default"/>
      </w:rPr>
    </w:lvl>
    <w:lvl w:ilvl="6" w:tplc="704206EC" w:tentative="1">
      <w:start w:val="1"/>
      <w:numFmt w:val="bullet"/>
      <w:lvlText w:val=""/>
      <w:lvlJc w:val="left"/>
      <w:pPr>
        <w:tabs>
          <w:tab w:val="num" w:pos="5040"/>
        </w:tabs>
        <w:ind w:left="5040" w:hanging="360"/>
      </w:pPr>
      <w:rPr>
        <w:rFonts w:ascii="Symbol" w:hAnsi="Symbol" w:hint="default"/>
      </w:rPr>
    </w:lvl>
    <w:lvl w:ilvl="7" w:tplc="044EA2A0" w:tentative="1">
      <w:start w:val="1"/>
      <w:numFmt w:val="bullet"/>
      <w:lvlText w:val="o"/>
      <w:lvlJc w:val="left"/>
      <w:pPr>
        <w:tabs>
          <w:tab w:val="num" w:pos="5760"/>
        </w:tabs>
        <w:ind w:left="5760" w:hanging="360"/>
      </w:pPr>
      <w:rPr>
        <w:rFonts w:ascii="Courier New" w:hAnsi="Courier New" w:cs="Courier New" w:hint="default"/>
      </w:rPr>
    </w:lvl>
    <w:lvl w:ilvl="8" w:tplc="67E07A28"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AB378BB"/>
    <w:multiLevelType w:val="hybridMultilevel"/>
    <w:tmpl w:val="AC664E1E"/>
    <w:lvl w:ilvl="0" w:tplc="577E0CDA">
      <w:start w:val="1"/>
      <w:numFmt w:val="upperRoman"/>
      <w:lvlText w:val="%1."/>
      <w:lvlJc w:val="left"/>
      <w:pPr>
        <w:ind w:left="1080" w:hanging="720"/>
      </w:pPr>
      <w:rPr>
        <w:rFonts w:hint="default"/>
        <w:b/>
        <w:bCs/>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C685445"/>
    <w:multiLevelType w:val="hybridMultilevel"/>
    <w:tmpl w:val="294EE19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num w:numId="1" w16cid:durableId="534388096">
    <w:abstractNumId w:val="10"/>
  </w:num>
  <w:num w:numId="2" w16cid:durableId="2016881829">
    <w:abstractNumId w:val="7"/>
  </w:num>
  <w:num w:numId="3" w16cid:durableId="1467317259">
    <w:abstractNumId w:val="6"/>
  </w:num>
  <w:num w:numId="4" w16cid:durableId="912466926">
    <w:abstractNumId w:val="5"/>
  </w:num>
  <w:num w:numId="5" w16cid:durableId="82381153">
    <w:abstractNumId w:val="4"/>
  </w:num>
  <w:num w:numId="6" w16cid:durableId="1024743194">
    <w:abstractNumId w:val="8"/>
  </w:num>
  <w:num w:numId="7" w16cid:durableId="1539272696">
    <w:abstractNumId w:val="3"/>
  </w:num>
  <w:num w:numId="8" w16cid:durableId="1686637666">
    <w:abstractNumId w:val="2"/>
  </w:num>
  <w:num w:numId="9" w16cid:durableId="2078243017">
    <w:abstractNumId w:val="1"/>
  </w:num>
  <w:num w:numId="10" w16cid:durableId="1868522179">
    <w:abstractNumId w:val="0"/>
  </w:num>
  <w:num w:numId="11" w16cid:durableId="142233253">
    <w:abstractNumId w:val="9"/>
  </w:num>
  <w:num w:numId="12" w16cid:durableId="1481263624">
    <w:abstractNumId w:val="11"/>
  </w:num>
  <w:num w:numId="13" w16cid:durableId="150677080">
    <w:abstractNumId w:val="14"/>
  </w:num>
  <w:num w:numId="14" w16cid:durableId="66807893">
    <w:abstractNumId w:val="12"/>
  </w:num>
  <w:num w:numId="15" w16cid:durableId="6811510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220820105">
    <w:abstractNumId w:val="1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4021"/>
    <w:rsid w:val="000049FB"/>
    <w:rsid w:val="00006C01"/>
    <w:rsid w:val="00013862"/>
    <w:rsid w:val="00016012"/>
    <w:rsid w:val="00020189"/>
    <w:rsid w:val="00020EE4"/>
    <w:rsid w:val="00023E8D"/>
    <w:rsid w:val="00023E9A"/>
    <w:rsid w:val="000301C7"/>
    <w:rsid w:val="00033CDD"/>
    <w:rsid w:val="00034A84"/>
    <w:rsid w:val="00035E67"/>
    <w:rsid w:val="000366F3"/>
    <w:rsid w:val="0006024D"/>
    <w:rsid w:val="00064021"/>
    <w:rsid w:val="00071F28"/>
    <w:rsid w:val="00074079"/>
    <w:rsid w:val="000752D6"/>
    <w:rsid w:val="00092799"/>
    <w:rsid w:val="00092C5F"/>
    <w:rsid w:val="00096680"/>
    <w:rsid w:val="000A0F36"/>
    <w:rsid w:val="000A174A"/>
    <w:rsid w:val="000A3E0A"/>
    <w:rsid w:val="000A65AC"/>
    <w:rsid w:val="000B7281"/>
    <w:rsid w:val="000B7FAB"/>
    <w:rsid w:val="000C0163"/>
    <w:rsid w:val="000C1BA1"/>
    <w:rsid w:val="000C3EA9"/>
    <w:rsid w:val="000D0225"/>
    <w:rsid w:val="000D73D7"/>
    <w:rsid w:val="000E7895"/>
    <w:rsid w:val="000F1558"/>
    <w:rsid w:val="000F161D"/>
    <w:rsid w:val="00110C99"/>
    <w:rsid w:val="00121BF0"/>
    <w:rsid w:val="00123704"/>
    <w:rsid w:val="001270C7"/>
    <w:rsid w:val="00132540"/>
    <w:rsid w:val="00144B73"/>
    <w:rsid w:val="0014786A"/>
    <w:rsid w:val="001516A4"/>
    <w:rsid w:val="00151E5F"/>
    <w:rsid w:val="001536B3"/>
    <w:rsid w:val="001569AB"/>
    <w:rsid w:val="00164D63"/>
    <w:rsid w:val="0016725C"/>
    <w:rsid w:val="001726F3"/>
    <w:rsid w:val="00173C51"/>
    <w:rsid w:val="00174CC2"/>
    <w:rsid w:val="00176CC6"/>
    <w:rsid w:val="00181BE4"/>
    <w:rsid w:val="00185576"/>
    <w:rsid w:val="00185951"/>
    <w:rsid w:val="00196B8B"/>
    <w:rsid w:val="001A2BEA"/>
    <w:rsid w:val="001A6D93"/>
    <w:rsid w:val="001B36C9"/>
    <w:rsid w:val="001C32EC"/>
    <w:rsid w:val="001C38BD"/>
    <w:rsid w:val="001C4D5A"/>
    <w:rsid w:val="001E234B"/>
    <w:rsid w:val="001E34C6"/>
    <w:rsid w:val="001E5581"/>
    <w:rsid w:val="001E6117"/>
    <w:rsid w:val="001F1754"/>
    <w:rsid w:val="001F3C70"/>
    <w:rsid w:val="00200D88"/>
    <w:rsid w:val="00201F68"/>
    <w:rsid w:val="00212F2A"/>
    <w:rsid w:val="00214F2B"/>
    <w:rsid w:val="00217880"/>
    <w:rsid w:val="00222625"/>
    <w:rsid w:val="00222D66"/>
    <w:rsid w:val="00224A8A"/>
    <w:rsid w:val="00225022"/>
    <w:rsid w:val="002309A8"/>
    <w:rsid w:val="00236CFE"/>
    <w:rsid w:val="002428E3"/>
    <w:rsid w:val="00243031"/>
    <w:rsid w:val="00260BAF"/>
    <w:rsid w:val="002650F7"/>
    <w:rsid w:val="002720A9"/>
    <w:rsid w:val="00273F3B"/>
    <w:rsid w:val="00274DB7"/>
    <w:rsid w:val="00275984"/>
    <w:rsid w:val="00276548"/>
    <w:rsid w:val="00280F74"/>
    <w:rsid w:val="002810BF"/>
    <w:rsid w:val="00286998"/>
    <w:rsid w:val="00291AB7"/>
    <w:rsid w:val="0029422B"/>
    <w:rsid w:val="002B153C"/>
    <w:rsid w:val="002B52FC"/>
    <w:rsid w:val="002C2830"/>
    <w:rsid w:val="002D001A"/>
    <w:rsid w:val="002D28E2"/>
    <w:rsid w:val="002D317B"/>
    <w:rsid w:val="002D3587"/>
    <w:rsid w:val="002D502D"/>
    <w:rsid w:val="002E0F69"/>
    <w:rsid w:val="002F5147"/>
    <w:rsid w:val="002F7ABD"/>
    <w:rsid w:val="003029F8"/>
    <w:rsid w:val="00304378"/>
    <w:rsid w:val="00312597"/>
    <w:rsid w:val="00327BA5"/>
    <w:rsid w:val="00334154"/>
    <w:rsid w:val="003372C4"/>
    <w:rsid w:val="00340ECA"/>
    <w:rsid w:val="00341FA0"/>
    <w:rsid w:val="00344F3D"/>
    <w:rsid w:val="00345299"/>
    <w:rsid w:val="00351A8D"/>
    <w:rsid w:val="003526BB"/>
    <w:rsid w:val="00352BCF"/>
    <w:rsid w:val="00353932"/>
    <w:rsid w:val="0035464B"/>
    <w:rsid w:val="0035550C"/>
    <w:rsid w:val="00361A56"/>
    <w:rsid w:val="0036252A"/>
    <w:rsid w:val="00364D9D"/>
    <w:rsid w:val="00371048"/>
    <w:rsid w:val="0037396C"/>
    <w:rsid w:val="0037421D"/>
    <w:rsid w:val="00376093"/>
    <w:rsid w:val="00377C58"/>
    <w:rsid w:val="0038181A"/>
    <w:rsid w:val="00383DA1"/>
    <w:rsid w:val="00385F30"/>
    <w:rsid w:val="0038703D"/>
    <w:rsid w:val="0039201D"/>
    <w:rsid w:val="00393696"/>
    <w:rsid w:val="00393963"/>
    <w:rsid w:val="00395575"/>
    <w:rsid w:val="00395672"/>
    <w:rsid w:val="003A06C8"/>
    <w:rsid w:val="003A0D7C"/>
    <w:rsid w:val="003A1B16"/>
    <w:rsid w:val="003A5290"/>
    <w:rsid w:val="003A64A6"/>
    <w:rsid w:val="003B0155"/>
    <w:rsid w:val="003B7EE7"/>
    <w:rsid w:val="003C2CCB"/>
    <w:rsid w:val="003D39EC"/>
    <w:rsid w:val="003E3DD5"/>
    <w:rsid w:val="003F07C6"/>
    <w:rsid w:val="003F106E"/>
    <w:rsid w:val="003F1F6B"/>
    <w:rsid w:val="003F2647"/>
    <w:rsid w:val="003F3757"/>
    <w:rsid w:val="003F38BD"/>
    <w:rsid w:val="003F44B7"/>
    <w:rsid w:val="004008E9"/>
    <w:rsid w:val="00413D48"/>
    <w:rsid w:val="00416100"/>
    <w:rsid w:val="00441AC2"/>
    <w:rsid w:val="0044249B"/>
    <w:rsid w:val="00446379"/>
    <w:rsid w:val="0045023C"/>
    <w:rsid w:val="00451A5B"/>
    <w:rsid w:val="00452BCD"/>
    <w:rsid w:val="00452CEA"/>
    <w:rsid w:val="00465B52"/>
    <w:rsid w:val="0046708E"/>
    <w:rsid w:val="00472A65"/>
    <w:rsid w:val="00474463"/>
    <w:rsid w:val="00474B75"/>
    <w:rsid w:val="00481085"/>
    <w:rsid w:val="00483984"/>
    <w:rsid w:val="00483F0B"/>
    <w:rsid w:val="00486354"/>
    <w:rsid w:val="00494237"/>
    <w:rsid w:val="00496319"/>
    <w:rsid w:val="00497279"/>
    <w:rsid w:val="004A4027"/>
    <w:rsid w:val="004A670A"/>
    <w:rsid w:val="004A6F81"/>
    <w:rsid w:val="004B5465"/>
    <w:rsid w:val="004B70F0"/>
    <w:rsid w:val="004D505E"/>
    <w:rsid w:val="004D72CA"/>
    <w:rsid w:val="004E2242"/>
    <w:rsid w:val="004F42FF"/>
    <w:rsid w:val="004F44C2"/>
    <w:rsid w:val="00502512"/>
    <w:rsid w:val="00505262"/>
    <w:rsid w:val="0051132F"/>
    <w:rsid w:val="00516022"/>
    <w:rsid w:val="00521CEE"/>
    <w:rsid w:val="00524FB4"/>
    <w:rsid w:val="00527BD4"/>
    <w:rsid w:val="005403C8"/>
    <w:rsid w:val="005429DC"/>
    <w:rsid w:val="005565F9"/>
    <w:rsid w:val="00556BEE"/>
    <w:rsid w:val="005619AB"/>
    <w:rsid w:val="005654C3"/>
    <w:rsid w:val="00573041"/>
    <w:rsid w:val="005744F9"/>
    <w:rsid w:val="00575B80"/>
    <w:rsid w:val="0057620F"/>
    <w:rsid w:val="00580D0E"/>
    <w:rsid w:val="005819CE"/>
    <w:rsid w:val="0058298D"/>
    <w:rsid w:val="00584BAC"/>
    <w:rsid w:val="00587280"/>
    <w:rsid w:val="00593C2B"/>
    <w:rsid w:val="00595231"/>
    <w:rsid w:val="00596166"/>
    <w:rsid w:val="00597F64"/>
    <w:rsid w:val="005A207F"/>
    <w:rsid w:val="005A2F35"/>
    <w:rsid w:val="005A4E42"/>
    <w:rsid w:val="005B3814"/>
    <w:rsid w:val="005B463E"/>
    <w:rsid w:val="005C34E1"/>
    <w:rsid w:val="005C3FE0"/>
    <w:rsid w:val="005C740C"/>
    <w:rsid w:val="005D625B"/>
    <w:rsid w:val="005F62D3"/>
    <w:rsid w:val="005F6D11"/>
    <w:rsid w:val="00600CF0"/>
    <w:rsid w:val="006048F4"/>
    <w:rsid w:val="0060660A"/>
    <w:rsid w:val="00613B1D"/>
    <w:rsid w:val="00617A44"/>
    <w:rsid w:val="006202B6"/>
    <w:rsid w:val="006247BE"/>
    <w:rsid w:val="00625CD0"/>
    <w:rsid w:val="0062627D"/>
    <w:rsid w:val="00627432"/>
    <w:rsid w:val="00640234"/>
    <w:rsid w:val="00640240"/>
    <w:rsid w:val="006448E4"/>
    <w:rsid w:val="00645414"/>
    <w:rsid w:val="00653606"/>
    <w:rsid w:val="006610E9"/>
    <w:rsid w:val="00661591"/>
    <w:rsid w:val="00662A2A"/>
    <w:rsid w:val="0066632F"/>
    <w:rsid w:val="00674A89"/>
    <w:rsid w:val="00674F3D"/>
    <w:rsid w:val="00685545"/>
    <w:rsid w:val="006864B3"/>
    <w:rsid w:val="00692D64"/>
    <w:rsid w:val="00695EF3"/>
    <w:rsid w:val="006A10F8"/>
    <w:rsid w:val="006A2100"/>
    <w:rsid w:val="006A5C3B"/>
    <w:rsid w:val="006A72E0"/>
    <w:rsid w:val="006B0BF3"/>
    <w:rsid w:val="006B75C7"/>
    <w:rsid w:val="006B775E"/>
    <w:rsid w:val="006B7BC7"/>
    <w:rsid w:val="006C2535"/>
    <w:rsid w:val="006C441E"/>
    <w:rsid w:val="006C4B90"/>
    <w:rsid w:val="006D1016"/>
    <w:rsid w:val="006D17F2"/>
    <w:rsid w:val="006E3546"/>
    <w:rsid w:val="006E3FA9"/>
    <w:rsid w:val="006E4BA0"/>
    <w:rsid w:val="006E7D82"/>
    <w:rsid w:val="006F038F"/>
    <w:rsid w:val="006F0F93"/>
    <w:rsid w:val="006F31F2"/>
    <w:rsid w:val="006F7494"/>
    <w:rsid w:val="006F751F"/>
    <w:rsid w:val="00714DC5"/>
    <w:rsid w:val="00715237"/>
    <w:rsid w:val="007254A5"/>
    <w:rsid w:val="00725748"/>
    <w:rsid w:val="00734440"/>
    <w:rsid w:val="00735D88"/>
    <w:rsid w:val="0073720D"/>
    <w:rsid w:val="00737507"/>
    <w:rsid w:val="00740712"/>
    <w:rsid w:val="007426AA"/>
    <w:rsid w:val="00742AB9"/>
    <w:rsid w:val="00751A6A"/>
    <w:rsid w:val="00754FBF"/>
    <w:rsid w:val="007561AF"/>
    <w:rsid w:val="007709EF"/>
    <w:rsid w:val="00780BBF"/>
    <w:rsid w:val="00783559"/>
    <w:rsid w:val="0079551B"/>
    <w:rsid w:val="00797AA5"/>
    <w:rsid w:val="007A26BD"/>
    <w:rsid w:val="007A4105"/>
    <w:rsid w:val="007B4503"/>
    <w:rsid w:val="007C23B5"/>
    <w:rsid w:val="007C406E"/>
    <w:rsid w:val="007C5183"/>
    <w:rsid w:val="007C7573"/>
    <w:rsid w:val="007D15B6"/>
    <w:rsid w:val="007E2B20"/>
    <w:rsid w:val="007E2B88"/>
    <w:rsid w:val="007F4EA5"/>
    <w:rsid w:val="007F5331"/>
    <w:rsid w:val="00800CCA"/>
    <w:rsid w:val="00806120"/>
    <w:rsid w:val="00810C93"/>
    <w:rsid w:val="00812028"/>
    <w:rsid w:val="00812DD8"/>
    <w:rsid w:val="00813082"/>
    <w:rsid w:val="008131C3"/>
    <w:rsid w:val="00814D03"/>
    <w:rsid w:val="00821FC1"/>
    <w:rsid w:val="00823AE2"/>
    <w:rsid w:val="0083178B"/>
    <w:rsid w:val="00833695"/>
    <w:rsid w:val="008336B7"/>
    <w:rsid w:val="00833A8E"/>
    <w:rsid w:val="008364C9"/>
    <w:rsid w:val="00842CD8"/>
    <w:rsid w:val="008431FA"/>
    <w:rsid w:val="00846BAA"/>
    <w:rsid w:val="00847444"/>
    <w:rsid w:val="00851254"/>
    <w:rsid w:val="008547BA"/>
    <w:rsid w:val="008553C7"/>
    <w:rsid w:val="00857FEB"/>
    <w:rsid w:val="008601AF"/>
    <w:rsid w:val="00872271"/>
    <w:rsid w:val="00883137"/>
    <w:rsid w:val="008A1F5D"/>
    <w:rsid w:val="008A28F5"/>
    <w:rsid w:val="008B1198"/>
    <w:rsid w:val="008B3471"/>
    <w:rsid w:val="008B3929"/>
    <w:rsid w:val="008B4125"/>
    <w:rsid w:val="008B4CB3"/>
    <w:rsid w:val="008B567B"/>
    <w:rsid w:val="008B7B24"/>
    <w:rsid w:val="008C29E3"/>
    <w:rsid w:val="008C356D"/>
    <w:rsid w:val="008E0B3F"/>
    <w:rsid w:val="008E49AD"/>
    <w:rsid w:val="008E698E"/>
    <w:rsid w:val="008F2584"/>
    <w:rsid w:val="008F3246"/>
    <w:rsid w:val="008F3C1B"/>
    <w:rsid w:val="008F508C"/>
    <w:rsid w:val="0090271B"/>
    <w:rsid w:val="00910642"/>
    <w:rsid w:val="00910DDF"/>
    <w:rsid w:val="009143D7"/>
    <w:rsid w:val="00930B13"/>
    <w:rsid w:val="009311C8"/>
    <w:rsid w:val="00933376"/>
    <w:rsid w:val="00933A2F"/>
    <w:rsid w:val="009716D8"/>
    <w:rsid w:val="009718F9"/>
    <w:rsid w:val="00972FB9"/>
    <w:rsid w:val="00975112"/>
    <w:rsid w:val="00981768"/>
    <w:rsid w:val="00983E8F"/>
    <w:rsid w:val="0098788A"/>
    <w:rsid w:val="00994FDA"/>
    <w:rsid w:val="009A31BF"/>
    <w:rsid w:val="009A3B71"/>
    <w:rsid w:val="009A61BC"/>
    <w:rsid w:val="009A7E90"/>
    <w:rsid w:val="009B0138"/>
    <w:rsid w:val="009B0EC1"/>
    <w:rsid w:val="009B0FE9"/>
    <w:rsid w:val="009B173A"/>
    <w:rsid w:val="009B4566"/>
    <w:rsid w:val="009C3F20"/>
    <w:rsid w:val="009C50DF"/>
    <w:rsid w:val="009C7CA1"/>
    <w:rsid w:val="009D043D"/>
    <w:rsid w:val="009E2051"/>
    <w:rsid w:val="009E6E7F"/>
    <w:rsid w:val="009F3259"/>
    <w:rsid w:val="00A056DE"/>
    <w:rsid w:val="00A06370"/>
    <w:rsid w:val="00A10813"/>
    <w:rsid w:val="00A128AD"/>
    <w:rsid w:val="00A21E76"/>
    <w:rsid w:val="00A23BC8"/>
    <w:rsid w:val="00A2487A"/>
    <w:rsid w:val="00A30E68"/>
    <w:rsid w:val="00A31933"/>
    <w:rsid w:val="00A329D2"/>
    <w:rsid w:val="00A34AA0"/>
    <w:rsid w:val="00A3715C"/>
    <w:rsid w:val="00A41FE2"/>
    <w:rsid w:val="00A452B0"/>
    <w:rsid w:val="00A46FEF"/>
    <w:rsid w:val="00A47948"/>
    <w:rsid w:val="00A50CF6"/>
    <w:rsid w:val="00A56946"/>
    <w:rsid w:val="00A6170E"/>
    <w:rsid w:val="00A63B8C"/>
    <w:rsid w:val="00A7002E"/>
    <w:rsid w:val="00A715F8"/>
    <w:rsid w:val="00A75525"/>
    <w:rsid w:val="00A77F6F"/>
    <w:rsid w:val="00A831FD"/>
    <w:rsid w:val="00A83352"/>
    <w:rsid w:val="00A850A2"/>
    <w:rsid w:val="00A91FA3"/>
    <w:rsid w:val="00A927D3"/>
    <w:rsid w:val="00A957CA"/>
    <w:rsid w:val="00AA7FC9"/>
    <w:rsid w:val="00AB237D"/>
    <w:rsid w:val="00AB5933"/>
    <w:rsid w:val="00AE013D"/>
    <w:rsid w:val="00AE11B7"/>
    <w:rsid w:val="00AE7F68"/>
    <w:rsid w:val="00AF2321"/>
    <w:rsid w:val="00AF52F6"/>
    <w:rsid w:val="00AF52FD"/>
    <w:rsid w:val="00AF54A8"/>
    <w:rsid w:val="00AF7237"/>
    <w:rsid w:val="00B0043A"/>
    <w:rsid w:val="00B00D75"/>
    <w:rsid w:val="00B022CD"/>
    <w:rsid w:val="00B070CB"/>
    <w:rsid w:val="00B11257"/>
    <w:rsid w:val="00B12456"/>
    <w:rsid w:val="00B145F0"/>
    <w:rsid w:val="00B259C8"/>
    <w:rsid w:val="00B26CCF"/>
    <w:rsid w:val="00B30FC2"/>
    <w:rsid w:val="00B331A2"/>
    <w:rsid w:val="00B425F0"/>
    <w:rsid w:val="00B42DFA"/>
    <w:rsid w:val="00B531DD"/>
    <w:rsid w:val="00B55014"/>
    <w:rsid w:val="00B62232"/>
    <w:rsid w:val="00B63B0D"/>
    <w:rsid w:val="00B70BF3"/>
    <w:rsid w:val="00B71DC2"/>
    <w:rsid w:val="00B91CFC"/>
    <w:rsid w:val="00B9300F"/>
    <w:rsid w:val="00B93893"/>
    <w:rsid w:val="00BA11F9"/>
    <w:rsid w:val="00BA129E"/>
    <w:rsid w:val="00BA6EB2"/>
    <w:rsid w:val="00BA7E0A"/>
    <w:rsid w:val="00BB3986"/>
    <w:rsid w:val="00BB6F7C"/>
    <w:rsid w:val="00BC3B53"/>
    <w:rsid w:val="00BC3B96"/>
    <w:rsid w:val="00BC4AE3"/>
    <w:rsid w:val="00BC5B28"/>
    <w:rsid w:val="00BC6A0B"/>
    <w:rsid w:val="00BE3F88"/>
    <w:rsid w:val="00BE4756"/>
    <w:rsid w:val="00BE5ED9"/>
    <w:rsid w:val="00BE7B41"/>
    <w:rsid w:val="00C04E96"/>
    <w:rsid w:val="00C15A91"/>
    <w:rsid w:val="00C206F1"/>
    <w:rsid w:val="00C217E1"/>
    <w:rsid w:val="00C219B1"/>
    <w:rsid w:val="00C4015B"/>
    <w:rsid w:val="00C40C00"/>
    <w:rsid w:val="00C40C60"/>
    <w:rsid w:val="00C5258E"/>
    <w:rsid w:val="00C530C9"/>
    <w:rsid w:val="00C55F79"/>
    <w:rsid w:val="00C619A7"/>
    <w:rsid w:val="00C73D5F"/>
    <w:rsid w:val="00C8584E"/>
    <w:rsid w:val="00C97C80"/>
    <w:rsid w:val="00CA47D3"/>
    <w:rsid w:val="00CA6533"/>
    <w:rsid w:val="00CA6A25"/>
    <w:rsid w:val="00CA6A3F"/>
    <w:rsid w:val="00CA7C99"/>
    <w:rsid w:val="00CB3BAF"/>
    <w:rsid w:val="00CC6290"/>
    <w:rsid w:val="00CC7BA8"/>
    <w:rsid w:val="00CD233D"/>
    <w:rsid w:val="00CD2F35"/>
    <w:rsid w:val="00CD362D"/>
    <w:rsid w:val="00CD4F5F"/>
    <w:rsid w:val="00CE101D"/>
    <w:rsid w:val="00CE1814"/>
    <w:rsid w:val="00CE1C84"/>
    <w:rsid w:val="00CE5055"/>
    <w:rsid w:val="00CF053F"/>
    <w:rsid w:val="00CF1A17"/>
    <w:rsid w:val="00D0375A"/>
    <w:rsid w:val="00D03C9B"/>
    <w:rsid w:val="00D0609E"/>
    <w:rsid w:val="00D078E1"/>
    <w:rsid w:val="00D100E9"/>
    <w:rsid w:val="00D17AF8"/>
    <w:rsid w:val="00D21E4B"/>
    <w:rsid w:val="00D2335B"/>
    <w:rsid w:val="00D23522"/>
    <w:rsid w:val="00D264D6"/>
    <w:rsid w:val="00D33BF0"/>
    <w:rsid w:val="00D33DE0"/>
    <w:rsid w:val="00D36447"/>
    <w:rsid w:val="00D516BE"/>
    <w:rsid w:val="00D5423B"/>
    <w:rsid w:val="00D54F4E"/>
    <w:rsid w:val="00D604B3"/>
    <w:rsid w:val="00D60BA4"/>
    <w:rsid w:val="00D62419"/>
    <w:rsid w:val="00D75078"/>
    <w:rsid w:val="00D77870"/>
    <w:rsid w:val="00D80977"/>
    <w:rsid w:val="00D80CCE"/>
    <w:rsid w:val="00D86EEA"/>
    <w:rsid w:val="00D87D03"/>
    <w:rsid w:val="00D95C88"/>
    <w:rsid w:val="00D97B2E"/>
    <w:rsid w:val="00DA1FAE"/>
    <w:rsid w:val="00DA241E"/>
    <w:rsid w:val="00DB36FE"/>
    <w:rsid w:val="00DB533A"/>
    <w:rsid w:val="00DB6307"/>
    <w:rsid w:val="00DD1DCD"/>
    <w:rsid w:val="00DD338F"/>
    <w:rsid w:val="00DD66F2"/>
    <w:rsid w:val="00DE35B7"/>
    <w:rsid w:val="00DE3FE0"/>
    <w:rsid w:val="00DE578A"/>
    <w:rsid w:val="00DF2583"/>
    <w:rsid w:val="00DF54D9"/>
    <w:rsid w:val="00DF724C"/>
    <w:rsid w:val="00DF7283"/>
    <w:rsid w:val="00E01A59"/>
    <w:rsid w:val="00E10DC6"/>
    <w:rsid w:val="00E11F8E"/>
    <w:rsid w:val="00E15881"/>
    <w:rsid w:val="00E16A8F"/>
    <w:rsid w:val="00E21DE3"/>
    <w:rsid w:val="00E307D1"/>
    <w:rsid w:val="00E3731D"/>
    <w:rsid w:val="00E51469"/>
    <w:rsid w:val="00E634E3"/>
    <w:rsid w:val="00E717C4"/>
    <w:rsid w:val="00E77E18"/>
    <w:rsid w:val="00E77F89"/>
    <w:rsid w:val="00E80330"/>
    <w:rsid w:val="00E806C5"/>
    <w:rsid w:val="00E80E71"/>
    <w:rsid w:val="00E850D3"/>
    <w:rsid w:val="00E853D6"/>
    <w:rsid w:val="00E876B9"/>
    <w:rsid w:val="00E8788E"/>
    <w:rsid w:val="00E97D28"/>
    <w:rsid w:val="00EC0DFF"/>
    <w:rsid w:val="00EC237D"/>
    <w:rsid w:val="00EC4D0E"/>
    <w:rsid w:val="00EC4E2B"/>
    <w:rsid w:val="00ED072A"/>
    <w:rsid w:val="00ED406F"/>
    <w:rsid w:val="00ED539E"/>
    <w:rsid w:val="00ED62CF"/>
    <w:rsid w:val="00EE4A1F"/>
    <w:rsid w:val="00EE4C2D"/>
    <w:rsid w:val="00EF1B5A"/>
    <w:rsid w:val="00EF24FB"/>
    <w:rsid w:val="00EF2CCA"/>
    <w:rsid w:val="00EF495B"/>
    <w:rsid w:val="00EF60DC"/>
    <w:rsid w:val="00EF7F0D"/>
    <w:rsid w:val="00F00F54"/>
    <w:rsid w:val="00F03963"/>
    <w:rsid w:val="00F11068"/>
    <w:rsid w:val="00F1256D"/>
    <w:rsid w:val="00F13A4E"/>
    <w:rsid w:val="00F172BB"/>
    <w:rsid w:val="00F17B10"/>
    <w:rsid w:val="00F21BEF"/>
    <w:rsid w:val="00F225F2"/>
    <w:rsid w:val="00F2315B"/>
    <w:rsid w:val="00F41A6F"/>
    <w:rsid w:val="00F45A25"/>
    <w:rsid w:val="00F50F86"/>
    <w:rsid w:val="00F53F91"/>
    <w:rsid w:val="00F57D4F"/>
    <w:rsid w:val="00F61569"/>
    <w:rsid w:val="00F61A72"/>
    <w:rsid w:val="00F62B67"/>
    <w:rsid w:val="00F66F13"/>
    <w:rsid w:val="00F74073"/>
    <w:rsid w:val="00F75603"/>
    <w:rsid w:val="00F845B4"/>
    <w:rsid w:val="00F8713B"/>
    <w:rsid w:val="00F90A14"/>
    <w:rsid w:val="00F93F9E"/>
    <w:rsid w:val="00FA2CD7"/>
    <w:rsid w:val="00FB06ED"/>
    <w:rsid w:val="00FC02F0"/>
    <w:rsid w:val="00FC3165"/>
    <w:rsid w:val="00FC36AB"/>
    <w:rsid w:val="00FC4300"/>
    <w:rsid w:val="00FC7F66"/>
    <w:rsid w:val="00FD5776"/>
    <w:rsid w:val="00FE1CB6"/>
    <w:rsid w:val="00FE486B"/>
    <w:rsid w:val="00FE4F08"/>
    <w:rsid w:val="00FF19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2C14A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0301C7"/>
    <w:pPr>
      <w:spacing w:line="240" w:lineRule="atLeast"/>
    </w:pPr>
    <w:rPr>
      <w:rFonts w:ascii="Verdana" w:hAnsi="Verdana"/>
      <w:sz w:val="18"/>
      <w:szCs w:val="24"/>
      <w:lang w:val="nl-NL" w:eastAsia="nl-NL"/>
    </w:rPr>
  </w:style>
  <w:style w:type="paragraph" w:styleId="Kop1">
    <w:name w:val="heading 1"/>
    <w:basedOn w:val="Standaard"/>
    <w:next w:val="Standaard"/>
    <w:link w:val="Kop1Char1"/>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1"/>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1"/>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1"/>
    <w:rsid w:val="00023E9A"/>
    <w:pPr>
      <w:tabs>
        <w:tab w:val="center" w:pos="4536"/>
        <w:tab w:val="right" w:pos="9072"/>
      </w:tabs>
    </w:pPr>
  </w:style>
  <w:style w:type="paragraph" w:styleId="Voettekst">
    <w:name w:val="footer"/>
    <w:basedOn w:val="Standaard"/>
    <w:link w:val="VoettekstChar1"/>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character" w:styleId="Tekstvantijdelijkeaanduiding">
    <w:name w:val="Placeholder Text"/>
    <w:basedOn w:val="Standaardalinea-lettertype"/>
    <w:uiPriority w:val="99"/>
    <w:semiHidden/>
    <w:rsid w:val="00BA6EB2"/>
    <w:rPr>
      <w:color w:val="808080"/>
    </w:rPr>
  </w:style>
  <w:style w:type="paragraph" w:styleId="Voetnoottekst">
    <w:name w:val="footnote text"/>
    <w:basedOn w:val="Standaard"/>
    <w:link w:val="VoetnoottekstChar"/>
    <w:uiPriority w:val="99"/>
    <w:unhideWhenUsed/>
    <w:rsid w:val="000301C7"/>
    <w:pPr>
      <w:spacing w:line="180" w:lineRule="atLeast"/>
    </w:pPr>
    <w:rPr>
      <w:sz w:val="13"/>
      <w:szCs w:val="20"/>
    </w:rPr>
  </w:style>
  <w:style w:type="character" w:customStyle="1" w:styleId="VoetnoottekstChar">
    <w:name w:val="Voetnoottekst Char"/>
    <w:basedOn w:val="Standaardalinea-lettertype"/>
    <w:link w:val="Voetnoottekst"/>
    <w:uiPriority w:val="99"/>
    <w:rsid w:val="000301C7"/>
    <w:rPr>
      <w:rFonts w:ascii="Verdana" w:hAnsi="Verdana"/>
      <w:sz w:val="13"/>
      <w:lang w:val="nl-NL" w:eastAsia="nl-NL"/>
    </w:rPr>
  </w:style>
  <w:style w:type="paragraph" w:styleId="Ballontekst">
    <w:name w:val="Balloon Text"/>
    <w:basedOn w:val="Standaard"/>
    <w:link w:val="BallontekstChar"/>
    <w:rsid w:val="008C29E3"/>
    <w:pPr>
      <w:spacing w:line="240" w:lineRule="auto"/>
    </w:pPr>
    <w:rPr>
      <w:rFonts w:ascii="Segoe UI" w:hAnsi="Segoe UI" w:cs="Segoe UI"/>
      <w:szCs w:val="18"/>
    </w:rPr>
  </w:style>
  <w:style w:type="character" w:customStyle="1" w:styleId="BallontekstChar">
    <w:name w:val="Ballontekst Char"/>
    <w:basedOn w:val="Standaardalinea-lettertype"/>
    <w:link w:val="Ballontekst"/>
    <w:rsid w:val="008C29E3"/>
    <w:rPr>
      <w:rFonts w:ascii="Segoe UI" w:hAnsi="Segoe UI" w:cs="Segoe UI"/>
      <w:sz w:val="18"/>
      <w:szCs w:val="18"/>
      <w:lang w:val="nl-NL" w:eastAsia="nl-NL"/>
    </w:rPr>
  </w:style>
  <w:style w:type="character" w:customStyle="1" w:styleId="KoptekstChar">
    <w:name w:val="Koptekst Char"/>
    <w:basedOn w:val="Standaardalinea-lettertype"/>
    <w:rsid w:val="00841CD9"/>
    <w:rPr>
      <w:rFonts w:ascii="Verdana" w:eastAsia="Times New Roman" w:hAnsi="Verdana" w:cs="Times New Roman"/>
      <w:sz w:val="18"/>
      <w:szCs w:val="24"/>
      <w:lang w:val="nl-NL" w:eastAsia="nl-NL"/>
    </w:rPr>
  </w:style>
  <w:style w:type="character" w:customStyle="1" w:styleId="Kop1Char">
    <w:name w:val="Kop 1 Char"/>
    <w:basedOn w:val="Standaardalinea-lettertype"/>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rsid w:val="00DE555F"/>
    <w:rPr>
      <w:rFonts w:ascii="Verdana" w:eastAsia="Times New Roman" w:hAnsi="Verdana" w:cs="Times New Roman"/>
      <w:sz w:val="18"/>
      <w:szCs w:val="24"/>
      <w:lang w:val="nl-NL" w:eastAsia="nl-NL"/>
    </w:rPr>
  </w:style>
  <w:style w:type="character" w:customStyle="1" w:styleId="KoptekstChar1">
    <w:name w:val="Koptekst Char1"/>
    <w:basedOn w:val="Standaardalinea-lettertype"/>
    <w:link w:val="Koptekst"/>
    <w:rsid w:val="00841CD9"/>
    <w:rPr>
      <w:rFonts w:ascii="Verdana" w:eastAsia="Times New Roman" w:hAnsi="Verdana" w:cs="Times New Roman"/>
      <w:sz w:val="18"/>
      <w:szCs w:val="24"/>
      <w:lang w:val="nl-NL" w:eastAsia="nl-NL"/>
    </w:rPr>
  </w:style>
  <w:style w:type="character" w:customStyle="1" w:styleId="Kop1Char1">
    <w:name w:val="Kop 1 Char1"/>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1">
    <w:name w:val="Kop 2 Char1"/>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1">
    <w:name w:val="Kop 3 Char1"/>
    <w:basedOn w:val="Standaardalinea-lettertype"/>
    <w:link w:val="Kop3"/>
    <w:rsid w:val="00841CD9"/>
    <w:rPr>
      <w:rFonts w:ascii="Verdana" w:eastAsia="Times New Roman" w:hAnsi="Verdana" w:cs="Arial"/>
      <w:b/>
      <w:bCs/>
      <w:sz w:val="26"/>
      <w:szCs w:val="26"/>
      <w:lang w:val="nl-NL" w:eastAsia="nl-NL"/>
    </w:rPr>
  </w:style>
  <w:style w:type="character" w:customStyle="1" w:styleId="VoettekstChar1">
    <w:name w:val="Voettekst Char1"/>
    <w:basedOn w:val="Standaardalinea-lettertype"/>
    <w:link w:val="Voettekst"/>
    <w:rsid w:val="00DE555F"/>
    <w:rPr>
      <w:rFonts w:ascii="Verdana" w:eastAsia="Times New Roman" w:hAnsi="Verdana" w:cs="Times New Roman"/>
      <w:sz w:val="18"/>
      <w:szCs w:val="24"/>
      <w:lang w:val="nl-NL" w:eastAsia="nl-NL"/>
    </w:rPr>
  </w:style>
  <w:style w:type="paragraph" w:styleId="Lijstalinea">
    <w:name w:val="List Paragraph"/>
    <w:aliases w:val="Dot pt,F5 List Paragraph,List Paragraph1,No Spacing1,List Paragraph Char Char Char,Indicator Text,Numbered Para 1,Bullet 1,Bullet Points,Párrafo de lista,MAIN CONTENT,Recommendation,List Paragraph2,Normal numbere"/>
    <w:basedOn w:val="Standaard"/>
    <w:link w:val="LijstalineaChar"/>
    <w:uiPriority w:val="34"/>
    <w:qFormat/>
    <w:rsid w:val="00C04E96"/>
    <w:pPr>
      <w:ind w:left="720"/>
      <w:contextualSpacing/>
    </w:pPr>
  </w:style>
  <w:style w:type="character" w:customStyle="1" w:styleId="LijstalineaChar">
    <w:name w:val="Lijstalinea Char"/>
    <w:aliases w:val="Dot pt Char,F5 List Paragraph Char,List Paragraph1 Char,No Spacing1 Char,List Paragraph Char Char Char Char,Indicator Text Char,Numbered Para 1 Char,Bullet 1 Char,Bullet Points Char,Párrafo de lista Char,MAIN CONTENT Char"/>
    <w:basedOn w:val="Standaardalinea-lettertype"/>
    <w:link w:val="Lijstalinea"/>
    <w:uiPriority w:val="34"/>
    <w:qFormat/>
    <w:locked/>
    <w:rsid w:val="00C04E96"/>
    <w:rPr>
      <w:rFonts w:ascii="Verdana" w:hAnsi="Verdana"/>
      <w:sz w:val="18"/>
      <w:szCs w:val="24"/>
      <w:lang w:val="nl-NL" w:eastAsia="nl-NL"/>
    </w:rPr>
  </w:style>
  <w:style w:type="character" w:styleId="Voetnootmarkering">
    <w:name w:val="footnote reference"/>
    <w:aliases w:val="Footnote Reference Superscript,BVI fnr,Footnote symbol,16 Point,Superscript 6 Point,Footnote Reference Number,Footnote Reference_LVL6,Footnote Reference_LVL61,Footnote Reference_LVL62,Footnote Reference_LVL63,Footnote Reference_LVL64"/>
    <w:basedOn w:val="Standaardalinea-lettertype"/>
    <w:uiPriority w:val="99"/>
    <w:semiHidden/>
    <w:unhideWhenUsed/>
    <w:qFormat/>
    <w:rsid w:val="00C04E96"/>
    <w:rPr>
      <w:vertAlign w:val="superscript"/>
    </w:rPr>
  </w:style>
  <w:style w:type="paragraph" w:styleId="Revisie">
    <w:name w:val="Revision"/>
    <w:hidden/>
    <w:uiPriority w:val="99"/>
    <w:semiHidden/>
    <w:rsid w:val="005A4E42"/>
    <w:rPr>
      <w:rFonts w:ascii="Verdana" w:hAnsi="Verdana"/>
      <w:sz w:val="18"/>
      <w:szCs w:val="24"/>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ap:Properties xmlns:vt="http://schemas.openxmlformats.org/officeDocument/2006/docPropsVTypes" xmlns:ap="http://schemas.openxmlformats.org/officeDocument/2006/extended-properties">
  <ap:Pages>11</ap:Pages>
  <ap:Words>4872</ap:Words>
  <ap:Characters>26797</ap:Characters>
  <ap:DocSecurity>0</ap:DocSecurity>
  <ap:Lines>223</ap:Lines>
  <ap:Paragraphs>63</ap:Paragraphs>
  <ap:ScaleCrop>false</ap:ScaleCrop>
  <ap:LinksUpToDate>false</ap:LinksUpToDate>
  <ap:CharactersWithSpaces>31606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2026-11-06T14:14:00.0000000Z</dcterms:created>
  <dcterms:modified xsi:type="dcterms:W3CDTF">2026-11-06T14:19:00.0000000Z</dcterms:modified>
  <dc:description>------------------------</dc:description>
  <dc:subject/>
  <keywords/>
  <version/>
  <category/>
</coreProperties>
</file>