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A3C4F" w:rsidRDefault="00884732" w14:paraId="4ECFFBE9" w14:textId="77777777">
      <w:pPr>
        <w:framePr w:w="737" w:h="2493" w:wrap="none" w:hAnchor="page" w:vAnchor="page" w:x="5584" w:hRule="exact" w:anchorLock="1"/>
        <w:spacing w:line="240" w:lineRule="auto"/>
      </w:pPr>
      <w:r>
        <w:rPr>
          <w:noProof/>
        </w:rPr>
        <w:drawing>
          <wp:inline distT="0" distB="0" distL="0" distR="0" wp14:anchorId="203D0B86" wp14:editId="60EFCA27">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r:embed="rId7"/>
                    <a:stretch>
                      <a:fillRect/>
                    </a:stretch>
                  </pic:blipFill>
                  <pic:spPr bwMode="auto">
                    <a:xfrm>
                      <a:off x="0" y="0"/>
                      <a:ext cx="467995" cy="1583865"/>
                    </a:xfrm>
                    <a:prstGeom prst="rect">
                      <a:avLst/>
                    </a:prstGeom>
                  </pic:spPr>
                </pic:pic>
              </a:graphicData>
            </a:graphic>
          </wp:inline>
        </w:drawing>
      </w:r>
    </w:p>
    <w:p w:rsidR="006A3C4F" w:rsidRDefault="00884732" w14:paraId="1BFFEBB2" w14:textId="77777777">
      <w:pPr>
        <w:framePr w:w="4422" w:h="2494" w:wrap="none" w:hAnchor="page" w:vAnchor="page" w:x="6321" w:hRule="exact" w:anchorLock="1"/>
        <w:spacing w:line="240" w:lineRule="auto"/>
      </w:pPr>
      <w:r>
        <w:rPr>
          <w:noProof/>
        </w:rPr>
        <w:drawing>
          <wp:inline distT="0" distB="0" distL="0" distR="0" wp14:anchorId="6A2B1607" wp14:editId="11F8FEE9">
            <wp:extent cx="2807970" cy="1584198"/>
            <wp:effectExtent l="0" t="0" r="0" b="0"/>
            <wp:docPr id="7" name="Logotype" descr="Ministerie van Financiën"/>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r:embed="rId8"/>
                    <a:stretch>
                      <a:fillRect/>
                    </a:stretch>
                  </pic:blipFill>
                  <pic:spPr bwMode="auto">
                    <a:xfrm>
                      <a:off x="0" y="0"/>
                      <a:ext cx="2807970" cy="1584198"/>
                    </a:xfrm>
                    <a:prstGeom prst="rect">
                      <a:avLst/>
                    </a:prstGeom>
                  </pic:spPr>
                </pic:pic>
              </a:graphicData>
            </a:graphic>
          </wp:inline>
        </w:drawing>
      </w:r>
    </w:p>
    <w:p w:rsidR="00FA157C" w:rsidRDefault="00456CF4" w14:paraId="4401BB2B" w14:textId="77777777">
      <w:pPr>
        <w:pStyle w:val="Referentiegegevensrechtsuitgelijnd"/>
        <w:framePr w:w="2025" w:h="255"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Pr="00E14A38" w:rsidR="00094694" w:rsidP="00094694" w:rsidRDefault="00094694" w14:paraId="1176409B" w14:textId="77777777">
      <w:pPr>
        <w:rPr>
          <w:b/>
          <w:bCs/>
          <w:color w:val="auto"/>
          <w:u w:val="single"/>
        </w:rPr>
      </w:pPr>
      <w:r w:rsidRPr="00E14A38">
        <w:rPr>
          <w:b/>
          <w:bCs/>
          <w:color w:val="auto"/>
          <w:u w:val="single"/>
        </w:rPr>
        <w:t>Europese jaarbegroting 2027</w:t>
      </w:r>
    </w:p>
    <w:p w:rsidR="00094694" w:rsidP="00094694" w:rsidRDefault="00094694" w14:paraId="009947F0" w14:textId="77777777">
      <w:pPr>
        <w:rPr>
          <w:color w:val="auto"/>
        </w:rPr>
      </w:pPr>
      <w:r w:rsidRPr="00137393">
        <w:rPr>
          <w:color w:val="auto"/>
        </w:rPr>
        <w:t xml:space="preserve">Op 10 juni jl. presenteerde de Europese Commissie het voorstel voor de Europese begroting 2027 (de ontwerpbegroting). </w:t>
      </w:r>
      <w:r>
        <w:rPr>
          <w:color w:val="auto"/>
        </w:rPr>
        <w:t>De</w:t>
      </w:r>
      <w:r w:rsidRPr="00137393">
        <w:rPr>
          <w:color w:val="auto"/>
        </w:rPr>
        <w:t xml:space="preserve"> Kamer is over dit Commissievoorstel op 1 juli jl. geïnformeerd.</w:t>
      </w:r>
      <w:r>
        <w:rPr>
          <w:rStyle w:val="Voetnootmarkering"/>
          <w:color w:val="auto"/>
        </w:rPr>
        <w:footnoteReference w:id="1"/>
      </w:r>
      <w:r>
        <w:rPr>
          <w:color w:val="auto"/>
        </w:rPr>
        <w:t xml:space="preserve"> </w:t>
      </w:r>
      <w:r w:rsidRPr="00137393">
        <w:rPr>
          <w:color w:val="auto"/>
        </w:rPr>
        <w:t>Op 4 september jl. hebben de lidstaten overeenstemming bereikt over de Raadspositie</w:t>
      </w:r>
      <w:r>
        <w:rPr>
          <w:color w:val="auto"/>
        </w:rPr>
        <w:t>. De Kamer is hierover geïnformeerd op 5 oktober jl.</w:t>
      </w:r>
      <w:r>
        <w:rPr>
          <w:rStyle w:val="Voetnootmarkering"/>
          <w:color w:val="auto"/>
        </w:rPr>
        <w:footnoteReference w:id="2"/>
      </w:r>
      <w:r w:rsidRPr="00137393">
        <w:rPr>
          <w:color w:val="auto"/>
        </w:rPr>
        <w:t xml:space="preserve"> Op </w:t>
      </w:r>
      <w:r w:rsidRPr="005067E7">
        <w:rPr>
          <w:color w:val="auto"/>
        </w:rPr>
        <w:t>2</w:t>
      </w:r>
      <w:r>
        <w:rPr>
          <w:color w:val="auto"/>
        </w:rPr>
        <w:t>1</w:t>
      </w:r>
      <w:r w:rsidRPr="005067E7">
        <w:rPr>
          <w:color w:val="auto"/>
        </w:rPr>
        <w:t xml:space="preserve"> oktober</w:t>
      </w:r>
      <w:r w:rsidRPr="00137393">
        <w:rPr>
          <w:color w:val="auto"/>
        </w:rPr>
        <w:t xml:space="preserve"> nam ook het Europees Parlement </w:t>
      </w:r>
      <w:r>
        <w:rPr>
          <w:color w:val="auto"/>
        </w:rPr>
        <w:t xml:space="preserve">(EP) </w:t>
      </w:r>
      <w:r w:rsidRPr="00137393">
        <w:rPr>
          <w:color w:val="auto"/>
        </w:rPr>
        <w:t>formeel een positie in.</w:t>
      </w:r>
      <w:r>
        <w:rPr>
          <w:rStyle w:val="Voetnootmarkering"/>
          <w:color w:val="auto"/>
        </w:rPr>
        <w:footnoteReference w:id="3"/>
      </w:r>
      <w:r w:rsidRPr="00137393">
        <w:rPr>
          <w:color w:val="auto"/>
        </w:rPr>
        <w:t xml:space="preserve"> Daarmee zijn de uitgangsposities voor de begrotingsonderhandelingen bepaald. Op 12 oktober jl. presenteerde de Commissie </w:t>
      </w:r>
      <w:r>
        <w:rPr>
          <w:color w:val="auto"/>
        </w:rPr>
        <w:t xml:space="preserve">de </w:t>
      </w:r>
      <w:r w:rsidRPr="002C7781">
        <w:rPr>
          <w:i/>
          <w:iCs/>
          <w:color w:val="auto"/>
        </w:rPr>
        <w:t>Amending Letter</w:t>
      </w:r>
      <w:r>
        <w:rPr>
          <w:color w:val="auto"/>
        </w:rPr>
        <w:t xml:space="preserve"> 1 (</w:t>
      </w:r>
      <w:r w:rsidRPr="00137393">
        <w:rPr>
          <w:color w:val="auto"/>
        </w:rPr>
        <w:t>AL1</w:t>
      </w:r>
      <w:r>
        <w:rPr>
          <w:color w:val="auto"/>
        </w:rPr>
        <w:t>)</w:t>
      </w:r>
      <w:r w:rsidRPr="00137393">
        <w:rPr>
          <w:color w:val="auto"/>
        </w:rPr>
        <w:t xml:space="preserve"> als update op het voorstel voor de Europese begroting 2027 van juni jl.</w:t>
      </w:r>
      <w:r>
        <w:rPr>
          <w:color w:val="auto"/>
        </w:rPr>
        <w:t xml:space="preserve"> Hieronder worden</w:t>
      </w:r>
      <w:r w:rsidRPr="00D32E30">
        <w:rPr>
          <w:color w:val="auto"/>
        </w:rPr>
        <w:t xml:space="preserve"> de recente ontwikkelingen in het begrotingsproces en de Nederlandse inzet voor het vervolg van de onderhandelingen</w:t>
      </w:r>
      <w:r>
        <w:rPr>
          <w:color w:val="auto"/>
        </w:rPr>
        <w:t xml:space="preserve"> toegelicht</w:t>
      </w:r>
      <w:r w:rsidRPr="00D32E30">
        <w:rPr>
          <w:color w:val="auto"/>
        </w:rPr>
        <w:t>.</w:t>
      </w:r>
      <w:r>
        <w:rPr>
          <w:color w:val="auto"/>
        </w:rPr>
        <w:t xml:space="preserve"> </w:t>
      </w:r>
    </w:p>
    <w:p w:rsidR="00094694" w:rsidP="00752268" w:rsidRDefault="00094694" w14:paraId="13697C8F" w14:textId="77777777">
      <w:pPr>
        <w:ind w:right="680"/>
        <w:rPr>
          <w:color w:val="auto"/>
          <w:lang w:eastAsia="zh-CN" w:bidi="hi-IN"/>
        </w:rPr>
      </w:pPr>
    </w:p>
    <w:p w:rsidRPr="00601467" w:rsidR="00094694" w:rsidP="00094694" w:rsidRDefault="00094694" w14:paraId="50DC4088" w14:textId="77777777">
      <w:pPr>
        <w:rPr>
          <w:i/>
          <w:iCs/>
          <w:color w:val="auto"/>
          <w:lang w:eastAsia="zh-CN" w:bidi="hi-IN"/>
        </w:rPr>
      </w:pPr>
      <w:r w:rsidRPr="00601467">
        <w:rPr>
          <w:i/>
          <w:iCs/>
          <w:color w:val="auto"/>
          <w:lang w:eastAsia="zh-CN" w:bidi="hi-IN"/>
        </w:rPr>
        <w:t>Amending Letter 1</w:t>
      </w:r>
    </w:p>
    <w:p w:rsidRPr="00137393" w:rsidR="00094694" w:rsidP="00094694" w:rsidRDefault="00094694" w14:paraId="2CA48ACB" w14:textId="77777777">
      <w:pPr>
        <w:rPr>
          <w:color w:val="auto"/>
          <w:lang w:eastAsia="zh-CN" w:bidi="hi-IN"/>
        </w:rPr>
      </w:pPr>
      <w:r>
        <w:rPr>
          <w:color w:val="auto"/>
          <w:lang w:eastAsia="zh-CN" w:bidi="hi-IN"/>
        </w:rPr>
        <w:t>De door de Commissie gepresenteerde AL1 heeft als</w:t>
      </w:r>
      <w:r w:rsidRPr="006A0823">
        <w:rPr>
          <w:color w:val="auto"/>
          <w:lang w:eastAsia="zh-CN" w:bidi="hi-IN"/>
        </w:rPr>
        <w:t xml:space="preserve"> netto-effect een verlaging van de vastleggingen van </w:t>
      </w:r>
      <w:r>
        <w:rPr>
          <w:color w:val="auto"/>
          <w:lang w:eastAsia="zh-CN" w:bidi="hi-IN"/>
        </w:rPr>
        <w:t>365</w:t>
      </w:r>
      <w:r w:rsidRPr="006A0823">
        <w:rPr>
          <w:color w:val="auto"/>
          <w:lang w:eastAsia="zh-CN" w:bidi="hi-IN"/>
        </w:rPr>
        <w:t>,</w:t>
      </w:r>
      <w:r>
        <w:rPr>
          <w:color w:val="auto"/>
          <w:lang w:eastAsia="zh-CN" w:bidi="hi-IN"/>
        </w:rPr>
        <w:t>3</w:t>
      </w:r>
      <w:r w:rsidRPr="006A0823">
        <w:rPr>
          <w:color w:val="auto"/>
          <w:lang w:eastAsia="zh-CN" w:bidi="hi-IN"/>
        </w:rPr>
        <w:t xml:space="preserve"> mln. euro en een verlaging van de betalingen van </w:t>
      </w:r>
      <w:r>
        <w:rPr>
          <w:color w:val="auto"/>
          <w:lang w:eastAsia="zh-CN" w:bidi="hi-IN"/>
        </w:rPr>
        <w:t>426,8</w:t>
      </w:r>
      <w:r w:rsidRPr="006A0823">
        <w:rPr>
          <w:color w:val="auto"/>
          <w:lang w:eastAsia="zh-CN" w:bidi="hi-IN"/>
        </w:rPr>
        <w:t xml:space="preserve"> m</w:t>
      </w:r>
      <w:r>
        <w:rPr>
          <w:color w:val="auto"/>
          <w:lang w:eastAsia="zh-CN" w:bidi="hi-IN"/>
        </w:rPr>
        <w:t>ln</w:t>
      </w:r>
      <w:r w:rsidRPr="006A0823">
        <w:rPr>
          <w:color w:val="auto"/>
          <w:lang w:eastAsia="zh-CN" w:bidi="hi-IN"/>
        </w:rPr>
        <w:t>. euro ten opzichte van het eerste Commissievoorstel</w:t>
      </w:r>
      <w:r>
        <w:rPr>
          <w:color w:val="auto"/>
          <w:lang w:eastAsia="zh-CN" w:bidi="hi-IN"/>
        </w:rPr>
        <w:t xml:space="preserve">. </w:t>
      </w:r>
      <w:r w:rsidRPr="00137393">
        <w:rPr>
          <w:color w:val="auto"/>
          <w:lang w:eastAsia="zh-CN" w:bidi="hi-IN"/>
        </w:rPr>
        <w:t>Tabel 1 geeft een overzicht van de aanpassingen</w:t>
      </w:r>
      <w:r>
        <w:rPr>
          <w:color w:val="auto"/>
          <w:lang w:eastAsia="zh-CN" w:bidi="hi-IN"/>
        </w:rPr>
        <w:t>,</w:t>
      </w:r>
      <w:r w:rsidRPr="00137393">
        <w:rPr>
          <w:color w:val="auto"/>
          <w:lang w:eastAsia="zh-CN" w:bidi="hi-IN"/>
        </w:rPr>
        <w:t xml:space="preserve"> uitgesplitst per programma</w:t>
      </w:r>
      <w:r>
        <w:rPr>
          <w:color w:val="auto"/>
          <w:lang w:eastAsia="zh-CN" w:bidi="hi-IN"/>
        </w:rPr>
        <w:t>,</w:t>
      </w:r>
      <w:r w:rsidRPr="00137393">
        <w:rPr>
          <w:color w:val="auto"/>
          <w:lang w:eastAsia="zh-CN" w:bidi="hi-IN"/>
        </w:rPr>
        <w:t xml:space="preserve"> die een effect hebben op de</w:t>
      </w:r>
      <w:r>
        <w:rPr>
          <w:color w:val="auto"/>
          <w:lang w:eastAsia="zh-CN" w:bidi="hi-IN"/>
        </w:rPr>
        <w:t xml:space="preserve"> voorgestelde</w:t>
      </w:r>
      <w:r w:rsidRPr="00137393">
        <w:rPr>
          <w:color w:val="auto"/>
          <w:lang w:eastAsia="zh-CN" w:bidi="hi-IN"/>
        </w:rPr>
        <w:t xml:space="preserve"> omvang van de Europese jaarbegroting 2027</w:t>
      </w:r>
      <w:r>
        <w:rPr>
          <w:color w:val="auto"/>
          <w:lang w:eastAsia="zh-CN" w:bidi="hi-IN"/>
        </w:rPr>
        <w:t xml:space="preserve">. Hieronder </w:t>
      </w:r>
      <w:r w:rsidR="00752268">
        <w:rPr>
          <w:color w:val="auto"/>
          <w:lang w:eastAsia="zh-CN" w:bidi="hi-IN"/>
        </w:rPr>
        <w:t xml:space="preserve">worden </w:t>
      </w:r>
      <w:r>
        <w:rPr>
          <w:color w:val="auto"/>
          <w:lang w:eastAsia="zh-CN" w:bidi="hi-IN"/>
        </w:rPr>
        <w:t>de belangrijkste wijzigingen toe</w:t>
      </w:r>
      <w:r w:rsidR="00752268">
        <w:rPr>
          <w:color w:val="auto"/>
          <w:lang w:eastAsia="zh-CN" w:bidi="hi-IN"/>
        </w:rPr>
        <w:t>gelicht</w:t>
      </w:r>
      <w:r>
        <w:rPr>
          <w:color w:val="auto"/>
          <w:lang w:eastAsia="zh-CN" w:bidi="hi-IN"/>
        </w:rPr>
        <w:t xml:space="preserve">. </w:t>
      </w:r>
    </w:p>
    <w:p w:rsidRPr="00137393" w:rsidR="00094694" w:rsidP="00094694" w:rsidRDefault="00094694" w14:paraId="3F6D66C3" w14:textId="77777777">
      <w:pPr>
        <w:rPr>
          <w:color w:val="auto"/>
          <w:lang w:eastAsia="zh-CN" w:bidi="hi-IN"/>
        </w:rPr>
      </w:pPr>
    </w:p>
    <w:tbl>
      <w:tblPr>
        <w:tblW w:w="7855" w:type="dxa"/>
        <w:tblCellMar>
          <w:left w:w="70" w:type="dxa"/>
          <w:right w:w="70" w:type="dxa"/>
        </w:tblCellMar>
        <w:tblLook w:val="04A0" w:firstRow="1" w:lastRow="0" w:firstColumn="1" w:lastColumn="0" w:noHBand="0" w:noVBand="1"/>
      </w:tblPr>
      <w:tblGrid>
        <w:gridCol w:w="201"/>
        <w:gridCol w:w="5014"/>
        <w:gridCol w:w="1594"/>
        <w:gridCol w:w="1046"/>
      </w:tblGrid>
      <w:tr w:rsidRPr="00137393" w:rsidR="00094694" w:rsidTr="00D052EF" w14:paraId="5097FF4C" w14:textId="77777777">
        <w:trPr>
          <w:trHeight w:val="210"/>
        </w:trPr>
        <w:tc>
          <w:tcPr>
            <w:tcW w:w="7855" w:type="dxa"/>
            <w:gridSpan w:val="4"/>
            <w:tcBorders>
              <w:top w:val="nil"/>
              <w:left w:val="nil"/>
              <w:bottom w:val="nil"/>
              <w:right w:val="nil"/>
            </w:tcBorders>
            <w:shd w:val="clear" w:color="000000" w:fill="203764"/>
            <w:noWrap/>
            <w:vAlign w:val="bottom"/>
            <w:hideMark/>
          </w:tcPr>
          <w:p w:rsidRPr="00137393" w:rsidR="00094694" w:rsidP="00D052EF" w:rsidRDefault="00094694" w14:paraId="630C1896" w14:textId="77777777">
            <w:pPr>
              <w:autoSpaceDN/>
              <w:spacing w:line="240" w:lineRule="auto"/>
              <w:textAlignment w:val="auto"/>
              <w:rPr>
                <w:rFonts w:eastAsia="Times New Roman" w:cs="Calibri"/>
                <w:color w:val="auto"/>
                <w:sz w:val="16"/>
                <w:szCs w:val="16"/>
              </w:rPr>
            </w:pPr>
            <w:r w:rsidRPr="00137393">
              <w:rPr>
                <w:rFonts w:eastAsia="Times New Roman" w:cs="Calibri"/>
                <w:b/>
                <w:bCs/>
                <w:color w:val="auto"/>
                <w:sz w:val="16"/>
                <w:szCs w:val="16"/>
              </w:rPr>
              <w:t>Tabel 1: Overzicht wijzigingen AL1 voor Europese jaarbegroting 20</w:t>
            </w:r>
            <w:r>
              <w:rPr>
                <w:rFonts w:eastAsia="Times New Roman" w:cs="Calibri"/>
                <w:b/>
                <w:bCs/>
                <w:color w:val="auto"/>
                <w:sz w:val="16"/>
                <w:szCs w:val="16"/>
              </w:rPr>
              <w:t>27</w:t>
            </w:r>
            <w:r w:rsidRPr="00137393">
              <w:rPr>
                <w:rFonts w:eastAsia="Times New Roman" w:cs="Calibri"/>
                <w:b/>
                <w:bCs/>
                <w:color w:val="auto"/>
                <w:sz w:val="16"/>
                <w:szCs w:val="16"/>
              </w:rPr>
              <w:t xml:space="preserve"> </w:t>
            </w:r>
          </w:p>
          <w:p w:rsidRPr="00137393" w:rsidR="00094694" w:rsidP="00D052EF" w:rsidRDefault="00094694" w14:paraId="621812D9" w14:textId="77777777">
            <w:pPr>
              <w:autoSpaceDN/>
              <w:spacing w:line="240" w:lineRule="auto"/>
              <w:textAlignment w:val="auto"/>
              <w:rPr>
                <w:rFonts w:eastAsia="Times New Roman" w:cs="Calibri"/>
                <w:color w:val="auto"/>
                <w:sz w:val="16"/>
                <w:szCs w:val="16"/>
              </w:rPr>
            </w:pPr>
            <w:proofErr w:type="gramStart"/>
            <w:r w:rsidRPr="00137393">
              <w:rPr>
                <w:rFonts w:eastAsia="Times New Roman" w:cs="Calibri"/>
                <w:color w:val="auto"/>
                <w:sz w:val="16"/>
                <w:szCs w:val="16"/>
              </w:rPr>
              <w:t>in</w:t>
            </w:r>
            <w:proofErr w:type="gramEnd"/>
            <w:r w:rsidRPr="00137393">
              <w:rPr>
                <w:rFonts w:eastAsia="Times New Roman" w:cs="Calibri"/>
                <w:color w:val="auto"/>
                <w:sz w:val="16"/>
                <w:szCs w:val="16"/>
              </w:rPr>
              <w:t xml:space="preserve"> miljoenen euro’s, lopende prijzen</w:t>
            </w:r>
          </w:p>
        </w:tc>
      </w:tr>
      <w:tr w:rsidRPr="00137393" w:rsidR="00094694" w:rsidTr="00D052EF" w14:paraId="30AE03E0" w14:textId="77777777">
        <w:trPr>
          <w:trHeight w:val="221"/>
        </w:trPr>
        <w:tc>
          <w:tcPr>
            <w:tcW w:w="201" w:type="dxa"/>
            <w:tcBorders>
              <w:top w:val="single" w:color="auto" w:sz="4" w:space="0"/>
              <w:left w:val="nil"/>
              <w:bottom w:val="single" w:color="auto" w:sz="4" w:space="0"/>
              <w:right w:val="nil"/>
            </w:tcBorders>
            <w:noWrap/>
            <w:vAlign w:val="bottom"/>
            <w:hideMark/>
          </w:tcPr>
          <w:p w:rsidRPr="00137393" w:rsidR="00094694" w:rsidP="00D052EF" w:rsidRDefault="00094694" w14:paraId="7229F919" w14:textId="77777777">
            <w:pPr>
              <w:autoSpaceDN/>
              <w:spacing w:line="240" w:lineRule="auto"/>
              <w:textAlignment w:val="auto"/>
              <w:rPr>
                <w:rFonts w:eastAsia="Times New Roman" w:cs="Calibri"/>
                <w:color w:val="auto"/>
                <w:sz w:val="16"/>
                <w:szCs w:val="16"/>
              </w:rPr>
            </w:pPr>
            <w:r w:rsidRPr="00137393">
              <w:rPr>
                <w:rFonts w:eastAsia="Times New Roman" w:cs="Calibri"/>
                <w:color w:val="auto"/>
                <w:sz w:val="16"/>
                <w:szCs w:val="16"/>
              </w:rPr>
              <w:t> </w:t>
            </w:r>
          </w:p>
        </w:tc>
        <w:tc>
          <w:tcPr>
            <w:tcW w:w="5014" w:type="dxa"/>
            <w:tcBorders>
              <w:top w:val="single" w:color="auto" w:sz="4" w:space="0"/>
              <w:left w:val="nil"/>
              <w:bottom w:val="single" w:color="auto" w:sz="4" w:space="0"/>
              <w:right w:val="nil"/>
            </w:tcBorders>
            <w:noWrap/>
            <w:vAlign w:val="bottom"/>
            <w:hideMark/>
          </w:tcPr>
          <w:p w:rsidRPr="00137393" w:rsidR="00094694" w:rsidP="00D052EF" w:rsidRDefault="00094694" w14:paraId="4F4622E6" w14:textId="77777777">
            <w:pPr>
              <w:autoSpaceDN/>
              <w:spacing w:line="240" w:lineRule="auto"/>
              <w:textAlignment w:val="auto"/>
              <w:rPr>
                <w:rFonts w:eastAsia="Times New Roman" w:cs="Calibri"/>
                <w:b/>
                <w:bCs/>
                <w:color w:val="auto"/>
                <w:sz w:val="16"/>
                <w:szCs w:val="16"/>
              </w:rPr>
            </w:pPr>
            <w:r w:rsidRPr="00137393">
              <w:rPr>
                <w:rFonts w:eastAsia="Times New Roman" w:cs="Calibri"/>
                <w:b/>
                <w:bCs/>
                <w:color w:val="auto"/>
                <w:sz w:val="16"/>
                <w:szCs w:val="16"/>
              </w:rPr>
              <w:t>Programma’s</w:t>
            </w:r>
          </w:p>
        </w:tc>
        <w:tc>
          <w:tcPr>
            <w:tcW w:w="1594" w:type="dxa"/>
            <w:tcBorders>
              <w:top w:val="single" w:color="auto" w:sz="4" w:space="0"/>
              <w:left w:val="nil"/>
              <w:bottom w:val="single" w:color="auto" w:sz="4" w:space="0"/>
              <w:right w:val="nil"/>
            </w:tcBorders>
            <w:noWrap/>
            <w:vAlign w:val="center"/>
            <w:hideMark/>
          </w:tcPr>
          <w:p w:rsidRPr="00137393" w:rsidR="00094694" w:rsidP="00D052EF" w:rsidRDefault="00094694" w14:paraId="50B5C445" w14:textId="77777777">
            <w:pPr>
              <w:autoSpaceDN/>
              <w:spacing w:line="240" w:lineRule="auto"/>
              <w:jc w:val="right"/>
              <w:textAlignment w:val="auto"/>
              <w:rPr>
                <w:rFonts w:eastAsia="Times New Roman" w:cs="Calibri"/>
                <w:b/>
                <w:bCs/>
                <w:color w:val="auto"/>
                <w:sz w:val="16"/>
                <w:szCs w:val="16"/>
              </w:rPr>
            </w:pPr>
            <w:proofErr w:type="gramStart"/>
            <w:r w:rsidRPr="00137393">
              <w:rPr>
                <w:rFonts w:eastAsia="Times New Roman" w:cs="Calibri"/>
                <w:b/>
                <w:bCs/>
                <w:color w:val="auto"/>
                <w:sz w:val="16"/>
                <w:szCs w:val="16"/>
              </w:rPr>
              <w:t>Vastl.*</w:t>
            </w:r>
            <w:proofErr w:type="gramEnd"/>
          </w:p>
        </w:tc>
        <w:tc>
          <w:tcPr>
            <w:tcW w:w="1046" w:type="dxa"/>
            <w:tcBorders>
              <w:top w:val="single" w:color="auto" w:sz="4" w:space="0"/>
              <w:left w:val="nil"/>
              <w:bottom w:val="single" w:color="auto" w:sz="4" w:space="0"/>
              <w:right w:val="nil"/>
            </w:tcBorders>
            <w:noWrap/>
            <w:vAlign w:val="center"/>
            <w:hideMark/>
          </w:tcPr>
          <w:p w:rsidRPr="00137393" w:rsidR="00094694" w:rsidP="00D052EF" w:rsidRDefault="00094694" w14:paraId="6837686D" w14:textId="77777777">
            <w:pPr>
              <w:autoSpaceDN/>
              <w:spacing w:line="240" w:lineRule="auto"/>
              <w:jc w:val="right"/>
              <w:textAlignment w:val="auto"/>
              <w:rPr>
                <w:rFonts w:eastAsia="Times New Roman" w:cs="Calibri"/>
                <w:b/>
                <w:bCs/>
                <w:color w:val="auto"/>
                <w:sz w:val="16"/>
                <w:szCs w:val="16"/>
              </w:rPr>
            </w:pPr>
            <w:proofErr w:type="gramStart"/>
            <w:r w:rsidRPr="00137393">
              <w:rPr>
                <w:rFonts w:eastAsia="Times New Roman" w:cs="Calibri"/>
                <w:b/>
                <w:bCs/>
                <w:color w:val="auto"/>
                <w:sz w:val="16"/>
                <w:szCs w:val="16"/>
              </w:rPr>
              <w:t>Bet.*</w:t>
            </w:r>
            <w:proofErr w:type="gramEnd"/>
            <w:r w:rsidRPr="00137393">
              <w:rPr>
                <w:rFonts w:eastAsia="Times New Roman" w:cs="Calibri"/>
                <w:b/>
                <w:bCs/>
                <w:color w:val="auto"/>
                <w:sz w:val="16"/>
                <w:szCs w:val="16"/>
              </w:rPr>
              <w:t>*</w:t>
            </w:r>
          </w:p>
        </w:tc>
      </w:tr>
      <w:tr w:rsidRPr="00137393" w:rsidR="00094694" w:rsidTr="00D052EF" w14:paraId="408FAA29" w14:textId="77777777">
        <w:trPr>
          <w:trHeight w:val="260"/>
        </w:trPr>
        <w:tc>
          <w:tcPr>
            <w:tcW w:w="201" w:type="dxa"/>
            <w:tcBorders>
              <w:top w:val="nil"/>
              <w:left w:val="nil"/>
              <w:bottom w:val="nil"/>
              <w:right w:val="nil"/>
            </w:tcBorders>
            <w:vAlign w:val="bottom"/>
          </w:tcPr>
          <w:p w:rsidRPr="00137393" w:rsidR="00094694" w:rsidP="00D052EF" w:rsidRDefault="00094694" w14:paraId="1ED77FE5" w14:textId="77777777">
            <w:pPr>
              <w:autoSpaceDN/>
              <w:spacing w:line="240" w:lineRule="auto"/>
              <w:textAlignment w:val="auto"/>
              <w:rPr>
                <w:rFonts w:eastAsia="Times New Roman" w:cs="Times New Roman"/>
                <w:color w:val="auto"/>
                <w:sz w:val="20"/>
                <w:szCs w:val="20"/>
              </w:rPr>
            </w:pPr>
          </w:p>
        </w:tc>
        <w:tc>
          <w:tcPr>
            <w:tcW w:w="5014" w:type="dxa"/>
          </w:tcPr>
          <w:p w:rsidRPr="00137393" w:rsidR="00094694" w:rsidP="00D052EF" w:rsidRDefault="00094694" w14:paraId="4C522DA9" w14:textId="77777777">
            <w:pPr>
              <w:autoSpaceDN/>
              <w:spacing w:line="240" w:lineRule="auto"/>
              <w:textAlignment w:val="auto"/>
              <w:rPr>
                <w:rFonts w:eastAsia="Times New Roman" w:cs="Calibri"/>
                <w:color w:val="auto"/>
                <w:sz w:val="16"/>
                <w:szCs w:val="16"/>
              </w:rPr>
            </w:pPr>
            <w:r>
              <w:rPr>
                <w:rFonts w:eastAsia="Times New Roman" w:cs="Calibri"/>
                <w:color w:val="auto"/>
                <w:sz w:val="16"/>
                <w:szCs w:val="16"/>
              </w:rPr>
              <w:t>Rentelasten</w:t>
            </w:r>
            <w:r w:rsidRPr="0054395A">
              <w:rPr>
                <w:rFonts w:eastAsia="Times New Roman" w:cs="Calibri"/>
                <w:color w:val="auto"/>
                <w:sz w:val="16"/>
                <w:szCs w:val="16"/>
              </w:rPr>
              <w:t xml:space="preserve"> steunlening Oekraï</w:t>
            </w:r>
            <w:r>
              <w:rPr>
                <w:rFonts w:eastAsia="Times New Roman" w:cs="Calibri"/>
                <w:color w:val="auto"/>
                <w:sz w:val="16"/>
                <w:szCs w:val="16"/>
              </w:rPr>
              <w:t>ne (USL)</w:t>
            </w:r>
          </w:p>
        </w:tc>
        <w:tc>
          <w:tcPr>
            <w:tcW w:w="1594" w:type="dxa"/>
          </w:tcPr>
          <w:p w:rsidRPr="00137393" w:rsidR="00094694" w:rsidP="00D052EF" w:rsidRDefault="00094694" w14:paraId="07AE9273"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-500</w:t>
            </w:r>
          </w:p>
        </w:tc>
        <w:tc>
          <w:tcPr>
            <w:tcW w:w="1046" w:type="dxa"/>
          </w:tcPr>
          <w:p w:rsidRPr="00137393" w:rsidR="00094694" w:rsidP="00D052EF" w:rsidRDefault="00094694" w14:paraId="4F350863" w14:textId="77777777">
            <w:pPr>
              <w:autoSpaceDN/>
              <w:spacing w:line="240" w:lineRule="auto"/>
              <w:jc w:val="right"/>
              <w:textAlignment w:val="auto"/>
              <w:rPr>
                <w:rFonts w:eastAsia="Times New Roman" w:cs="Calibri"/>
                <w:color w:val="auto"/>
                <w:sz w:val="16"/>
                <w:szCs w:val="16"/>
              </w:rPr>
            </w:pPr>
            <w:r w:rsidRPr="00137393">
              <w:rPr>
                <w:rFonts w:eastAsia="Times New Roman" w:cs="Calibri"/>
                <w:color w:val="auto"/>
                <w:sz w:val="16"/>
                <w:szCs w:val="16"/>
              </w:rPr>
              <w:t>-</w:t>
            </w:r>
            <w:r>
              <w:rPr>
                <w:rFonts w:eastAsia="Times New Roman" w:cs="Calibri"/>
                <w:color w:val="auto"/>
                <w:sz w:val="16"/>
                <w:szCs w:val="16"/>
              </w:rPr>
              <w:t>500</w:t>
            </w:r>
          </w:p>
        </w:tc>
      </w:tr>
      <w:tr w:rsidRPr="00137393" w:rsidR="00094694" w:rsidTr="00D052EF" w14:paraId="5BA8CECB" w14:textId="77777777">
        <w:trPr>
          <w:trHeight w:val="260"/>
        </w:trPr>
        <w:tc>
          <w:tcPr>
            <w:tcW w:w="201" w:type="dxa"/>
            <w:tcBorders>
              <w:top w:val="nil"/>
              <w:left w:val="nil"/>
              <w:bottom w:val="nil"/>
              <w:right w:val="nil"/>
            </w:tcBorders>
            <w:vAlign w:val="bottom"/>
          </w:tcPr>
          <w:p w:rsidRPr="00137393" w:rsidR="00094694" w:rsidP="00D052EF" w:rsidRDefault="00094694" w14:paraId="627FCBD2" w14:textId="77777777">
            <w:pPr>
              <w:autoSpaceDN/>
              <w:spacing w:line="240" w:lineRule="auto"/>
              <w:textAlignment w:val="auto"/>
              <w:rPr>
                <w:rFonts w:eastAsia="Times New Roman" w:cs="Times New Roman"/>
                <w:color w:val="auto"/>
                <w:sz w:val="20"/>
                <w:szCs w:val="20"/>
                <w:lang w:val="fr-FR"/>
              </w:rPr>
            </w:pPr>
          </w:p>
        </w:tc>
        <w:tc>
          <w:tcPr>
            <w:tcW w:w="5014" w:type="dxa"/>
          </w:tcPr>
          <w:p w:rsidRPr="00137393" w:rsidR="00094694" w:rsidP="00D052EF" w:rsidRDefault="00094694" w14:paraId="5BBB2AD4" w14:textId="77777777">
            <w:pPr>
              <w:autoSpaceDN/>
              <w:spacing w:line="240" w:lineRule="auto"/>
              <w:textAlignment w:val="auto"/>
              <w:rPr>
                <w:rFonts w:eastAsia="Times New Roman" w:cs="Calibri"/>
                <w:color w:val="auto"/>
                <w:sz w:val="16"/>
                <w:szCs w:val="16"/>
              </w:rPr>
            </w:pPr>
            <w:r w:rsidRPr="00232516">
              <w:rPr>
                <w:rFonts w:eastAsia="Times New Roman" w:cs="Calibri"/>
                <w:color w:val="auto"/>
                <w:sz w:val="16"/>
                <w:szCs w:val="16"/>
              </w:rPr>
              <w:t xml:space="preserve">H1: Programma voor </w:t>
            </w:r>
            <w:r>
              <w:rPr>
                <w:rFonts w:eastAsia="Times New Roman" w:cs="Calibri"/>
                <w:color w:val="auto"/>
                <w:sz w:val="16"/>
                <w:szCs w:val="16"/>
              </w:rPr>
              <w:t>de interne markt</w:t>
            </w:r>
          </w:p>
        </w:tc>
        <w:tc>
          <w:tcPr>
            <w:tcW w:w="1594" w:type="dxa"/>
          </w:tcPr>
          <w:p w:rsidRPr="00137393" w:rsidR="00094694" w:rsidP="00D052EF" w:rsidRDefault="00094694" w14:paraId="3666E44D"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lang w:val="fr-FR"/>
              </w:rPr>
              <w:t>78</w:t>
            </w:r>
          </w:p>
        </w:tc>
        <w:tc>
          <w:tcPr>
            <w:tcW w:w="1046" w:type="dxa"/>
          </w:tcPr>
          <w:p w:rsidRPr="00137393" w:rsidR="00094694" w:rsidP="00D052EF" w:rsidRDefault="00094694" w14:paraId="24513D49"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lang w:val="fr-FR"/>
              </w:rPr>
              <w:t>62,5</w:t>
            </w:r>
          </w:p>
        </w:tc>
      </w:tr>
      <w:tr w:rsidRPr="00137393" w:rsidR="00094694" w:rsidTr="00D052EF" w14:paraId="7B5BB0B9" w14:textId="77777777">
        <w:trPr>
          <w:trHeight w:val="260"/>
        </w:trPr>
        <w:tc>
          <w:tcPr>
            <w:tcW w:w="201" w:type="dxa"/>
            <w:tcBorders>
              <w:top w:val="nil"/>
              <w:left w:val="nil"/>
              <w:bottom w:val="nil"/>
              <w:right w:val="nil"/>
            </w:tcBorders>
            <w:vAlign w:val="bottom"/>
          </w:tcPr>
          <w:p w:rsidRPr="00137393" w:rsidR="00094694" w:rsidP="00D052EF" w:rsidRDefault="00094694" w14:paraId="76122134" w14:textId="77777777">
            <w:pPr>
              <w:autoSpaceDN/>
              <w:spacing w:line="240" w:lineRule="auto"/>
              <w:textAlignment w:val="auto"/>
              <w:rPr>
                <w:rFonts w:eastAsia="Times New Roman" w:cs="Times New Roman"/>
                <w:color w:val="auto"/>
                <w:sz w:val="20"/>
                <w:szCs w:val="20"/>
                <w:lang w:val="fr-FR"/>
              </w:rPr>
            </w:pPr>
          </w:p>
        </w:tc>
        <w:tc>
          <w:tcPr>
            <w:tcW w:w="5014" w:type="dxa"/>
          </w:tcPr>
          <w:p w:rsidRPr="00137393" w:rsidR="00094694" w:rsidP="00D052EF" w:rsidRDefault="00094694" w14:paraId="3090B177" w14:textId="77777777">
            <w:pPr>
              <w:autoSpaceDN/>
              <w:spacing w:line="240" w:lineRule="auto"/>
              <w:textAlignment w:val="auto"/>
              <w:rPr>
                <w:rFonts w:eastAsia="Times New Roman" w:cs="Calibri"/>
                <w:color w:val="auto"/>
                <w:sz w:val="16"/>
                <w:szCs w:val="16"/>
              </w:rPr>
            </w:pPr>
            <w:r>
              <w:rPr>
                <w:rFonts w:eastAsia="Times New Roman" w:cs="Calibri"/>
                <w:color w:val="auto"/>
                <w:sz w:val="16"/>
                <w:szCs w:val="16"/>
                <w:lang w:val="fr-FR"/>
              </w:rPr>
              <w:t>H</w:t>
            </w:r>
            <w:proofErr w:type="gramStart"/>
            <w:r>
              <w:rPr>
                <w:rFonts w:eastAsia="Times New Roman" w:cs="Calibri"/>
                <w:color w:val="auto"/>
                <w:sz w:val="16"/>
                <w:szCs w:val="16"/>
                <w:lang w:val="fr-FR"/>
              </w:rPr>
              <w:t>1:</w:t>
            </w:r>
            <w:proofErr w:type="gramEnd"/>
            <w:r>
              <w:rPr>
                <w:rFonts w:eastAsia="Times New Roman" w:cs="Calibri"/>
                <w:color w:val="auto"/>
                <w:sz w:val="16"/>
                <w:szCs w:val="16"/>
                <w:lang w:val="fr-FR"/>
              </w:rPr>
              <w:t xml:space="preserve"> </w:t>
            </w:r>
            <w:r w:rsidRPr="0054395A">
              <w:rPr>
                <w:rFonts w:eastAsia="Times New Roman" w:cs="Calibri"/>
                <w:color w:val="auto"/>
                <w:sz w:val="16"/>
                <w:szCs w:val="16"/>
                <w:lang w:val="fr-FR"/>
              </w:rPr>
              <w:t>Horizon Europ</w:t>
            </w:r>
            <w:r>
              <w:rPr>
                <w:rFonts w:eastAsia="Times New Roman" w:cs="Calibri"/>
                <w:color w:val="auto"/>
                <w:sz w:val="16"/>
                <w:szCs w:val="16"/>
                <w:lang w:val="fr-FR"/>
              </w:rPr>
              <w:t>e</w:t>
            </w:r>
          </w:p>
        </w:tc>
        <w:tc>
          <w:tcPr>
            <w:tcW w:w="1594" w:type="dxa"/>
          </w:tcPr>
          <w:p w:rsidRPr="00137393" w:rsidR="00094694" w:rsidP="00D052EF" w:rsidRDefault="00094694" w14:paraId="39F4F986"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lang w:val="fr-FR"/>
              </w:rPr>
              <w:t>-87</w:t>
            </w:r>
          </w:p>
        </w:tc>
        <w:tc>
          <w:tcPr>
            <w:tcW w:w="1046" w:type="dxa"/>
          </w:tcPr>
          <w:p w:rsidRPr="00137393" w:rsidR="00094694" w:rsidP="00D052EF" w:rsidRDefault="00094694" w14:paraId="0615549D"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lang w:val="fr-FR"/>
              </w:rPr>
              <w:t>-87</w:t>
            </w:r>
          </w:p>
        </w:tc>
      </w:tr>
      <w:tr w:rsidRPr="00137393" w:rsidR="00094694" w:rsidTr="00D052EF" w14:paraId="2E5611E7" w14:textId="77777777">
        <w:trPr>
          <w:trHeight w:val="260"/>
        </w:trPr>
        <w:tc>
          <w:tcPr>
            <w:tcW w:w="201" w:type="dxa"/>
            <w:tcBorders>
              <w:top w:val="nil"/>
              <w:left w:val="nil"/>
              <w:bottom w:val="nil"/>
              <w:right w:val="nil"/>
            </w:tcBorders>
            <w:vAlign w:val="bottom"/>
          </w:tcPr>
          <w:p w:rsidRPr="00137393" w:rsidR="00094694" w:rsidP="00D052EF" w:rsidRDefault="00094694" w14:paraId="07979110" w14:textId="77777777">
            <w:pPr>
              <w:autoSpaceDN/>
              <w:spacing w:line="240" w:lineRule="auto"/>
              <w:textAlignment w:val="auto"/>
              <w:rPr>
                <w:rFonts w:eastAsia="Times New Roman" w:cs="Times New Roman"/>
                <w:color w:val="auto"/>
                <w:sz w:val="20"/>
                <w:szCs w:val="20"/>
                <w:lang w:val="fr-FR"/>
              </w:rPr>
            </w:pPr>
          </w:p>
        </w:tc>
        <w:tc>
          <w:tcPr>
            <w:tcW w:w="5014" w:type="dxa"/>
          </w:tcPr>
          <w:p w:rsidRPr="00137393" w:rsidR="00094694" w:rsidP="00D052EF" w:rsidRDefault="00094694" w14:paraId="5CA4BCFF" w14:textId="77777777">
            <w:pPr>
              <w:autoSpaceDN/>
              <w:spacing w:line="240" w:lineRule="auto"/>
              <w:textAlignment w:val="auto"/>
              <w:rPr>
                <w:rFonts w:eastAsia="Times New Roman" w:cs="Calibri"/>
                <w:color w:val="auto"/>
                <w:sz w:val="16"/>
                <w:szCs w:val="16"/>
              </w:rPr>
            </w:pPr>
            <w:r w:rsidRPr="00232516">
              <w:rPr>
                <w:rFonts w:eastAsia="Times New Roman" w:cs="Calibri"/>
                <w:color w:val="auto"/>
                <w:sz w:val="16"/>
                <w:szCs w:val="16"/>
              </w:rPr>
              <w:t>H2b: Europees Openbaar Ministerie (EOM)</w:t>
            </w:r>
          </w:p>
        </w:tc>
        <w:tc>
          <w:tcPr>
            <w:tcW w:w="1594" w:type="dxa"/>
          </w:tcPr>
          <w:p w:rsidRPr="00137393" w:rsidR="00094694" w:rsidP="00D052EF" w:rsidRDefault="00094694" w14:paraId="36F36698"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lang w:val="fr-FR"/>
              </w:rPr>
              <w:t>2,2</w:t>
            </w:r>
          </w:p>
        </w:tc>
        <w:tc>
          <w:tcPr>
            <w:tcW w:w="1046" w:type="dxa"/>
          </w:tcPr>
          <w:p w:rsidRPr="00137393" w:rsidR="00094694" w:rsidP="00D052EF" w:rsidRDefault="00094694" w14:paraId="32B39489"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lang w:val="fr-FR"/>
              </w:rPr>
              <w:t>2,2</w:t>
            </w:r>
          </w:p>
        </w:tc>
      </w:tr>
      <w:tr w:rsidRPr="00137393" w:rsidR="00094694" w:rsidTr="00D052EF" w14:paraId="51B49A08" w14:textId="77777777">
        <w:trPr>
          <w:trHeight w:val="260"/>
        </w:trPr>
        <w:tc>
          <w:tcPr>
            <w:tcW w:w="201" w:type="dxa"/>
            <w:tcBorders>
              <w:top w:val="nil"/>
              <w:left w:val="nil"/>
              <w:bottom w:val="nil"/>
              <w:right w:val="nil"/>
            </w:tcBorders>
            <w:vAlign w:val="bottom"/>
          </w:tcPr>
          <w:p w:rsidRPr="00137393" w:rsidR="00094694" w:rsidP="00D052EF" w:rsidRDefault="00094694" w14:paraId="36F9A55B" w14:textId="77777777">
            <w:pPr>
              <w:autoSpaceDN/>
              <w:spacing w:line="240" w:lineRule="auto"/>
              <w:textAlignment w:val="auto"/>
              <w:rPr>
                <w:rFonts w:eastAsia="Times New Roman" w:cs="Times New Roman"/>
                <w:color w:val="auto"/>
                <w:sz w:val="20"/>
                <w:szCs w:val="20"/>
                <w:lang w:val="fr-FR"/>
              </w:rPr>
            </w:pPr>
          </w:p>
        </w:tc>
        <w:tc>
          <w:tcPr>
            <w:tcW w:w="5014" w:type="dxa"/>
          </w:tcPr>
          <w:p w:rsidR="00094694" w:rsidP="00D052EF" w:rsidRDefault="00094694" w14:paraId="2249771E" w14:textId="77777777">
            <w:pPr>
              <w:autoSpaceDN/>
              <w:spacing w:line="240" w:lineRule="auto"/>
              <w:textAlignment w:val="auto"/>
              <w:rPr>
                <w:rFonts w:eastAsia="Times New Roman" w:cs="Calibri"/>
                <w:color w:val="auto"/>
                <w:sz w:val="16"/>
                <w:szCs w:val="16"/>
              </w:rPr>
            </w:pPr>
            <w:r>
              <w:rPr>
                <w:rFonts w:eastAsia="Times New Roman" w:cs="Calibri"/>
                <w:color w:val="auto"/>
                <w:sz w:val="16"/>
                <w:szCs w:val="16"/>
                <w:lang w:val="fr-FR"/>
              </w:rPr>
              <w:t>H</w:t>
            </w:r>
            <w:proofErr w:type="gramStart"/>
            <w:r>
              <w:rPr>
                <w:rFonts w:eastAsia="Times New Roman" w:cs="Calibri"/>
                <w:color w:val="auto"/>
                <w:sz w:val="16"/>
                <w:szCs w:val="16"/>
                <w:lang w:val="fr-FR"/>
              </w:rPr>
              <w:t>3:</w:t>
            </w:r>
            <w:proofErr w:type="gramEnd"/>
            <w:r>
              <w:rPr>
                <w:rFonts w:eastAsia="Times New Roman" w:cs="Calibri"/>
                <w:color w:val="auto"/>
                <w:sz w:val="16"/>
                <w:szCs w:val="16"/>
                <w:lang w:val="fr-FR"/>
              </w:rPr>
              <w:t xml:space="preserve"> </w:t>
            </w:r>
            <w:proofErr w:type="spellStart"/>
            <w:r w:rsidRPr="0054395A">
              <w:rPr>
                <w:rFonts w:eastAsia="Times New Roman" w:cs="Calibri"/>
                <w:color w:val="auto"/>
                <w:sz w:val="16"/>
                <w:szCs w:val="16"/>
                <w:lang w:val="fr-FR"/>
              </w:rPr>
              <w:t>Europees</w:t>
            </w:r>
            <w:proofErr w:type="spellEnd"/>
            <w:r w:rsidRPr="0054395A">
              <w:rPr>
                <w:rFonts w:eastAsia="Times New Roman" w:cs="Calibri"/>
                <w:color w:val="auto"/>
                <w:sz w:val="16"/>
                <w:szCs w:val="16"/>
                <w:lang w:val="fr-FR"/>
              </w:rPr>
              <w:t xml:space="preserve"> </w:t>
            </w:r>
            <w:proofErr w:type="spellStart"/>
            <w:r w:rsidRPr="0054395A">
              <w:rPr>
                <w:rFonts w:eastAsia="Times New Roman" w:cs="Calibri"/>
                <w:color w:val="auto"/>
                <w:sz w:val="16"/>
                <w:szCs w:val="16"/>
                <w:lang w:val="fr-FR"/>
              </w:rPr>
              <w:t>Landbouwgarantiefonds</w:t>
            </w:r>
            <w:proofErr w:type="spellEnd"/>
            <w:r w:rsidRPr="0054395A">
              <w:rPr>
                <w:rFonts w:eastAsia="Times New Roman" w:cs="Calibri"/>
                <w:color w:val="auto"/>
                <w:sz w:val="16"/>
                <w:szCs w:val="16"/>
                <w:lang w:val="fr-FR"/>
              </w:rPr>
              <w:t xml:space="preserve"> (ELGF)</w:t>
            </w:r>
          </w:p>
        </w:tc>
        <w:tc>
          <w:tcPr>
            <w:tcW w:w="1594" w:type="dxa"/>
          </w:tcPr>
          <w:p w:rsidR="00094694" w:rsidP="00D052EF" w:rsidRDefault="00094694" w14:paraId="776B7251"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lang w:val="fr-FR"/>
              </w:rPr>
              <w:t>-81,1</w:t>
            </w:r>
          </w:p>
        </w:tc>
        <w:tc>
          <w:tcPr>
            <w:tcW w:w="1046" w:type="dxa"/>
          </w:tcPr>
          <w:p w:rsidR="00094694" w:rsidP="00D052EF" w:rsidRDefault="00094694" w14:paraId="700D8502"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lang w:val="fr-FR"/>
              </w:rPr>
              <w:t>-127,1</w:t>
            </w:r>
          </w:p>
        </w:tc>
      </w:tr>
      <w:tr w:rsidRPr="00137393" w:rsidR="00094694" w:rsidTr="00D052EF" w14:paraId="3D2C3293" w14:textId="77777777">
        <w:trPr>
          <w:trHeight w:val="260"/>
        </w:trPr>
        <w:tc>
          <w:tcPr>
            <w:tcW w:w="201" w:type="dxa"/>
            <w:tcBorders>
              <w:top w:val="nil"/>
              <w:left w:val="nil"/>
              <w:bottom w:val="nil"/>
              <w:right w:val="nil"/>
            </w:tcBorders>
            <w:vAlign w:val="bottom"/>
          </w:tcPr>
          <w:p w:rsidRPr="00137393" w:rsidR="00094694" w:rsidP="00D052EF" w:rsidRDefault="00094694" w14:paraId="18860BEF" w14:textId="77777777">
            <w:pPr>
              <w:autoSpaceDN/>
              <w:spacing w:line="240" w:lineRule="auto"/>
              <w:textAlignment w:val="auto"/>
              <w:rPr>
                <w:rFonts w:eastAsia="Times New Roman" w:cs="Times New Roman"/>
                <w:color w:val="auto"/>
                <w:sz w:val="20"/>
                <w:szCs w:val="20"/>
                <w:lang w:val="fr-FR"/>
              </w:rPr>
            </w:pPr>
          </w:p>
        </w:tc>
        <w:tc>
          <w:tcPr>
            <w:tcW w:w="5014" w:type="dxa"/>
          </w:tcPr>
          <w:p w:rsidRPr="00137393" w:rsidR="00094694" w:rsidP="00D052EF" w:rsidRDefault="00094694" w14:paraId="6984A04C" w14:textId="77777777">
            <w:pPr>
              <w:autoSpaceDN/>
              <w:spacing w:line="240" w:lineRule="auto"/>
              <w:textAlignment w:val="auto"/>
              <w:rPr>
                <w:rFonts w:eastAsia="Times New Roman" w:cs="Calibri"/>
                <w:color w:val="auto"/>
                <w:sz w:val="16"/>
                <w:szCs w:val="16"/>
              </w:rPr>
            </w:pPr>
            <w:r>
              <w:rPr>
                <w:rFonts w:eastAsia="Times New Roman" w:cs="Calibri"/>
                <w:color w:val="auto"/>
                <w:sz w:val="16"/>
                <w:szCs w:val="16"/>
              </w:rPr>
              <w:t xml:space="preserve">H6: </w:t>
            </w:r>
            <w:r w:rsidRPr="0054395A">
              <w:rPr>
                <w:rFonts w:eastAsia="Times New Roman" w:cs="Calibri"/>
                <w:color w:val="auto"/>
                <w:sz w:val="16"/>
                <w:szCs w:val="16"/>
              </w:rPr>
              <w:t xml:space="preserve">Europees instrument voor internationale samenwerking op </w:t>
            </w:r>
            <w:r>
              <w:rPr>
                <w:rFonts w:eastAsia="Times New Roman" w:cs="Calibri"/>
                <w:color w:val="auto"/>
                <w:sz w:val="16"/>
                <w:szCs w:val="16"/>
              </w:rPr>
              <w:t>het</w:t>
            </w:r>
            <w:r w:rsidRPr="0054395A">
              <w:rPr>
                <w:rFonts w:eastAsia="Times New Roman" w:cs="Calibri"/>
                <w:color w:val="auto"/>
                <w:sz w:val="16"/>
                <w:szCs w:val="16"/>
              </w:rPr>
              <w:t xml:space="preserve"> gebied van nucleaire veiligheid</w:t>
            </w:r>
          </w:p>
        </w:tc>
        <w:tc>
          <w:tcPr>
            <w:tcW w:w="1594" w:type="dxa"/>
          </w:tcPr>
          <w:p w:rsidRPr="00137393" w:rsidR="00094694" w:rsidP="00D052EF" w:rsidRDefault="00094694" w14:paraId="20066099"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18,6</w:t>
            </w:r>
          </w:p>
        </w:tc>
        <w:tc>
          <w:tcPr>
            <w:tcW w:w="1046" w:type="dxa"/>
          </w:tcPr>
          <w:p w:rsidRPr="00137393" w:rsidR="00094694" w:rsidP="00D052EF" w:rsidRDefault="00094694" w14:paraId="2FB49105"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18,6</w:t>
            </w:r>
          </w:p>
        </w:tc>
      </w:tr>
      <w:tr w:rsidRPr="00137393" w:rsidR="00094694" w:rsidTr="00D052EF" w14:paraId="665EB39C" w14:textId="77777777">
        <w:trPr>
          <w:trHeight w:val="260"/>
        </w:trPr>
        <w:tc>
          <w:tcPr>
            <w:tcW w:w="201" w:type="dxa"/>
            <w:tcBorders>
              <w:top w:val="nil"/>
              <w:left w:val="nil"/>
              <w:bottom w:val="nil"/>
              <w:right w:val="nil"/>
            </w:tcBorders>
            <w:vAlign w:val="bottom"/>
          </w:tcPr>
          <w:p w:rsidRPr="00137393" w:rsidR="00094694" w:rsidP="00D052EF" w:rsidRDefault="00094694" w14:paraId="639D0F5C" w14:textId="77777777">
            <w:pPr>
              <w:autoSpaceDN/>
              <w:spacing w:line="240" w:lineRule="auto"/>
              <w:textAlignment w:val="auto"/>
              <w:rPr>
                <w:rFonts w:eastAsia="Times New Roman" w:cs="Times New Roman"/>
                <w:color w:val="auto"/>
                <w:sz w:val="20"/>
                <w:szCs w:val="20"/>
                <w:lang w:val="fr-FR"/>
              </w:rPr>
            </w:pPr>
          </w:p>
        </w:tc>
        <w:tc>
          <w:tcPr>
            <w:tcW w:w="5014" w:type="dxa"/>
          </w:tcPr>
          <w:p w:rsidRPr="00137393" w:rsidR="00094694" w:rsidP="00D052EF" w:rsidRDefault="00094694" w14:paraId="1B633416" w14:textId="77777777">
            <w:pPr>
              <w:autoSpaceDN/>
              <w:spacing w:line="240" w:lineRule="auto"/>
              <w:textAlignment w:val="auto"/>
              <w:rPr>
                <w:rFonts w:eastAsia="Times New Roman" w:cs="Calibri"/>
                <w:color w:val="auto"/>
                <w:sz w:val="16"/>
                <w:szCs w:val="16"/>
              </w:rPr>
            </w:pPr>
            <w:r>
              <w:rPr>
                <w:rFonts w:eastAsia="Times New Roman" w:cs="Calibri"/>
                <w:color w:val="auto"/>
                <w:sz w:val="16"/>
                <w:szCs w:val="16"/>
              </w:rPr>
              <w:t xml:space="preserve">H6: </w:t>
            </w:r>
            <w:r w:rsidRPr="0054395A">
              <w:rPr>
                <w:rFonts w:eastAsia="Times New Roman" w:cs="Calibri"/>
                <w:color w:val="auto"/>
                <w:sz w:val="16"/>
                <w:szCs w:val="16"/>
              </w:rPr>
              <w:t>Instrument voor pretoetredingssteun (IPA III)</w:t>
            </w:r>
          </w:p>
        </w:tc>
        <w:tc>
          <w:tcPr>
            <w:tcW w:w="1594" w:type="dxa"/>
          </w:tcPr>
          <w:p w:rsidRPr="00137393" w:rsidR="00094694" w:rsidP="00D052EF" w:rsidRDefault="00094694" w14:paraId="47D1E68A"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-18,6</w:t>
            </w:r>
          </w:p>
        </w:tc>
        <w:tc>
          <w:tcPr>
            <w:tcW w:w="1046" w:type="dxa"/>
          </w:tcPr>
          <w:p w:rsidRPr="00137393" w:rsidR="00094694" w:rsidP="00D052EF" w:rsidRDefault="00094694" w14:paraId="5A861EF6"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-18,6</w:t>
            </w:r>
          </w:p>
        </w:tc>
      </w:tr>
      <w:tr w:rsidRPr="00137393" w:rsidR="00094694" w:rsidTr="00D052EF" w14:paraId="7CDC9018" w14:textId="77777777">
        <w:trPr>
          <w:trHeight w:val="260"/>
        </w:trPr>
        <w:tc>
          <w:tcPr>
            <w:tcW w:w="201" w:type="dxa"/>
            <w:tcBorders>
              <w:top w:val="nil"/>
              <w:left w:val="nil"/>
              <w:bottom w:val="nil"/>
              <w:right w:val="nil"/>
            </w:tcBorders>
            <w:vAlign w:val="bottom"/>
          </w:tcPr>
          <w:p w:rsidRPr="00137393" w:rsidR="00094694" w:rsidP="00D052EF" w:rsidRDefault="00094694" w14:paraId="5A1D4542" w14:textId="77777777">
            <w:pPr>
              <w:autoSpaceDN/>
              <w:spacing w:line="240" w:lineRule="auto"/>
              <w:textAlignment w:val="auto"/>
              <w:rPr>
                <w:rFonts w:eastAsia="Times New Roman" w:cs="Times New Roman"/>
                <w:color w:val="auto"/>
                <w:sz w:val="20"/>
                <w:szCs w:val="20"/>
                <w:lang w:val="fr-FR"/>
              </w:rPr>
            </w:pPr>
          </w:p>
        </w:tc>
        <w:tc>
          <w:tcPr>
            <w:tcW w:w="5014" w:type="dxa"/>
          </w:tcPr>
          <w:p w:rsidRPr="00137393" w:rsidR="00094694" w:rsidP="00D052EF" w:rsidRDefault="00094694" w14:paraId="2FF6C9CC" w14:textId="77777777">
            <w:pPr>
              <w:autoSpaceDN/>
              <w:spacing w:line="240" w:lineRule="auto"/>
              <w:textAlignment w:val="auto"/>
              <w:rPr>
                <w:rFonts w:eastAsia="Times New Roman" w:cs="Calibri"/>
                <w:color w:val="auto"/>
                <w:sz w:val="16"/>
                <w:szCs w:val="16"/>
              </w:rPr>
            </w:pPr>
            <w:r>
              <w:rPr>
                <w:rFonts w:eastAsia="Times New Roman" w:cs="Calibri"/>
                <w:color w:val="auto"/>
                <w:sz w:val="16"/>
                <w:szCs w:val="16"/>
              </w:rPr>
              <w:t xml:space="preserve">H7: </w:t>
            </w:r>
            <w:r w:rsidRPr="0054395A">
              <w:rPr>
                <w:rFonts w:eastAsia="Times New Roman" w:cs="Calibri"/>
                <w:color w:val="auto"/>
                <w:sz w:val="16"/>
                <w:szCs w:val="16"/>
              </w:rPr>
              <w:t xml:space="preserve">Pensioenen en Europese </w:t>
            </w:r>
            <w:r>
              <w:rPr>
                <w:rFonts w:eastAsia="Times New Roman" w:cs="Calibri"/>
                <w:color w:val="auto"/>
                <w:sz w:val="16"/>
                <w:szCs w:val="16"/>
              </w:rPr>
              <w:t>s</w:t>
            </w:r>
            <w:r w:rsidRPr="0054395A">
              <w:rPr>
                <w:rFonts w:eastAsia="Times New Roman" w:cs="Calibri"/>
                <w:color w:val="auto"/>
                <w:sz w:val="16"/>
                <w:szCs w:val="16"/>
              </w:rPr>
              <w:t>cholen</w:t>
            </w:r>
          </w:p>
        </w:tc>
        <w:tc>
          <w:tcPr>
            <w:tcW w:w="1594" w:type="dxa"/>
          </w:tcPr>
          <w:p w:rsidRPr="00137393" w:rsidR="00094694" w:rsidP="00D052EF" w:rsidRDefault="00094694" w14:paraId="29A86244"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70,9</w:t>
            </w:r>
          </w:p>
        </w:tc>
        <w:tc>
          <w:tcPr>
            <w:tcW w:w="1046" w:type="dxa"/>
          </w:tcPr>
          <w:p w:rsidRPr="00137393" w:rsidR="00094694" w:rsidP="00D052EF" w:rsidRDefault="00094694" w14:paraId="3BCE854C"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70,9</w:t>
            </w:r>
          </w:p>
        </w:tc>
      </w:tr>
      <w:tr w:rsidRPr="00137393" w:rsidR="00094694" w:rsidTr="00D052EF" w14:paraId="2C1C096A" w14:textId="77777777">
        <w:trPr>
          <w:trHeight w:val="260"/>
        </w:trPr>
        <w:tc>
          <w:tcPr>
            <w:tcW w:w="201" w:type="dxa"/>
            <w:tcBorders>
              <w:top w:val="nil"/>
              <w:left w:val="nil"/>
              <w:bottom w:val="nil"/>
              <w:right w:val="nil"/>
            </w:tcBorders>
            <w:vAlign w:val="bottom"/>
          </w:tcPr>
          <w:p w:rsidRPr="00137393" w:rsidR="00094694" w:rsidP="00D052EF" w:rsidRDefault="00094694" w14:paraId="3490E09B" w14:textId="77777777">
            <w:pPr>
              <w:autoSpaceDN/>
              <w:spacing w:line="240" w:lineRule="auto"/>
              <w:textAlignment w:val="auto"/>
              <w:rPr>
                <w:rFonts w:eastAsia="Times New Roman" w:cs="Times New Roman"/>
                <w:color w:val="auto"/>
                <w:sz w:val="20"/>
                <w:szCs w:val="20"/>
                <w:lang w:val="fr-FR"/>
              </w:rPr>
            </w:pPr>
          </w:p>
        </w:tc>
        <w:tc>
          <w:tcPr>
            <w:tcW w:w="5014" w:type="dxa"/>
          </w:tcPr>
          <w:p w:rsidRPr="00137393" w:rsidR="00094694" w:rsidP="00D052EF" w:rsidRDefault="00094694" w14:paraId="350565C3" w14:textId="77777777">
            <w:pPr>
              <w:autoSpaceDN/>
              <w:spacing w:line="240" w:lineRule="auto"/>
              <w:textAlignment w:val="auto"/>
              <w:rPr>
                <w:rFonts w:eastAsia="Times New Roman" w:cs="Calibri"/>
                <w:color w:val="auto"/>
                <w:sz w:val="16"/>
                <w:szCs w:val="16"/>
              </w:rPr>
            </w:pPr>
            <w:r>
              <w:rPr>
                <w:rFonts w:eastAsia="Times New Roman" w:cs="Calibri"/>
                <w:color w:val="auto"/>
                <w:sz w:val="16"/>
                <w:szCs w:val="16"/>
              </w:rPr>
              <w:t xml:space="preserve">H7: </w:t>
            </w:r>
            <w:r w:rsidRPr="0054395A">
              <w:rPr>
                <w:rFonts w:eastAsia="Times New Roman" w:cs="Calibri"/>
                <w:color w:val="auto"/>
                <w:sz w:val="16"/>
                <w:szCs w:val="16"/>
              </w:rPr>
              <w:t>Administratieve uitgaven van de instellingen</w:t>
            </w:r>
          </w:p>
        </w:tc>
        <w:tc>
          <w:tcPr>
            <w:tcW w:w="1594" w:type="dxa"/>
          </w:tcPr>
          <w:p w:rsidRPr="00137393" w:rsidR="00094694" w:rsidP="00D052EF" w:rsidRDefault="00094694" w14:paraId="2B1DC04F"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135,9</w:t>
            </w:r>
          </w:p>
        </w:tc>
        <w:tc>
          <w:tcPr>
            <w:tcW w:w="1046" w:type="dxa"/>
          </w:tcPr>
          <w:p w:rsidRPr="00137393" w:rsidR="00094694" w:rsidP="00D052EF" w:rsidRDefault="00094694" w14:paraId="2F6761B4"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135,9</w:t>
            </w:r>
          </w:p>
        </w:tc>
      </w:tr>
      <w:tr w:rsidRPr="00137393" w:rsidR="00094694" w:rsidTr="00D052EF" w14:paraId="16028724" w14:textId="77777777">
        <w:trPr>
          <w:trHeight w:val="260"/>
        </w:trPr>
        <w:tc>
          <w:tcPr>
            <w:tcW w:w="201" w:type="dxa"/>
            <w:tcBorders>
              <w:top w:val="nil"/>
              <w:left w:val="nil"/>
              <w:bottom w:val="nil"/>
              <w:right w:val="nil"/>
            </w:tcBorders>
            <w:vAlign w:val="bottom"/>
          </w:tcPr>
          <w:p w:rsidRPr="00137393" w:rsidR="00094694" w:rsidP="00D052EF" w:rsidRDefault="00094694" w14:paraId="4AA1E4E0" w14:textId="77777777">
            <w:pPr>
              <w:autoSpaceDN/>
              <w:spacing w:line="240" w:lineRule="auto"/>
              <w:textAlignment w:val="auto"/>
              <w:rPr>
                <w:rFonts w:eastAsia="Times New Roman" w:cs="Times New Roman"/>
                <w:color w:val="auto"/>
                <w:sz w:val="20"/>
                <w:szCs w:val="20"/>
                <w:lang w:val="fr-FR"/>
              </w:rPr>
            </w:pPr>
          </w:p>
        </w:tc>
        <w:tc>
          <w:tcPr>
            <w:tcW w:w="5014" w:type="dxa"/>
          </w:tcPr>
          <w:p w:rsidRPr="00137393" w:rsidR="00094694" w:rsidP="00D052EF" w:rsidRDefault="00094694" w14:paraId="3FD63626" w14:textId="77777777">
            <w:pPr>
              <w:autoSpaceDN/>
              <w:spacing w:line="240" w:lineRule="auto"/>
              <w:textAlignment w:val="auto"/>
              <w:rPr>
                <w:rFonts w:eastAsia="Times New Roman" w:cs="Calibri"/>
                <w:color w:val="auto"/>
                <w:sz w:val="16"/>
                <w:szCs w:val="16"/>
              </w:rPr>
            </w:pPr>
            <w:r>
              <w:rPr>
                <w:rFonts w:eastAsia="Times New Roman" w:cs="Calibri"/>
                <w:color w:val="auto"/>
                <w:sz w:val="16"/>
                <w:szCs w:val="16"/>
              </w:rPr>
              <w:t xml:space="preserve">H7: </w:t>
            </w:r>
            <w:r w:rsidRPr="0054395A">
              <w:rPr>
                <w:rFonts w:eastAsia="Times New Roman" w:cs="Calibri"/>
                <w:color w:val="auto"/>
                <w:sz w:val="16"/>
                <w:szCs w:val="16"/>
              </w:rPr>
              <w:t>Aanpassingen voor bepaalde gedecentraliseerde agentschappen</w:t>
            </w:r>
          </w:p>
        </w:tc>
        <w:tc>
          <w:tcPr>
            <w:tcW w:w="1594" w:type="dxa"/>
          </w:tcPr>
          <w:p w:rsidRPr="00137393" w:rsidR="00094694" w:rsidP="00D052EF" w:rsidRDefault="00094694" w14:paraId="17E8224E"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15,6</w:t>
            </w:r>
          </w:p>
        </w:tc>
        <w:tc>
          <w:tcPr>
            <w:tcW w:w="1046" w:type="dxa"/>
          </w:tcPr>
          <w:p w:rsidRPr="00137393" w:rsidR="00094694" w:rsidP="00D052EF" w:rsidRDefault="00094694" w14:paraId="3F78BD4A"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15,6</w:t>
            </w:r>
          </w:p>
        </w:tc>
      </w:tr>
      <w:tr w:rsidRPr="00137393" w:rsidR="00094694" w:rsidTr="00D052EF" w14:paraId="669BD172" w14:textId="77777777">
        <w:trPr>
          <w:trHeight w:val="210"/>
        </w:trPr>
        <w:tc>
          <w:tcPr>
            <w:tcW w:w="201" w:type="dxa"/>
            <w:tcBorders>
              <w:top w:val="single" w:color="auto" w:sz="4" w:space="0"/>
              <w:left w:val="nil"/>
              <w:bottom w:val="nil"/>
              <w:right w:val="nil"/>
            </w:tcBorders>
            <w:vAlign w:val="center"/>
            <w:hideMark/>
          </w:tcPr>
          <w:p w:rsidRPr="00137393" w:rsidR="00094694" w:rsidP="00D052EF" w:rsidRDefault="00094694" w14:paraId="7A073FF3" w14:textId="77777777">
            <w:pPr>
              <w:autoSpaceDN/>
              <w:spacing w:line="240" w:lineRule="auto"/>
              <w:jc w:val="center"/>
              <w:textAlignment w:val="auto"/>
              <w:rPr>
                <w:rFonts w:eastAsia="Times New Roman" w:cs="Calibri"/>
                <w:color w:val="auto"/>
                <w:sz w:val="16"/>
                <w:szCs w:val="16"/>
              </w:rPr>
            </w:pPr>
          </w:p>
        </w:tc>
        <w:tc>
          <w:tcPr>
            <w:tcW w:w="5014" w:type="dxa"/>
            <w:tcBorders>
              <w:top w:val="single" w:color="auto" w:sz="4" w:space="0"/>
              <w:left w:val="nil"/>
              <w:bottom w:val="nil"/>
              <w:right w:val="nil"/>
            </w:tcBorders>
            <w:vAlign w:val="center"/>
            <w:hideMark/>
          </w:tcPr>
          <w:p w:rsidRPr="00137393" w:rsidR="00094694" w:rsidP="00D052EF" w:rsidRDefault="00094694" w14:paraId="032D3F3F" w14:textId="77777777">
            <w:pPr>
              <w:autoSpaceDN/>
              <w:spacing w:line="240" w:lineRule="auto"/>
              <w:textAlignment w:val="auto"/>
              <w:rPr>
                <w:rFonts w:eastAsia="Times New Roman" w:cs="Calibri"/>
                <w:b/>
                <w:bCs/>
                <w:color w:val="auto"/>
                <w:sz w:val="16"/>
                <w:szCs w:val="16"/>
              </w:rPr>
            </w:pPr>
            <w:r w:rsidRPr="00137393">
              <w:rPr>
                <w:rFonts w:eastAsia="Times New Roman" w:cs="Calibri"/>
                <w:b/>
                <w:bCs/>
                <w:color w:val="auto"/>
                <w:sz w:val="16"/>
                <w:szCs w:val="16"/>
              </w:rPr>
              <w:t>Totaal wijzigingen AL1</w:t>
            </w:r>
          </w:p>
        </w:tc>
        <w:tc>
          <w:tcPr>
            <w:tcW w:w="1594" w:type="dxa"/>
            <w:tcBorders>
              <w:top w:val="single" w:color="auto" w:sz="4" w:space="0"/>
              <w:left w:val="nil"/>
              <w:bottom w:val="nil"/>
              <w:right w:val="nil"/>
            </w:tcBorders>
            <w:vAlign w:val="bottom"/>
          </w:tcPr>
          <w:p w:rsidRPr="00137393" w:rsidR="00094694" w:rsidP="00D052EF" w:rsidRDefault="00094694" w14:paraId="79E01200" w14:textId="77777777">
            <w:pPr>
              <w:autoSpaceDN/>
              <w:spacing w:line="240" w:lineRule="auto"/>
              <w:jc w:val="right"/>
              <w:textAlignment w:val="auto"/>
              <w:rPr>
                <w:rFonts w:eastAsia="Times New Roman" w:cs="Calibri"/>
                <w:b/>
                <w:bCs/>
                <w:color w:val="auto"/>
                <w:sz w:val="16"/>
                <w:szCs w:val="16"/>
              </w:rPr>
            </w:pPr>
            <w:r w:rsidRPr="00137393">
              <w:rPr>
                <w:rFonts w:eastAsia="Times New Roman" w:cs="Calibri"/>
                <w:b/>
                <w:bCs/>
                <w:color w:val="auto"/>
                <w:sz w:val="16"/>
                <w:szCs w:val="16"/>
              </w:rPr>
              <w:t>-3</w:t>
            </w:r>
            <w:r>
              <w:rPr>
                <w:rFonts w:eastAsia="Times New Roman" w:cs="Calibri"/>
                <w:b/>
                <w:bCs/>
                <w:color w:val="auto"/>
                <w:sz w:val="16"/>
                <w:szCs w:val="16"/>
              </w:rPr>
              <w:t>65,3</w:t>
            </w:r>
          </w:p>
        </w:tc>
        <w:tc>
          <w:tcPr>
            <w:tcW w:w="1046" w:type="dxa"/>
            <w:tcBorders>
              <w:top w:val="single" w:color="auto" w:sz="4" w:space="0"/>
              <w:left w:val="nil"/>
              <w:bottom w:val="nil"/>
              <w:right w:val="nil"/>
            </w:tcBorders>
            <w:vAlign w:val="bottom"/>
          </w:tcPr>
          <w:p w:rsidRPr="00137393" w:rsidR="00094694" w:rsidP="00D052EF" w:rsidRDefault="00094694" w14:paraId="241F7A19" w14:textId="77777777">
            <w:pPr>
              <w:autoSpaceDN/>
              <w:spacing w:line="240" w:lineRule="auto"/>
              <w:jc w:val="right"/>
              <w:textAlignment w:val="auto"/>
              <w:rPr>
                <w:rFonts w:eastAsia="Times New Roman" w:cs="Calibri"/>
                <w:b/>
                <w:bCs/>
                <w:color w:val="auto"/>
                <w:sz w:val="16"/>
                <w:szCs w:val="16"/>
              </w:rPr>
            </w:pPr>
            <w:r>
              <w:rPr>
                <w:rFonts w:eastAsia="Times New Roman" w:cs="Calibri"/>
                <w:b/>
                <w:bCs/>
                <w:color w:val="auto"/>
                <w:sz w:val="16"/>
                <w:szCs w:val="16"/>
              </w:rPr>
              <w:t>-426,8</w:t>
            </w:r>
          </w:p>
        </w:tc>
      </w:tr>
    </w:tbl>
    <w:p w:rsidRPr="00137393" w:rsidR="00094694" w:rsidP="00094694" w:rsidRDefault="00094694" w14:paraId="02BEDD62" w14:textId="77777777">
      <w:pPr>
        <w:rPr>
          <w:color w:val="auto"/>
          <w:sz w:val="14"/>
          <w:szCs w:val="14"/>
        </w:rPr>
      </w:pPr>
      <w:r w:rsidRPr="00137393">
        <w:rPr>
          <w:color w:val="auto"/>
          <w:sz w:val="14"/>
          <w:szCs w:val="14"/>
        </w:rPr>
        <w:t>*Vastleggingen</w:t>
      </w:r>
    </w:p>
    <w:p w:rsidRPr="00137393" w:rsidR="00094694" w:rsidP="00094694" w:rsidRDefault="00094694" w14:paraId="6F3F9958" w14:textId="77777777">
      <w:pPr>
        <w:rPr>
          <w:color w:val="auto"/>
          <w:sz w:val="14"/>
          <w:szCs w:val="14"/>
        </w:rPr>
      </w:pPr>
      <w:r w:rsidRPr="00137393">
        <w:rPr>
          <w:color w:val="auto"/>
          <w:sz w:val="14"/>
          <w:szCs w:val="14"/>
        </w:rPr>
        <w:t>**Betalingen</w:t>
      </w:r>
    </w:p>
    <w:p w:rsidRPr="00137393" w:rsidR="00094694" w:rsidP="00094694" w:rsidRDefault="00094694" w14:paraId="75EAAD45" w14:textId="77777777">
      <w:pPr>
        <w:rPr>
          <w:color w:val="auto"/>
          <w:lang w:eastAsia="zh-CN" w:bidi="hi-IN"/>
        </w:rPr>
      </w:pPr>
    </w:p>
    <w:p w:rsidR="00094694" w:rsidP="00094694" w:rsidRDefault="00094694" w14:paraId="47061AFD" w14:textId="77777777">
      <w:pPr>
        <w:rPr>
          <w:color w:val="auto"/>
        </w:rPr>
      </w:pPr>
      <w:r w:rsidRPr="002B11D3">
        <w:rPr>
          <w:color w:val="auto"/>
        </w:rPr>
        <w:t>AL1 bevat</w:t>
      </w:r>
      <w:r>
        <w:rPr>
          <w:color w:val="auto"/>
        </w:rPr>
        <w:t xml:space="preserve"> </w:t>
      </w:r>
      <w:r w:rsidRPr="002B11D3">
        <w:rPr>
          <w:color w:val="auto"/>
        </w:rPr>
        <w:t xml:space="preserve">een aanpassing van de begroting voor 2027 voor </w:t>
      </w:r>
      <w:r>
        <w:rPr>
          <w:color w:val="auto"/>
        </w:rPr>
        <w:t>de rentelasten</w:t>
      </w:r>
      <w:r w:rsidRPr="002B11D3">
        <w:rPr>
          <w:color w:val="auto"/>
        </w:rPr>
        <w:t xml:space="preserve"> </w:t>
      </w:r>
      <w:r>
        <w:rPr>
          <w:color w:val="auto"/>
        </w:rPr>
        <w:t xml:space="preserve">van de steunlening aan </w:t>
      </w:r>
      <w:r w:rsidRPr="002B11D3">
        <w:rPr>
          <w:color w:val="auto"/>
        </w:rPr>
        <w:t>Oekraïne (</w:t>
      </w:r>
      <w:r w:rsidRPr="002C7781">
        <w:rPr>
          <w:i/>
          <w:iCs/>
          <w:color w:val="auto"/>
        </w:rPr>
        <w:t>Ukraine Support Loan</w:t>
      </w:r>
      <w:r w:rsidRPr="002B11D3">
        <w:rPr>
          <w:color w:val="auto"/>
        </w:rPr>
        <w:t xml:space="preserve">, USL). </w:t>
      </w:r>
      <w:r>
        <w:rPr>
          <w:color w:val="auto"/>
        </w:rPr>
        <w:t>Het Commissievoorstel verlaagt</w:t>
      </w:r>
      <w:r w:rsidRPr="002B11D3">
        <w:rPr>
          <w:color w:val="auto"/>
        </w:rPr>
        <w:t xml:space="preserve"> deze kosten met </w:t>
      </w:r>
      <w:r>
        <w:rPr>
          <w:color w:val="auto"/>
        </w:rPr>
        <w:t xml:space="preserve">ca. </w:t>
      </w:r>
      <w:r w:rsidRPr="002B11D3">
        <w:rPr>
          <w:color w:val="auto"/>
        </w:rPr>
        <w:t xml:space="preserve">500 mln. euro, van </w:t>
      </w:r>
      <w:r>
        <w:rPr>
          <w:color w:val="auto"/>
        </w:rPr>
        <w:t xml:space="preserve">ca. </w:t>
      </w:r>
      <w:r w:rsidRPr="002B11D3">
        <w:rPr>
          <w:color w:val="auto"/>
        </w:rPr>
        <w:t>1,</w:t>
      </w:r>
      <w:r>
        <w:rPr>
          <w:color w:val="auto"/>
        </w:rPr>
        <w:t>2</w:t>
      </w:r>
      <w:r w:rsidRPr="002B11D3">
        <w:rPr>
          <w:color w:val="auto"/>
        </w:rPr>
        <w:t xml:space="preserve"> mld. euro naar </w:t>
      </w:r>
      <w:r>
        <w:rPr>
          <w:color w:val="auto"/>
        </w:rPr>
        <w:t xml:space="preserve">ca. </w:t>
      </w:r>
      <w:r w:rsidRPr="002B11D3">
        <w:rPr>
          <w:color w:val="auto"/>
        </w:rPr>
        <w:t>650 mln. euro. Dit komt doordat</w:t>
      </w:r>
      <w:r>
        <w:rPr>
          <w:color w:val="auto"/>
        </w:rPr>
        <w:t xml:space="preserve"> er</w:t>
      </w:r>
      <w:r w:rsidRPr="002B11D3">
        <w:rPr>
          <w:color w:val="auto"/>
        </w:rPr>
        <w:t xml:space="preserve"> tot en met 30 september 2026 </w:t>
      </w:r>
      <w:r>
        <w:rPr>
          <w:color w:val="auto"/>
        </w:rPr>
        <w:t>minder uitbetalingen van de lening zijn dan geraamd</w:t>
      </w:r>
      <w:r w:rsidRPr="002B11D3">
        <w:rPr>
          <w:color w:val="auto"/>
        </w:rPr>
        <w:t xml:space="preserve">, waardoor ook de financieringskosten lager uitvallen. De resterende kosten van </w:t>
      </w:r>
      <w:r>
        <w:rPr>
          <w:color w:val="auto"/>
        </w:rPr>
        <w:t xml:space="preserve">ca. </w:t>
      </w:r>
      <w:r w:rsidRPr="002B11D3">
        <w:rPr>
          <w:color w:val="auto"/>
        </w:rPr>
        <w:t xml:space="preserve">650 mln. euro worden gedekt uit het Flexibiliteitsinstrument (43,1 mln. euro) en het </w:t>
      </w:r>
      <w:r>
        <w:rPr>
          <w:i/>
          <w:iCs/>
          <w:color w:val="auto"/>
        </w:rPr>
        <w:t xml:space="preserve">Enkelvoudige </w:t>
      </w:r>
      <w:proofErr w:type="spellStart"/>
      <w:r>
        <w:rPr>
          <w:i/>
          <w:iCs/>
          <w:color w:val="auto"/>
        </w:rPr>
        <w:t>margeinstrument</w:t>
      </w:r>
      <w:proofErr w:type="spellEnd"/>
      <w:r>
        <w:rPr>
          <w:i/>
          <w:iCs/>
          <w:color w:val="auto"/>
        </w:rPr>
        <w:t xml:space="preserve"> (Single </w:t>
      </w:r>
      <w:proofErr w:type="spellStart"/>
      <w:r>
        <w:rPr>
          <w:i/>
          <w:iCs/>
          <w:color w:val="auto"/>
        </w:rPr>
        <w:t>Margin</w:t>
      </w:r>
      <w:proofErr w:type="spellEnd"/>
      <w:r>
        <w:rPr>
          <w:i/>
          <w:iCs/>
          <w:color w:val="auto"/>
        </w:rPr>
        <w:t xml:space="preserve"> Instrument; SMI;</w:t>
      </w:r>
      <w:r w:rsidRPr="002B11D3">
        <w:rPr>
          <w:color w:val="auto"/>
        </w:rPr>
        <w:t xml:space="preserve"> 607 mln. euro). </w:t>
      </w:r>
      <w:r w:rsidR="00425207">
        <w:rPr>
          <w:color w:val="auto"/>
        </w:rPr>
        <w:t xml:space="preserve">Dit betekent dat er meer ruimte in </w:t>
      </w:r>
      <w:r w:rsidRPr="002B11D3" w:rsidR="00425207">
        <w:rPr>
          <w:color w:val="auto"/>
        </w:rPr>
        <w:t>deze begrotingsinstrumenten</w:t>
      </w:r>
      <w:r w:rsidR="00425207">
        <w:rPr>
          <w:color w:val="auto"/>
        </w:rPr>
        <w:t xml:space="preserve"> beschikbaar is</w:t>
      </w:r>
      <w:r w:rsidRPr="002B11D3" w:rsidR="00425207">
        <w:rPr>
          <w:color w:val="auto"/>
        </w:rPr>
        <w:t xml:space="preserve"> dan </w:t>
      </w:r>
      <w:r w:rsidR="00425207">
        <w:rPr>
          <w:color w:val="auto"/>
        </w:rPr>
        <w:t>eerder</w:t>
      </w:r>
      <w:r w:rsidRPr="002B11D3" w:rsidR="00425207">
        <w:rPr>
          <w:color w:val="auto"/>
        </w:rPr>
        <w:t xml:space="preserve"> voorzien.</w:t>
      </w:r>
    </w:p>
    <w:p w:rsidRPr="002B11D3" w:rsidR="00425207" w:rsidP="00094694" w:rsidRDefault="00425207" w14:paraId="50463D8B" w14:textId="77777777">
      <w:pPr>
        <w:rPr>
          <w:color w:val="auto"/>
        </w:rPr>
      </w:pPr>
    </w:p>
    <w:p w:rsidRPr="002B11D3" w:rsidR="00094694" w:rsidP="00094694" w:rsidRDefault="00094694" w14:paraId="31B3CAF9" w14:textId="77777777">
      <w:pPr>
        <w:rPr>
          <w:color w:val="auto"/>
        </w:rPr>
      </w:pPr>
      <w:r>
        <w:rPr>
          <w:color w:val="auto"/>
        </w:rPr>
        <w:t xml:space="preserve">Verder </w:t>
      </w:r>
      <w:r w:rsidRPr="002B11D3">
        <w:rPr>
          <w:color w:val="auto"/>
        </w:rPr>
        <w:t xml:space="preserve">stelt de Commissie voor </w:t>
      </w:r>
      <w:r w:rsidR="00752268">
        <w:rPr>
          <w:color w:val="auto"/>
        </w:rPr>
        <w:t xml:space="preserve">om </w:t>
      </w:r>
      <w:r w:rsidRPr="00E60644">
        <w:rPr>
          <w:color w:val="auto"/>
        </w:rPr>
        <w:t xml:space="preserve">het </w:t>
      </w:r>
      <w:r w:rsidRPr="003C032D">
        <w:rPr>
          <w:rFonts w:eastAsia="Times New Roman" w:cs="Calibri"/>
          <w:color w:val="auto"/>
        </w:rPr>
        <w:t>Europees Landbouwgarantiefonds (ELGF)</w:t>
      </w:r>
      <w:r w:rsidRPr="00E60644">
        <w:rPr>
          <w:color w:val="auto"/>
        </w:rPr>
        <w:t xml:space="preserve"> te</w:t>
      </w:r>
      <w:r w:rsidRPr="002B11D3">
        <w:rPr>
          <w:color w:val="auto"/>
        </w:rPr>
        <w:t xml:space="preserve"> verlagen. Hoewel de geraamde</w:t>
      </w:r>
      <w:r>
        <w:rPr>
          <w:color w:val="auto"/>
        </w:rPr>
        <w:t xml:space="preserve"> uitgaven</w:t>
      </w:r>
      <w:r w:rsidRPr="002B11D3">
        <w:rPr>
          <w:color w:val="auto"/>
        </w:rPr>
        <w:t xml:space="preserve"> 816 mln. euro stijgen ten opzichte van de ontwerpbegroting</w:t>
      </w:r>
      <w:r w:rsidR="00425207">
        <w:rPr>
          <w:color w:val="auto"/>
        </w:rPr>
        <w:t xml:space="preserve"> </w:t>
      </w:r>
      <w:r w:rsidRPr="002B11D3">
        <w:rPr>
          <w:color w:val="auto"/>
        </w:rPr>
        <w:lastRenderedPageBreak/>
        <w:t xml:space="preserve">2027, voornamelijk vanwege uitzonderlijke steunmaatregelen die in 2026 zijn vastgesteld maar waarvan de uitgaven pas in 2027 worden </w:t>
      </w:r>
      <w:r>
        <w:rPr>
          <w:color w:val="auto"/>
        </w:rPr>
        <w:t>gedaan</w:t>
      </w:r>
      <w:r w:rsidRPr="002B11D3">
        <w:rPr>
          <w:color w:val="auto"/>
        </w:rPr>
        <w:t xml:space="preserve">, kunnen deze hogere behoeften worden opgevangen met </w:t>
      </w:r>
      <w:r>
        <w:rPr>
          <w:color w:val="auto"/>
        </w:rPr>
        <w:t>ongebruikte middelen uit voorgaande jaren</w:t>
      </w:r>
      <w:r w:rsidRPr="002B11D3">
        <w:rPr>
          <w:color w:val="auto"/>
        </w:rPr>
        <w:t xml:space="preserve"> en aanvullende inkomsten. Per saldo stelt de Commissie daarom voor de vastleggingskredieten met 81,1 mln. euro en de betalingskredieten met 127,1 mln. euro te verlagen.</w:t>
      </w:r>
    </w:p>
    <w:p w:rsidRPr="002B11D3" w:rsidR="00094694" w:rsidP="00094694" w:rsidRDefault="00094694" w14:paraId="597E8540" w14:textId="77777777">
      <w:pPr>
        <w:rPr>
          <w:color w:val="auto"/>
        </w:rPr>
      </w:pPr>
    </w:p>
    <w:p w:rsidR="00094694" w:rsidP="71601AD3" w:rsidRDefault="71601AD3" w14:paraId="65CADD70" w14:textId="77777777">
      <w:pPr>
        <w:rPr>
          <w:color w:val="auto"/>
        </w:rPr>
      </w:pPr>
      <w:r w:rsidRPr="71601AD3">
        <w:rPr>
          <w:color w:val="auto"/>
        </w:rPr>
        <w:t xml:space="preserve">De administratiekosten nemen in 2027 met 208,8 mln. euro toe ten opzichte van de ontwerpbegroting 2027. Dit komt voornamelijk door een hoger dan geraamde indexering van de salarissen voor personeel van de EU-instellingen dan voorzien (127,7 mln. euro). Daarnaast nemen de uitgaven voor pensioenen met 62,5 mln. euro toe en voor de Europese scholen met 8,5 mln. euro. Ook wordt 10 mln. euro extra uitgetrokken voor de vrijwillige pensioenregeling van het Europees Parlement, waarvan de middelen naar verwachting eind 2026 uitgeput raken. De hogere uitgaven leiden tot een groter beroep op het </w:t>
      </w:r>
      <w:r w:rsidRPr="71601AD3">
        <w:rPr>
          <w:i/>
          <w:iCs/>
          <w:color w:val="auto"/>
        </w:rPr>
        <w:t xml:space="preserve">Single </w:t>
      </w:r>
      <w:proofErr w:type="spellStart"/>
      <w:r w:rsidRPr="71601AD3">
        <w:rPr>
          <w:i/>
          <w:iCs/>
          <w:color w:val="auto"/>
        </w:rPr>
        <w:t>Margin</w:t>
      </w:r>
      <w:proofErr w:type="spellEnd"/>
      <w:r w:rsidRPr="71601AD3">
        <w:rPr>
          <w:i/>
          <w:iCs/>
          <w:color w:val="auto"/>
        </w:rPr>
        <w:t xml:space="preserve"> Instrument</w:t>
      </w:r>
      <w:r w:rsidRPr="71601AD3">
        <w:rPr>
          <w:color w:val="auto"/>
        </w:rPr>
        <w:t>.</w:t>
      </w:r>
    </w:p>
    <w:p w:rsidRPr="00137393" w:rsidR="00094694" w:rsidP="00094694" w:rsidRDefault="00094694" w14:paraId="329DEED3" w14:textId="77777777">
      <w:pPr>
        <w:rPr>
          <w:i/>
          <w:iCs/>
          <w:color w:val="auto"/>
        </w:rPr>
      </w:pPr>
    </w:p>
    <w:p w:rsidRPr="00137393" w:rsidR="00094694" w:rsidP="00094694" w:rsidRDefault="00094694" w14:paraId="6FDFE606" w14:textId="77777777">
      <w:pPr>
        <w:rPr>
          <w:color w:val="auto"/>
        </w:rPr>
      </w:pPr>
      <w:r w:rsidRPr="00137393">
        <w:rPr>
          <w:i/>
          <w:iCs/>
          <w:color w:val="auto"/>
        </w:rPr>
        <w:t>Positie Europees Parlement</w:t>
      </w:r>
    </w:p>
    <w:p w:rsidRPr="005D32E3" w:rsidR="00094694" w:rsidP="00094694" w:rsidRDefault="00094694" w14:paraId="7B88580E" w14:textId="77777777">
      <w:pPr>
        <w:rPr>
          <w:color w:val="auto"/>
        </w:rPr>
      </w:pPr>
      <w:r w:rsidRPr="005D32E3">
        <w:rPr>
          <w:color w:val="auto"/>
        </w:rPr>
        <w:t xml:space="preserve">Het EP stelt voor om de door de Raad voorgestelde verlagingen van de EU-begroting 2027 van </w:t>
      </w:r>
      <w:r>
        <w:rPr>
          <w:color w:val="auto"/>
        </w:rPr>
        <w:t xml:space="preserve">ca. </w:t>
      </w:r>
      <w:r w:rsidRPr="005D32E3">
        <w:rPr>
          <w:color w:val="auto"/>
        </w:rPr>
        <w:t xml:space="preserve">1 mld. euro aan vastleggingen en 501,8 mln. euro aan betalingen ongedaan te maken. Daarnaast stelt het EP voor om </w:t>
      </w:r>
      <w:r>
        <w:rPr>
          <w:color w:val="auto"/>
        </w:rPr>
        <w:t xml:space="preserve">ca. </w:t>
      </w:r>
      <w:r w:rsidRPr="005D32E3">
        <w:rPr>
          <w:color w:val="auto"/>
        </w:rPr>
        <w:t>1,</w:t>
      </w:r>
      <w:r>
        <w:rPr>
          <w:color w:val="auto"/>
        </w:rPr>
        <w:t>2</w:t>
      </w:r>
      <w:r w:rsidRPr="005D32E3">
        <w:rPr>
          <w:color w:val="auto"/>
        </w:rPr>
        <w:t xml:space="preserve"> mld. euro extra aan vastleggingskredieten toe te kennen ten opzichte van het eerste Commissievoorstel. Het EP </w:t>
      </w:r>
      <w:r>
        <w:rPr>
          <w:color w:val="auto"/>
        </w:rPr>
        <w:t xml:space="preserve">geeft aan </w:t>
      </w:r>
      <w:r w:rsidRPr="005D32E3">
        <w:rPr>
          <w:color w:val="auto"/>
        </w:rPr>
        <w:t>hiermee voldoende middelen beschikbaar</w:t>
      </w:r>
      <w:r>
        <w:rPr>
          <w:color w:val="auto"/>
        </w:rPr>
        <w:t xml:space="preserve"> te willen</w:t>
      </w:r>
      <w:r w:rsidRPr="005D32E3">
        <w:rPr>
          <w:color w:val="auto"/>
        </w:rPr>
        <w:t xml:space="preserve"> stellen voor belangrijke EU-programma’s en de flexibiliteit van de begroting </w:t>
      </w:r>
      <w:r w:rsidR="00752268">
        <w:rPr>
          <w:color w:val="auto"/>
        </w:rPr>
        <w:t xml:space="preserve">te willen </w:t>
      </w:r>
      <w:r w:rsidRPr="005D32E3">
        <w:rPr>
          <w:color w:val="auto"/>
        </w:rPr>
        <w:t>behouden, mede met het oog op geopolitieke spanningen, economische onzekerheid en klimaatverandering.</w:t>
      </w:r>
    </w:p>
    <w:p w:rsidRPr="005D32E3" w:rsidR="00094694" w:rsidP="00094694" w:rsidRDefault="00094694" w14:paraId="38A7163C" w14:textId="77777777">
      <w:pPr>
        <w:rPr>
          <w:color w:val="auto"/>
        </w:rPr>
      </w:pPr>
    </w:p>
    <w:p w:rsidRPr="005D32E3" w:rsidR="00094694" w:rsidP="00094694" w:rsidRDefault="00094694" w14:paraId="7D0CCD17" w14:textId="77777777">
      <w:pPr>
        <w:rPr>
          <w:color w:val="auto"/>
        </w:rPr>
      </w:pPr>
      <w:r w:rsidRPr="005D32E3">
        <w:rPr>
          <w:color w:val="auto"/>
        </w:rPr>
        <w:t xml:space="preserve">Het EP stelt voor extra middelen toe te kennen aan onder meer transport- en energienetwerken (260 mln. euro), Erasmus+ (96 mln. euro), Horizon Europe (63 mln. euro), het Europees Landbouwgarantiefonds (85 mln. euro), het LIFE-programma (85 mln. euro) en het Uniemechanisme voor civiele bescherming (80 mln. euro). Ook worden extra middelen voorgesteld voor gezondheidszorg, jonge </w:t>
      </w:r>
      <w:r>
        <w:rPr>
          <w:color w:val="auto"/>
        </w:rPr>
        <w:t>boeren</w:t>
      </w:r>
      <w:r w:rsidRPr="005D32E3">
        <w:rPr>
          <w:color w:val="auto"/>
        </w:rPr>
        <w:t>, migratie- en grensbeheer en humanitaire hulp.</w:t>
      </w:r>
    </w:p>
    <w:p w:rsidRPr="005D32E3" w:rsidR="00094694" w:rsidP="00094694" w:rsidRDefault="00094694" w14:paraId="6F24EEA1" w14:textId="77777777">
      <w:pPr>
        <w:rPr>
          <w:color w:val="auto"/>
        </w:rPr>
      </w:pPr>
    </w:p>
    <w:p w:rsidR="00094694" w:rsidP="00094694" w:rsidRDefault="00094694" w14:paraId="76E37951" w14:textId="77777777">
      <w:pPr>
        <w:rPr>
          <w:color w:val="auto"/>
        </w:rPr>
      </w:pPr>
      <w:r w:rsidRPr="005D32E3">
        <w:rPr>
          <w:color w:val="auto"/>
        </w:rPr>
        <w:t xml:space="preserve">Daarnaast benadrukt het EP dat de terugbetaling van de financieringskosten van </w:t>
      </w:r>
      <w:proofErr w:type="spellStart"/>
      <w:r w:rsidRPr="002C7781">
        <w:rPr>
          <w:i/>
          <w:iCs/>
          <w:color w:val="auto"/>
        </w:rPr>
        <w:t>NextGenerationEU</w:t>
      </w:r>
      <w:proofErr w:type="spellEnd"/>
      <w:r w:rsidRPr="005D32E3">
        <w:rPr>
          <w:color w:val="auto"/>
        </w:rPr>
        <w:t xml:space="preserve"> (NGEU) en de steunlening aan Oekraïne</w:t>
      </w:r>
      <w:r>
        <w:rPr>
          <w:color w:val="auto"/>
        </w:rPr>
        <w:t xml:space="preserve"> (USL)</w:t>
      </w:r>
      <w:r w:rsidRPr="005D32E3">
        <w:rPr>
          <w:color w:val="auto"/>
        </w:rPr>
        <w:t xml:space="preserve"> niet ten koste mag gaan van bestaande EU-programma’s. Het EP stelt voor 65% van de terugbetalingskosten van NGEU te dekken uit vrijgevallen vastleggingen </w:t>
      </w:r>
      <w:r>
        <w:rPr>
          <w:color w:val="auto"/>
        </w:rPr>
        <w:t>(</w:t>
      </w:r>
      <w:proofErr w:type="spellStart"/>
      <w:r>
        <w:rPr>
          <w:color w:val="auto"/>
        </w:rPr>
        <w:t>decommitteringen</w:t>
      </w:r>
      <w:proofErr w:type="spellEnd"/>
      <w:r>
        <w:rPr>
          <w:color w:val="auto"/>
        </w:rPr>
        <w:t xml:space="preserve">) </w:t>
      </w:r>
      <w:r w:rsidRPr="005D32E3">
        <w:rPr>
          <w:color w:val="auto"/>
        </w:rPr>
        <w:t xml:space="preserve">en het nieuwe </w:t>
      </w:r>
      <w:r w:rsidR="00752268">
        <w:rPr>
          <w:color w:val="auto"/>
        </w:rPr>
        <w:t>USL-</w:t>
      </w:r>
      <w:r w:rsidRPr="005D32E3">
        <w:rPr>
          <w:color w:val="auto"/>
        </w:rPr>
        <w:t>instrument voor de steunlening aan Oekraïne volledig in te zetten voor de financieringskosten van deze lening. Ook wil het EP de geraamde kosten voor het liquiditeitsbeheer van de steunlening aan Oekraïne in 2027, ca</w:t>
      </w:r>
      <w:r>
        <w:rPr>
          <w:color w:val="auto"/>
        </w:rPr>
        <w:t>.</w:t>
      </w:r>
      <w:r w:rsidRPr="005D32E3">
        <w:rPr>
          <w:color w:val="auto"/>
        </w:rPr>
        <w:t xml:space="preserve"> 35 mln. euro, afzonderlijk opnemen in de begroting en volledig uit dit instrument financieren.</w:t>
      </w:r>
      <w:r>
        <w:rPr>
          <w:color w:val="auto"/>
        </w:rPr>
        <w:t xml:space="preserve"> Dit zou leiden tot aanvullende afdrachten van de lidstaten. </w:t>
      </w:r>
    </w:p>
    <w:p w:rsidRPr="00137393" w:rsidR="00094694" w:rsidP="00094694" w:rsidRDefault="00094694" w14:paraId="0FB208BF" w14:textId="77777777">
      <w:pPr>
        <w:rPr>
          <w:color w:val="auto"/>
        </w:rPr>
      </w:pPr>
    </w:p>
    <w:p w:rsidRPr="00137393" w:rsidR="00094694" w:rsidP="71601AD3" w:rsidRDefault="71601AD3" w14:paraId="3C0645A7" w14:textId="77777777">
      <w:pPr>
        <w:rPr>
          <w:i/>
          <w:iCs/>
          <w:color w:val="auto"/>
        </w:rPr>
      </w:pPr>
      <w:r w:rsidRPr="71601AD3">
        <w:rPr>
          <w:i/>
          <w:iCs/>
          <w:color w:val="auto"/>
        </w:rPr>
        <w:t xml:space="preserve">Nederlandse inzet voor de </w:t>
      </w:r>
      <w:proofErr w:type="spellStart"/>
      <w:r w:rsidRPr="71601AD3">
        <w:rPr>
          <w:i/>
          <w:iCs/>
          <w:color w:val="auto"/>
        </w:rPr>
        <w:t>Ecofin</w:t>
      </w:r>
      <w:proofErr w:type="spellEnd"/>
      <w:r w:rsidRPr="71601AD3">
        <w:rPr>
          <w:i/>
          <w:iCs/>
          <w:color w:val="auto"/>
        </w:rPr>
        <w:t xml:space="preserve"> </w:t>
      </w:r>
      <w:proofErr w:type="spellStart"/>
      <w:r w:rsidRPr="71601AD3">
        <w:rPr>
          <w:i/>
          <w:iCs/>
          <w:color w:val="auto"/>
        </w:rPr>
        <w:t>begrotingsraad</w:t>
      </w:r>
      <w:proofErr w:type="spellEnd"/>
    </w:p>
    <w:p w:rsidR="00094694" w:rsidP="71601AD3" w:rsidRDefault="71601AD3" w14:paraId="57AAEF55" w14:textId="77777777">
      <w:pPr>
        <w:rPr>
          <w:color w:val="auto"/>
        </w:rPr>
      </w:pPr>
      <w:r w:rsidRPr="71601AD3">
        <w:rPr>
          <w:color w:val="auto"/>
        </w:rPr>
        <w:t xml:space="preserve">Het kabinet zet in op een prudente, realistische en moderne Europese jaarbegroting voor 2027, waarin de afspraken uit het huidige MFK-akkoord en de MFK-herziening gerespecteerd worden. Belangrijke prioriteiten van het kabinet voor de EU-begroting 2027 zijn het dekken van de gestegen rentekosten van NGEU binnen het EURI-cascademechanisme en het binnen de begroting dekken van de rentesubsidie van de </w:t>
      </w:r>
      <w:r w:rsidRPr="71601AD3">
        <w:rPr>
          <w:i/>
          <w:iCs/>
          <w:color w:val="auto"/>
        </w:rPr>
        <w:t>Ukraine Support Loan</w:t>
      </w:r>
      <w:r w:rsidRPr="71601AD3">
        <w:rPr>
          <w:color w:val="auto"/>
        </w:rPr>
        <w:t xml:space="preserve"> (USL). Deze kosten moeten namelijk anders betaald worden door extra afdrachten van de lidstaten. </w:t>
      </w:r>
    </w:p>
    <w:p w:rsidR="00094694" w:rsidP="00094694" w:rsidRDefault="00094694" w14:paraId="53AC7DA6" w14:textId="77777777">
      <w:pPr>
        <w:rPr>
          <w:color w:val="auto"/>
        </w:rPr>
      </w:pPr>
    </w:p>
    <w:p w:rsidR="00094694" w:rsidP="00094694" w:rsidRDefault="00094694" w14:paraId="1B5D271E" w14:textId="77777777">
      <w:pPr>
        <w:rPr>
          <w:color w:val="auto"/>
        </w:rPr>
      </w:pPr>
      <w:r>
        <w:rPr>
          <w:color w:val="auto"/>
        </w:rPr>
        <w:lastRenderedPageBreak/>
        <w:t xml:space="preserve">Ten aanzien van de NGEU-rentekosten zet </w:t>
      </w:r>
      <w:r w:rsidRPr="00E40459">
        <w:rPr>
          <w:color w:val="auto"/>
        </w:rPr>
        <w:t xml:space="preserve">Nederland in op dekking van de kostenoverschrijding via </w:t>
      </w:r>
      <w:proofErr w:type="spellStart"/>
      <w:r w:rsidRPr="00E40459">
        <w:rPr>
          <w:color w:val="auto"/>
        </w:rPr>
        <w:t>herprioriteringen</w:t>
      </w:r>
      <w:proofErr w:type="spellEnd"/>
      <w:r w:rsidRPr="00E40459">
        <w:rPr>
          <w:color w:val="auto"/>
        </w:rPr>
        <w:t xml:space="preserve"> en speciale begrotingsinstrumenten, </w:t>
      </w:r>
      <w:proofErr w:type="gramStart"/>
      <w:r w:rsidRPr="00E40459">
        <w:rPr>
          <w:color w:val="auto"/>
        </w:rPr>
        <w:t>conform</w:t>
      </w:r>
      <w:proofErr w:type="gramEnd"/>
      <w:r w:rsidRPr="00E40459">
        <w:rPr>
          <w:color w:val="auto"/>
        </w:rPr>
        <w:t xml:space="preserve"> de afspraken uit de tussentijdse MFK-herziening van 2024. Daarbij geldt als uitgangspunt dat ten minste 50% van de kostenoverschrijding wordt gedekt via </w:t>
      </w:r>
      <w:proofErr w:type="spellStart"/>
      <w:r w:rsidRPr="00E40459">
        <w:rPr>
          <w:color w:val="auto"/>
        </w:rPr>
        <w:t>herprioriteringen</w:t>
      </w:r>
      <w:proofErr w:type="spellEnd"/>
      <w:r w:rsidRPr="00E40459">
        <w:rPr>
          <w:color w:val="auto"/>
        </w:rPr>
        <w:t xml:space="preserve"> en de inzet van speciale instrumenten. De Commissie stelt voor dit aandeel te dekken uit de beschikbare marge en het Flexibiliteitsinstrument, zonder </w:t>
      </w:r>
      <w:proofErr w:type="spellStart"/>
      <w:r w:rsidRPr="00E40459">
        <w:rPr>
          <w:color w:val="auto"/>
        </w:rPr>
        <w:t>herprioriteringen</w:t>
      </w:r>
      <w:proofErr w:type="spellEnd"/>
      <w:r w:rsidRPr="00E40459">
        <w:rPr>
          <w:color w:val="auto"/>
        </w:rPr>
        <w:t xml:space="preserve">. Nederland wil juist </w:t>
      </w:r>
      <w:proofErr w:type="spellStart"/>
      <w:r w:rsidRPr="00E40459">
        <w:rPr>
          <w:color w:val="auto"/>
        </w:rPr>
        <w:t>herprioriteringen</w:t>
      </w:r>
      <w:proofErr w:type="spellEnd"/>
      <w:r w:rsidRPr="00E40459">
        <w:rPr>
          <w:color w:val="auto"/>
        </w:rPr>
        <w:t xml:space="preserve"> benutten om het gebruik van speciale instrumenten te beperken en voldoende ruimte te behouden voor onvoorziene uitgaven.</w:t>
      </w:r>
      <w:r>
        <w:rPr>
          <w:color w:val="auto"/>
        </w:rPr>
        <w:t xml:space="preserve"> </w:t>
      </w:r>
    </w:p>
    <w:p w:rsidR="00094694" w:rsidP="00094694" w:rsidRDefault="00094694" w14:paraId="5FB26D42" w14:textId="77777777">
      <w:pPr>
        <w:rPr>
          <w:color w:val="auto"/>
        </w:rPr>
      </w:pPr>
    </w:p>
    <w:p w:rsidRPr="00E40459" w:rsidR="00094694" w:rsidP="00094694" w:rsidRDefault="00094694" w14:paraId="5B166221" w14:textId="77777777">
      <w:pPr>
        <w:rPr>
          <w:color w:val="auto"/>
        </w:rPr>
      </w:pPr>
      <w:r>
        <w:rPr>
          <w:color w:val="auto"/>
        </w:rPr>
        <w:t xml:space="preserve">Ten aanzien van de </w:t>
      </w:r>
      <w:r w:rsidRPr="002C7781">
        <w:rPr>
          <w:i/>
          <w:iCs/>
          <w:color w:val="auto"/>
        </w:rPr>
        <w:t>USL</w:t>
      </w:r>
      <w:r>
        <w:rPr>
          <w:color w:val="auto"/>
        </w:rPr>
        <w:t xml:space="preserve"> </w:t>
      </w:r>
      <w:r w:rsidRPr="00292DD3">
        <w:rPr>
          <w:color w:val="auto"/>
        </w:rPr>
        <w:t xml:space="preserve">voldoet </w:t>
      </w:r>
      <w:r>
        <w:rPr>
          <w:color w:val="auto"/>
        </w:rPr>
        <w:t xml:space="preserve">het voorstel van de Commissie </w:t>
      </w:r>
      <w:r w:rsidRPr="00292DD3">
        <w:rPr>
          <w:color w:val="auto"/>
        </w:rPr>
        <w:t xml:space="preserve">aan de verklaring van Nederland en gelijkgestemde lidstaten van april jl. om de rentesubsidie voor de USL </w:t>
      </w:r>
      <w:r>
        <w:rPr>
          <w:color w:val="auto"/>
        </w:rPr>
        <w:t xml:space="preserve">in 2026 en 2027 </w:t>
      </w:r>
      <w:r w:rsidRPr="00292DD3">
        <w:rPr>
          <w:color w:val="auto"/>
        </w:rPr>
        <w:t xml:space="preserve">volledig binnen de </w:t>
      </w:r>
      <w:r>
        <w:rPr>
          <w:color w:val="auto"/>
        </w:rPr>
        <w:t xml:space="preserve">huidige </w:t>
      </w:r>
      <w:r w:rsidRPr="00292DD3">
        <w:rPr>
          <w:color w:val="auto"/>
        </w:rPr>
        <w:t xml:space="preserve">Europese begroting te dekken, waardoor de inzet van het speciaal gecreëerde </w:t>
      </w:r>
      <w:r w:rsidRPr="002958BE">
        <w:rPr>
          <w:i/>
          <w:iCs/>
          <w:color w:val="auto"/>
        </w:rPr>
        <w:t>Ukraine Support Loan Instrument</w:t>
      </w:r>
      <w:r>
        <w:rPr>
          <w:i/>
          <w:iCs/>
          <w:color w:val="auto"/>
        </w:rPr>
        <w:t>,</w:t>
      </w:r>
      <w:r w:rsidRPr="00292DD3">
        <w:rPr>
          <w:color w:val="auto"/>
        </w:rPr>
        <w:t xml:space="preserve"> dat als backstop zou kunnen fungeren</w:t>
      </w:r>
      <w:r>
        <w:rPr>
          <w:color w:val="auto"/>
        </w:rPr>
        <w:t>,</w:t>
      </w:r>
      <w:r w:rsidRPr="00292DD3">
        <w:rPr>
          <w:color w:val="auto"/>
        </w:rPr>
        <w:t xml:space="preserve"> niet nodig zal zijn.</w:t>
      </w:r>
      <w:r>
        <w:rPr>
          <w:rStyle w:val="Voetnootmarkering"/>
          <w:color w:val="auto"/>
        </w:rPr>
        <w:footnoteReference w:id="4"/>
      </w:r>
      <w:r w:rsidRPr="00292DD3">
        <w:rPr>
          <w:color w:val="auto"/>
        </w:rPr>
        <w:t xml:space="preserve"> </w:t>
      </w:r>
      <w:r w:rsidR="00752268">
        <w:rPr>
          <w:color w:val="auto"/>
        </w:rPr>
        <w:t>De kosten</w:t>
      </w:r>
      <w:r w:rsidRPr="00292DD3">
        <w:rPr>
          <w:color w:val="auto"/>
        </w:rPr>
        <w:t xml:space="preserve"> word</w:t>
      </w:r>
      <w:r w:rsidR="00FE1804">
        <w:rPr>
          <w:color w:val="auto"/>
        </w:rPr>
        <w:t>en</w:t>
      </w:r>
      <w:r w:rsidRPr="00292DD3">
        <w:rPr>
          <w:color w:val="auto"/>
        </w:rPr>
        <w:t xml:space="preserve"> </w:t>
      </w:r>
      <w:r>
        <w:rPr>
          <w:color w:val="auto"/>
        </w:rPr>
        <w:t>in het Commissievoorstel</w:t>
      </w:r>
      <w:r w:rsidRPr="00292DD3">
        <w:rPr>
          <w:color w:val="auto"/>
        </w:rPr>
        <w:t xml:space="preserve"> </w:t>
      </w:r>
      <w:r w:rsidR="00752268">
        <w:rPr>
          <w:color w:val="auto"/>
        </w:rPr>
        <w:t xml:space="preserve">wat Nederland betreft </w:t>
      </w:r>
      <w:r w:rsidRPr="00292DD3">
        <w:rPr>
          <w:color w:val="auto"/>
        </w:rPr>
        <w:t>echter</w:t>
      </w:r>
      <w:r>
        <w:rPr>
          <w:color w:val="auto"/>
        </w:rPr>
        <w:t xml:space="preserve"> te weinig via </w:t>
      </w:r>
      <w:proofErr w:type="spellStart"/>
      <w:r>
        <w:rPr>
          <w:color w:val="auto"/>
        </w:rPr>
        <w:t>herprioriteringen</w:t>
      </w:r>
      <w:proofErr w:type="spellEnd"/>
      <w:r>
        <w:rPr>
          <w:color w:val="auto"/>
        </w:rPr>
        <w:t xml:space="preserve"> gedekt. De </w:t>
      </w:r>
      <w:r w:rsidRPr="00292DD3">
        <w:rPr>
          <w:color w:val="auto"/>
        </w:rPr>
        <w:t>inzet van overgebleven marges uit eerdere jaarbegrotingen en het SMI en flexibiliteitsinstrument</w:t>
      </w:r>
      <w:r>
        <w:rPr>
          <w:color w:val="auto"/>
        </w:rPr>
        <w:t xml:space="preserve"> word</w:t>
      </w:r>
      <w:r w:rsidR="00752268">
        <w:rPr>
          <w:color w:val="auto"/>
        </w:rPr>
        <w:t>en</w:t>
      </w:r>
      <w:r>
        <w:rPr>
          <w:color w:val="auto"/>
        </w:rPr>
        <w:t xml:space="preserve"> hiermee te veel uitgeput</w:t>
      </w:r>
      <w:r w:rsidRPr="00292DD3">
        <w:rPr>
          <w:color w:val="auto"/>
        </w:rPr>
        <w:t>. Nederland zal ook hier</w:t>
      </w:r>
      <w:r>
        <w:rPr>
          <w:color w:val="auto"/>
        </w:rPr>
        <w:t xml:space="preserve"> dus</w:t>
      </w:r>
      <w:r w:rsidRPr="00292DD3">
        <w:rPr>
          <w:color w:val="auto"/>
        </w:rPr>
        <w:t xml:space="preserve"> inzetten op </w:t>
      </w:r>
      <w:proofErr w:type="spellStart"/>
      <w:r w:rsidRPr="00292DD3">
        <w:rPr>
          <w:color w:val="auto"/>
        </w:rPr>
        <w:t>herprioriteringen</w:t>
      </w:r>
      <w:proofErr w:type="spellEnd"/>
      <w:r w:rsidRPr="00292DD3">
        <w:rPr>
          <w:color w:val="auto"/>
        </w:rPr>
        <w:t>.</w:t>
      </w:r>
      <w:r>
        <w:rPr>
          <w:color w:val="auto"/>
        </w:rPr>
        <w:t xml:space="preserve"> </w:t>
      </w:r>
    </w:p>
    <w:p w:rsidRPr="00E40459" w:rsidR="00094694" w:rsidP="00094694" w:rsidRDefault="00094694" w14:paraId="04BF6E13" w14:textId="77777777">
      <w:pPr>
        <w:rPr>
          <w:color w:val="auto"/>
        </w:rPr>
      </w:pPr>
    </w:p>
    <w:p w:rsidRPr="00E40459" w:rsidR="00094694" w:rsidP="00094694" w:rsidRDefault="00094694" w14:paraId="3EEE7976" w14:textId="77777777">
      <w:pPr>
        <w:rPr>
          <w:color w:val="auto"/>
        </w:rPr>
      </w:pPr>
      <w:r>
        <w:rPr>
          <w:color w:val="auto"/>
        </w:rPr>
        <w:t xml:space="preserve">Zoals aangegeven </w:t>
      </w:r>
      <w:r w:rsidRPr="00E40459">
        <w:rPr>
          <w:color w:val="auto"/>
        </w:rPr>
        <w:t xml:space="preserve">stelt </w:t>
      </w:r>
      <w:r>
        <w:rPr>
          <w:color w:val="auto"/>
        </w:rPr>
        <w:t xml:space="preserve">het EP </w:t>
      </w:r>
      <w:r w:rsidRPr="00E40459">
        <w:rPr>
          <w:color w:val="auto"/>
        </w:rPr>
        <w:t>in haar positie voor om 65% van de NGEU-</w:t>
      </w:r>
      <w:r>
        <w:rPr>
          <w:color w:val="auto"/>
        </w:rPr>
        <w:t>rente</w:t>
      </w:r>
      <w:r w:rsidRPr="00E40459">
        <w:rPr>
          <w:color w:val="auto"/>
        </w:rPr>
        <w:t>kosten te dekken uit vrijgevallen vastleggingen</w:t>
      </w:r>
      <w:r>
        <w:rPr>
          <w:color w:val="auto"/>
        </w:rPr>
        <w:t xml:space="preserve"> (</w:t>
      </w:r>
      <w:proofErr w:type="spellStart"/>
      <w:r>
        <w:rPr>
          <w:color w:val="auto"/>
        </w:rPr>
        <w:t>decommitteringen</w:t>
      </w:r>
      <w:proofErr w:type="spellEnd"/>
      <w:r>
        <w:rPr>
          <w:color w:val="auto"/>
        </w:rPr>
        <w:t xml:space="preserve">) en </w:t>
      </w:r>
      <w:r w:rsidRPr="00E40459">
        <w:rPr>
          <w:color w:val="auto"/>
        </w:rPr>
        <w:t xml:space="preserve">het instrument voor de </w:t>
      </w:r>
      <w:r>
        <w:rPr>
          <w:color w:val="auto"/>
        </w:rPr>
        <w:t>USL</w:t>
      </w:r>
      <w:r w:rsidRPr="00E40459">
        <w:rPr>
          <w:color w:val="auto"/>
        </w:rPr>
        <w:t xml:space="preserve"> volledig </w:t>
      </w:r>
      <w:r>
        <w:rPr>
          <w:color w:val="auto"/>
        </w:rPr>
        <w:t>in te zetten</w:t>
      </w:r>
      <w:r w:rsidRPr="00E40459">
        <w:rPr>
          <w:color w:val="auto"/>
        </w:rPr>
        <w:t xml:space="preserve"> voor de financieringskosten van de steunlening aan Oekraïne. </w:t>
      </w:r>
      <w:r>
        <w:rPr>
          <w:color w:val="auto"/>
        </w:rPr>
        <w:t xml:space="preserve">Wat NGEU betreft gaat dit tegen de afspraak (2024) van de Commissie, EP en de Raad in om de rentekosten NGEU voor 50% te dekken via bestaande beschikbare middelen. Voor wat betreft de dekking van de rentekosten voor </w:t>
      </w:r>
      <w:r w:rsidRPr="00E864ED">
        <w:rPr>
          <w:i/>
          <w:iCs/>
          <w:color w:val="auto"/>
        </w:rPr>
        <w:t>USL</w:t>
      </w:r>
      <w:r>
        <w:rPr>
          <w:color w:val="auto"/>
        </w:rPr>
        <w:t xml:space="preserve"> is het voor Nederland van belang </w:t>
      </w:r>
      <w:r w:rsidRPr="00292DD3">
        <w:rPr>
          <w:color w:val="auto"/>
        </w:rPr>
        <w:t xml:space="preserve">om </w:t>
      </w:r>
      <w:r>
        <w:rPr>
          <w:color w:val="auto"/>
        </w:rPr>
        <w:t xml:space="preserve">dit </w:t>
      </w:r>
      <w:r w:rsidRPr="00292DD3">
        <w:rPr>
          <w:color w:val="auto"/>
        </w:rPr>
        <w:t xml:space="preserve">volledig binnen de </w:t>
      </w:r>
      <w:r>
        <w:rPr>
          <w:color w:val="auto"/>
        </w:rPr>
        <w:t xml:space="preserve">huidige </w:t>
      </w:r>
      <w:r w:rsidRPr="00292DD3">
        <w:rPr>
          <w:color w:val="auto"/>
        </w:rPr>
        <w:t xml:space="preserve">Europese begroting te dekken, waardoor </w:t>
      </w:r>
      <w:r>
        <w:rPr>
          <w:color w:val="auto"/>
        </w:rPr>
        <w:t xml:space="preserve">het USL-instrument niet ingezet hoeft te worden. Inzetten van het USL-instrument zou namelijk leiden tot aanvullende afdrachten. </w:t>
      </w:r>
      <w:r w:rsidRPr="00E40459">
        <w:rPr>
          <w:color w:val="auto"/>
        </w:rPr>
        <w:t>Nederland zal zich samen met gelijkgestemde lidstaten blijven inzetten voor naleving van de gemaakte afspraken en behoud van voldoende begrotingsflexibiliteit.</w:t>
      </w:r>
    </w:p>
    <w:p w:rsidRPr="00E40459" w:rsidR="00094694" w:rsidP="00094694" w:rsidRDefault="00094694" w14:paraId="5DB6844C" w14:textId="77777777">
      <w:pPr>
        <w:rPr>
          <w:color w:val="auto"/>
        </w:rPr>
      </w:pPr>
    </w:p>
    <w:p w:rsidRPr="00E40459" w:rsidR="00094694" w:rsidP="00094694" w:rsidRDefault="00094694" w14:paraId="3DFE4F0C" w14:textId="77777777">
      <w:pPr>
        <w:rPr>
          <w:color w:val="auto"/>
        </w:rPr>
      </w:pPr>
      <w:r w:rsidRPr="00E40459">
        <w:rPr>
          <w:color w:val="auto"/>
        </w:rPr>
        <w:t>Bij de beoordeling van compromisvoorstellen zal Nederland rekening houden met de eigen beleidsprioriteiten</w:t>
      </w:r>
      <w:r>
        <w:rPr>
          <w:color w:val="auto"/>
        </w:rPr>
        <w:t xml:space="preserve"> voor het lopende MFK</w:t>
      </w:r>
      <w:r w:rsidRPr="00E40459">
        <w:rPr>
          <w:color w:val="auto"/>
        </w:rPr>
        <w:t>, waaronder defensie en veiligheid, migratie, onderzoek en innovatie en de groene en digitale transitie</w:t>
      </w:r>
      <w:r>
        <w:rPr>
          <w:color w:val="auto"/>
        </w:rPr>
        <w:t>, door</w:t>
      </w:r>
      <w:bookmarkStart w:name="_Hlk243039115" w:id="0"/>
      <w:r w:rsidRPr="00E40459">
        <w:rPr>
          <w:color w:val="auto"/>
        </w:rPr>
        <w:t xml:space="preserve"> erop in </w:t>
      </w:r>
      <w:r>
        <w:rPr>
          <w:color w:val="auto"/>
        </w:rPr>
        <w:t xml:space="preserve">te zetten </w:t>
      </w:r>
      <w:r w:rsidRPr="00E40459">
        <w:rPr>
          <w:color w:val="auto"/>
        </w:rPr>
        <w:t xml:space="preserve">dat deze terreinen </w:t>
      </w:r>
      <w:r>
        <w:rPr>
          <w:color w:val="auto"/>
        </w:rPr>
        <w:t xml:space="preserve">zoveel mogelijk worden ontzien van </w:t>
      </w:r>
      <w:proofErr w:type="spellStart"/>
      <w:r>
        <w:rPr>
          <w:color w:val="auto"/>
        </w:rPr>
        <w:t>herprioritering</w:t>
      </w:r>
      <w:proofErr w:type="spellEnd"/>
      <w:r w:rsidRPr="00E40459">
        <w:rPr>
          <w:color w:val="auto"/>
        </w:rPr>
        <w:t>.</w:t>
      </w:r>
    </w:p>
    <w:bookmarkEnd w:id="0"/>
    <w:p w:rsidRPr="00E40459" w:rsidR="00094694" w:rsidP="00094694" w:rsidRDefault="00094694" w14:paraId="602B475D" w14:textId="77777777">
      <w:pPr>
        <w:rPr>
          <w:color w:val="auto"/>
        </w:rPr>
      </w:pPr>
    </w:p>
    <w:p w:rsidR="00094694" w:rsidP="00094694" w:rsidRDefault="003C032D" w14:paraId="775DA9FA" w14:textId="77777777">
      <w:pPr>
        <w:rPr>
          <w:color w:val="auto"/>
        </w:rPr>
      </w:pPr>
      <w:r>
        <w:rPr>
          <w:color w:val="auto"/>
        </w:rPr>
        <w:t xml:space="preserve">Het </w:t>
      </w:r>
      <w:r w:rsidRPr="00E40459" w:rsidR="00094694">
        <w:rPr>
          <w:color w:val="auto"/>
        </w:rPr>
        <w:t xml:space="preserve">kabinet </w:t>
      </w:r>
      <w:r>
        <w:rPr>
          <w:color w:val="auto"/>
        </w:rPr>
        <w:t xml:space="preserve">is </w:t>
      </w:r>
      <w:r w:rsidRPr="00E40459" w:rsidR="00094694">
        <w:rPr>
          <w:color w:val="auto"/>
        </w:rPr>
        <w:t xml:space="preserve">kritisch over de stijging van de administratieve uitgaven en het gebruik van speciale begrotingsinstrumenten om deze </w:t>
      </w:r>
      <w:r w:rsidR="00094694">
        <w:rPr>
          <w:color w:val="auto"/>
        </w:rPr>
        <w:t xml:space="preserve">hogere </w:t>
      </w:r>
      <w:r w:rsidRPr="00E40459" w:rsidR="00094694">
        <w:rPr>
          <w:color w:val="auto"/>
        </w:rPr>
        <w:t xml:space="preserve">uitgaven te financieren. </w:t>
      </w:r>
      <w:r w:rsidRPr="009C7379" w:rsidR="00094694">
        <w:rPr>
          <w:color w:val="auto"/>
        </w:rPr>
        <w:t xml:space="preserve">Nederland erkent daarbij wel dat het handelingsperspectief om </w:t>
      </w:r>
      <w:r w:rsidR="00094694">
        <w:rPr>
          <w:color w:val="auto"/>
        </w:rPr>
        <w:t xml:space="preserve">in het kader van de jaarbegroting </w:t>
      </w:r>
      <w:r w:rsidRPr="009C7379" w:rsidR="00094694">
        <w:rPr>
          <w:color w:val="auto"/>
        </w:rPr>
        <w:t>op administratieve uitgaven te bezuinigen beperkt is, aangezien dit juridisch verplichte kosten zijn.</w:t>
      </w:r>
    </w:p>
    <w:p w:rsidRPr="00137393" w:rsidR="00094694" w:rsidP="00094694" w:rsidRDefault="00094694" w14:paraId="5F4ECAF0" w14:textId="77777777">
      <w:pPr>
        <w:rPr>
          <w:color w:val="auto"/>
        </w:rPr>
      </w:pPr>
    </w:p>
    <w:p w:rsidRPr="00137393" w:rsidR="00094694" w:rsidP="00094694" w:rsidRDefault="00094694" w14:paraId="6CCC4169" w14:textId="77777777">
      <w:pPr>
        <w:rPr>
          <w:i/>
          <w:iCs/>
          <w:color w:val="auto"/>
        </w:rPr>
      </w:pPr>
      <w:r w:rsidRPr="00137393">
        <w:rPr>
          <w:i/>
          <w:iCs/>
          <w:color w:val="auto"/>
        </w:rPr>
        <w:t xml:space="preserve">Gevolgen voor de Nederlandse afdrachten </w:t>
      </w:r>
    </w:p>
    <w:p w:rsidR="00094694" w:rsidP="00094694" w:rsidRDefault="00094694" w14:paraId="72F64C62" w14:textId="77777777">
      <w:pPr>
        <w:rPr>
          <w:color w:val="auto"/>
        </w:rPr>
      </w:pPr>
      <w:r w:rsidRPr="00137393">
        <w:rPr>
          <w:color w:val="auto"/>
        </w:rPr>
        <w:t xml:space="preserve">Zoals toegelicht in de begroting van het ministerie van Buitenlandse Zaken, artikel 3.1, is de raming van de Nederlandse afdrachten aan de Europese begroting </w:t>
      </w:r>
      <w:r>
        <w:rPr>
          <w:color w:val="auto"/>
        </w:rPr>
        <w:t xml:space="preserve">in 2027 </w:t>
      </w:r>
      <w:r w:rsidRPr="00FB20C9">
        <w:rPr>
          <w:color w:val="auto"/>
        </w:rPr>
        <w:t>gebaseerd op de omvang van het jaarlijkse betalingenplafond uit het MFK</w:t>
      </w:r>
      <w:r w:rsidR="00292EF9">
        <w:rPr>
          <w:color w:val="auto"/>
        </w:rPr>
        <w:t>,</w:t>
      </w:r>
      <w:r w:rsidRPr="00FB20C9">
        <w:rPr>
          <w:color w:val="auto"/>
        </w:rPr>
        <w:t xml:space="preserve"> plus de maximale inzet van speciale instrumenten. </w:t>
      </w:r>
      <w:r>
        <w:rPr>
          <w:color w:val="auto"/>
        </w:rPr>
        <w:t>Om deze reden</w:t>
      </w:r>
      <w:r w:rsidRPr="00FB20C9">
        <w:rPr>
          <w:color w:val="auto"/>
        </w:rPr>
        <w:t xml:space="preserve"> heeft de verlaging </w:t>
      </w:r>
      <w:r w:rsidRPr="006A0823">
        <w:rPr>
          <w:color w:val="auto"/>
          <w:lang w:eastAsia="zh-CN" w:bidi="hi-IN"/>
        </w:rPr>
        <w:t xml:space="preserve">van de betalingen van </w:t>
      </w:r>
      <w:r>
        <w:rPr>
          <w:color w:val="auto"/>
          <w:lang w:eastAsia="zh-CN" w:bidi="hi-IN"/>
        </w:rPr>
        <w:t>426,8</w:t>
      </w:r>
      <w:r w:rsidRPr="006A0823">
        <w:rPr>
          <w:color w:val="auto"/>
          <w:lang w:eastAsia="zh-CN" w:bidi="hi-IN"/>
        </w:rPr>
        <w:t xml:space="preserve"> m</w:t>
      </w:r>
      <w:r>
        <w:rPr>
          <w:color w:val="auto"/>
          <w:lang w:eastAsia="zh-CN" w:bidi="hi-IN"/>
        </w:rPr>
        <w:t>ln</w:t>
      </w:r>
      <w:r w:rsidRPr="006A0823">
        <w:rPr>
          <w:color w:val="auto"/>
          <w:lang w:eastAsia="zh-CN" w:bidi="hi-IN"/>
        </w:rPr>
        <w:t>. euro ten opzichte van het eerste Commissievoorstel</w:t>
      </w:r>
      <w:r>
        <w:rPr>
          <w:color w:val="auto"/>
          <w:lang w:eastAsia="zh-CN" w:bidi="hi-IN"/>
        </w:rPr>
        <w:t xml:space="preserve"> voor de</w:t>
      </w:r>
      <w:r w:rsidRPr="00FB20C9">
        <w:rPr>
          <w:color w:val="auto"/>
        </w:rPr>
        <w:t xml:space="preserve"> </w:t>
      </w:r>
      <w:r>
        <w:rPr>
          <w:color w:val="auto"/>
        </w:rPr>
        <w:t xml:space="preserve">Europese jaarbegroting 2027 </w:t>
      </w:r>
      <w:r w:rsidRPr="00FB20C9">
        <w:rPr>
          <w:color w:val="auto"/>
        </w:rPr>
        <w:t>geen directe invloed op de hoogte van de raming van de Nederlandse afdrachten voor 2027.</w:t>
      </w:r>
    </w:p>
    <w:p w:rsidR="00094694" w:rsidP="00094694" w:rsidRDefault="00094694" w14:paraId="6DDD3386" w14:textId="77777777">
      <w:pPr>
        <w:rPr>
          <w:color w:val="auto"/>
        </w:rPr>
      </w:pPr>
    </w:p>
    <w:p w:rsidRPr="00137393" w:rsidR="00094694" w:rsidP="00094694" w:rsidRDefault="00094694" w14:paraId="5A0E997C" w14:textId="77777777">
      <w:pPr>
        <w:rPr>
          <w:color w:val="auto"/>
        </w:rPr>
      </w:pPr>
      <w:r w:rsidRPr="00137393">
        <w:rPr>
          <w:color w:val="auto"/>
        </w:rPr>
        <w:t xml:space="preserve">Ik zal </w:t>
      </w:r>
      <w:r>
        <w:rPr>
          <w:color w:val="auto"/>
        </w:rPr>
        <w:t>de</w:t>
      </w:r>
      <w:r w:rsidRPr="00137393">
        <w:rPr>
          <w:color w:val="auto"/>
        </w:rPr>
        <w:t xml:space="preserve"> Kamer zoals gebruikelijk per brief informeren over </w:t>
      </w:r>
      <w:r>
        <w:rPr>
          <w:color w:val="auto"/>
        </w:rPr>
        <w:t xml:space="preserve">de reguliere </w:t>
      </w:r>
      <w:r w:rsidRPr="00137393">
        <w:rPr>
          <w:color w:val="auto"/>
        </w:rPr>
        <w:t xml:space="preserve">Europese aanvullende begrotingen en </w:t>
      </w:r>
      <w:r w:rsidR="00292EF9">
        <w:rPr>
          <w:color w:val="auto"/>
        </w:rPr>
        <w:t xml:space="preserve">over </w:t>
      </w:r>
      <w:r w:rsidRPr="00137393">
        <w:rPr>
          <w:color w:val="auto"/>
        </w:rPr>
        <w:t xml:space="preserve">wijzigingen in de raming van de Nederlandse afdrachten als gevolg hiervan. Bij de Voorjaarsnota 2027 </w:t>
      </w:r>
      <w:r>
        <w:rPr>
          <w:color w:val="auto"/>
        </w:rPr>
        <w:t>zal</w:t>
      </w:r>
      <w:r w:rsidRPr="00137393">
        <w:rPr>
          <w:color w:val="auto"/>
        </w:rPr>
        <w:t xml:space="preserve"> worden bezien of de raming moet worden bijgesteld.</w:t>
      </w:r>
    </w:p>
    <w:p w:rsidRPr="00137393" w:rsidR="00094694" w:rsidP="00094694" w:rsidRDefault="00094694" w14:paraId="7D2302FC" w14:textId="77777777">
      <w:pPr>
        <w:rPr>
          <w:color w:val="auto"/>
        </w:rPr>
      </w:pPr>
    </w:p>
    <w:p w:rsidRPr="00137393" w:rsidR="00094694" w:rsidP="00094694" w:rsidRDefault="00094694" w14:paraId="43366EB0" w14:textId="77777777">
      <w:pPr>
        <w:rPr>
          <w:i/>
          <w:iCs/>
          <w:color w:val="auto"/>
        </w:rPr>
      </w:pPr>
      <w:r w:rsidRPr="00137393">
        <w:rPr>
          <w:i/>
          <w:iCs/>
          <w:color w:val="auto"/>
        </w:rPr>
        <w:t xml:space="preserve">Vervolgproces </w:t>
      </w:r>
    </w:p>
    <w:p w:rsidR="00094694" w:rsidP="71601AD3" w:rsidRDefault="71601AD3" w14:paraId="1A413A92" w14:textId="77777777">
      <w:pPr>
        <w:rPr>
          <w:color w:val="auto"/>
        </w:rPr>
      </w:pPr>
      <w:r w:rsidRPr="71601AD3">
        <w:rPr>
          <w:color w:val="auto"/>
        </w:rPr>
        <w:t xml:space="preserve">De Raad en het EP hebben hun posities vastgesteld en dienen, zoals voorgeschreven in artikel 314 van het Verdrag </w:t>
      </w:r>
      <w:proofErr w:type="gramStart"/>
      <w:r w:rsidRPr="71601AD3">
        <w:rPr>
          <w:color w:val="auto"/>
        </w:rPr>
        <w:t>betreffende</w:t>
      </w:r>
      <w:proofErr w:type="gramEnd"/>
      <w:r w:rsidRPr="71601AD3">
        <w:rPr>
          <w:color w:val="auto"/>
        </w:rPr>
        <w:t xml:space="preserve"> de werking van de Europese Unie (VWEU), overeenstemming te bereiken tijdens de conciliatieprocedure. De Raad stemt hierbij met een gekwalificeerde meerderheid en het EP met een gewone meerderheid over de Europese begroting 2027. Naar verwachting bereiken de Raad en het EP tijdens de </w:t>
      </w:r>
      <w:proofErr w:type="spellStart"/>
      <w:r w:rsidRPr="71601AD3">
        <w:rPr>
          <w:color w:val="auto"/>
        </w:rPr>
        <w:t>Ecofin</w:t>
      </w:r>
      <w:proofErr w:type="spellEnd"/>
      <w:r w:rsidRPr="71601AD3">
        <w:rPr>
          <w:color w:val="auto"/>
        </w:rPr>
        <w:t xml:space="preserve"> </w:t>
      </w:r>
      <w:proofErr w:type="spellStart"/>
      <w:r w:rsidRPr="71601AD3">
        <w:rPr>
          <w:color w:val="auto"/>
        </w:rPr>
        <w:t>begrotingsraad</w:t>
      </w:r>
      <w:proofErr w:type="spellEnd"/>
      <w:r w:rsidRPr="71601AD3">
        <w:rPr>
          <w:color w:val="auto"/>
        </w:rPr>
        <w:t xml:space="preserve"> van 10 november een akkoord. Indien onverhoopt niet voor het einde van de conciliatieperiode een akkoord wordt bereikt, moet de Commissie een aangepast begrotingsvoorstel presenteren om een compromis mogelijk te maken. </w:t>
      </w:r>
    </w:p>
    <w:p w:rsidR="00094694" w:rsidP="00094694" w:rsidRDefault="00094694" w14:paraId="5370A457" w14:textId="77777777">
      <w:pPr>
        <w:rPr>
          <w:color w:val="auto"/>
        </w:rPr>
      </w:pPr>
    </w:p>
    <w:p w:rsidRPr="00137393" w:rsidR="00094694" w:rsidP="71601AD3" w:rsidRDefault="71601AD3" w14:paraId="235D8B61" w14:textId="77777777">
      <w:pPr>
        <w:rPr>
          <w:color w:val="auto"/>
        </w:rPr>
      </w:pPr>
      <w:r w:rsidRPr="71601AD3">
        <w:rPr>
          <w:color w:val="auto"/>
        </w:rPr>
        <w:t xml:space="preserve">Uw Kamer zal door middel van een brief geïnformeerd worden over de uitkomst van de </w:t>
      </w:r>
      <w:proofErr w:type="spellStart"/>
      <w:r w:rsidRPr="71601AD3">
        <w:rPr>
          <w:color w:val="auto"/>
        </w:rPr>
        <w:t>Ecofin</w:t>
      </w:r>
      <w:proofErr w:type="spellEnd"/>
      <w:r w:rsidRPr="71601AD3">
        <w:rPr>
          <w:color w:val="auto"/>
        </w:rPr>
        <w:t xml:space="preserve"> </w:t>
      </w:r>
      <w:proofErr w:type="spellStart"/>
      <w:r w:rsidRPr="71601AD3">
        <w:rPr>
          <w:color w:val="auto"/>
        </w:rPr>
        <w:t>begrotingsraad</w:t>
      </w:r>
      <w:proofErr w:type="spellEnd"/>
      <w:r w:rsidRPr="71601AD3">
        <w:rPr>
          <w:color w:val="auto"/>
        </w:rPr>
        <w:t>.</w:t>
      </w:r>
    </w:p>
    <w:p w:rsidRPr="00137393" w:rsidR="00094694" w:rsidP="00094694" w:rsidRDefault="00094694" w14:paraId="56B8BFAF" w14:textId="77777777">
      <w:pPr>
        <w:rPr>
          <w:color w:val="auto"/>
        </w:rPr>
      </w:pPr>
    </w:p>
    <w:p w:rsidRPr="00EB6B6D" w:rsidR="00094694" w:rsidP="00094694" w:rsidRDefault="00094694" w14:paraId="089E864D" w14:textId="77777777">
      <w:pPr>
        <w:rPr>
          <w:color w:val="auto"/>
          <w:u w:val="single"/>
        </w:rPr>
      </w:pPr>
      <w:r w:rsidRPr="00EB6B6D">
        <w:rPr>
          <w:b/>
          <w:bCs/>
          <w:color w:val="auto"/>
          <w:u w:val="single"/>
        </w:rPr>
        <w:t xml:space="preserve">Derde aanvullende Europese begroting 2026 </w:t>
      </w:r>
    </w:p>
    <w:p w:rsidRPr="005764A6" w:rsidR="00094694" w:rsidP="00094694" w:rsidRDefault="00094694" w14:paraId="4492F6C3" w14:textId="77777777">
      <w:pPr>
        <w:rPr>
          <w:color w:val="auto"/>
        </w:rPr>
      </w:pPr>
      <w:r w:rsidRPr="00137393">
        <w:rPr>
          <w:color w:val="auto"/>
        </w:rPr>
        <w:t>Op 12 oktober jl. publiceerde de Commissie de derde aanvullende Europese begroting van 2026 (</w:t>
      </w:r>
      <w:r>
        <w:rPr>
          <w:i/>
          <w:iCs/>
          <w:color w:val="auto"/>
        </w:rPr>
        <w:t xml:space="preserve">draft </w:t>
      </w:r>
      <w:proofErr w:type="spellStart"/>
      <w:r>
        <w:rPr>
          <w:i/>
          <w:iCs/>
          <w:color w:val="auto"/>
        </w:rPr>
        <w:t>amending</w:t>
      </w:r>
      <w:proofErr w:type="spellEnd"/>
      <w:r>
        <w:rPr>
          <w:i/>
          <w:iCs/>
          <w:color w:val="auto"/>
        </w:rPr>
        <w:t xml:space="preserve"> budget 3; </w:t>
      </w:r>
      <w:r w:rsidRPr="00137393">
        <w:rPr>
          <w:color w:val="auto"/>
        </w:rPr>
        <w:t xml:space="preserve">DAB3). DAB3 is de laatste aanvullende Europese begroting van 2026, met daarin zowel een actualisatie van de uitgaven- als de inkomstenkant van de begroting. </w:t>
      </w:r>
      <w:r w:rsidRPr="006A0823">
        <w:rPr>
          <w:color w:val="auto"/>
        </w:rPr>
        <w:t xml:space="preserve">In DAB3 is sprake van een </w:t>
      </w:r>
      <w:r>
        <w:rPr>
          <w:color w:val="auto"/>
        </w:rPr>
        <w:t>stijging</w:t>
      </w:r>
      <w:r w:rsidRPr="006A0823">
        <w:rPr>
          <w:color w:val="auto"/>
        </w:rPr>
        <w:t xml:space="preserve"> van </w:t>
      </w:r>
      <w:r>
        <w:rPr>
          <w:color w:val="auto"/>
        </w:rPr>
        <w:t>2</w:t>
      </w:r>
      <w:r w:rsidRPr="006A0823">
        <w:rPr>
          <w:color w:val="auto"/>
        </w:rPr>
        <w:t>,</w:t>
      </w:r>
      <w:r>
        <w:rPr>
          <w:color w:val="auto"/>
        </w:rPr>
        <w:t>2</w:t>
      </w:r>
      <w:r w:rsidRPr="006A0823">
        <w:rPr>
          <w:color w:val="auto"/>
        </w:rPr>
        <w:t xml:space="preserve"> ml</w:t>
      </w:r>
      <w:r>
        <w:rPr>
          <w:color w:val="auto"/>
        </w:rPr>
        <w:t>d</w:t>
      </w:r>
      <w:r w:rsidRPr="006A0823">
        <w:rPr>
          <w:color w:val="auto"/>
        </w:rPr>
        <w:t xml:space="preserve">. euro aan vastleggingen. De betalingen stijgen met </w:t>
      </w:r>
      <w:r>
        <w:rPr>
          <w:color w:val="auto"/>
        </w:rPr>
        <w:t>4</w:t>
      </w:r>
      <w:r w:rsidRPr="006A0823">
        <w:rPr>
          <w:color w:val="auto"/>
        </w:rPr>
        <w:t>,</w:t>
      </w:r>
      <w:r>
        <w:rPr>
          <w:color w:val="auto"/>
        </w:rPr>
        <w:t>2</w:t>
      </w:r>
      <w:r w:rsidRPr="006A0823">
        <w:rPr>
          <w:color w:val="auto"/>
        </w:rPr>
        <w:t xml:space="preserve"> mld. euro. </w:t>
      </w:r>
      <w:r>
        <w:rPr>
          <w:color w:val="auto"/>
        </w:rPr>
        <w:t xml:space="preserve">Aan de inkomstenkant van de begroting vindt een stijging van de inkomsten plaats ter waarde van 5,9 mld. euro. </w:t>
      </w:r>
      <w:r w:rsidR="00292EF9">
        <w:rPr>
          <w:color w:val="auto"/>
        </w:rPr>
        <w:t>T</w:t>
      </w:r>
      <w:r w:rsidRPr="006A0823">
        <w:rPr>
          <w:color w:val="auto"/>
        </w:rPr>
        <w:t xml:space="preserve">abel 2 </w:t>
      </w:r>
      <w:r w:rsidR="00292EF9">
        <w:rPr>
          <w:color w:val="auto"/>
        </w:rPr>
        <w:t>geeft</w:t>
      </w:r>
      <w:r w:rsidRPr="006A0823">
        <w:rPr>
          <w:color w:val="auto"/>
        </w:rPr>
        <w:t xml:space="preserve"> een overzicht van de wijzigingen</w:t>
      </w:r>
      <w:r>
        <w:rPr>
          <w:color w:val="auto"/>
        </w:rPr>
        <w:t xml:space="preserve"> in de vastleggingen en betalingen</w:t>
      </w:r>
      <w:r w:rsidRPr="006A0823">
        <w:rPr>
          <w:color w:val="auto"/>
        </w:rPr>
        <w:t>.</w:t>
      </w:r>
    </w:p>
    <w:p w:rsidRPr="00137393" w:rsidR="00094694" w:rsidP="00094694" w:rsidRDefault="00094694" w14:paraId="551178EC" w14:textId="77777777">
      <w:pPr>
        <w:rPr>
          <w:b/>
          <w:bCs/>
          <w:color w:val="auto"/>
        </w:rPr>
      </w:pPr>
    </w:p>
    <w:tbl>
      <w:tblPr>
        <w:tblW w:w="7685" w:type="dxa"/>
        <w:tblCellMar>
          <w:left w:w="70" w:type="dxa"/>
          <w:right w:w="70" w:type="dxa"/>
        </w:tblCellMar>
        <w:tblLook w:val="04A0" w:firstRow="1" w:lastRow="0" w:firstColumn="1" w:lastColumn="0" w:noHBand="0" w:noVBand="1"/>
      </w:tblPr>
      <w:tblGrid>
        <w:gridCol w:w="197"/>
        <w:gridCol w:w="4881"/>
        <w:gridCol w:w="764"/>
        <w:gridCol w:w="1843"/>
      </w:tblGrid>
      <w:tr w:rsidRPr="00137393" w:rsidR="00094694" w:rsidTr="00D052EF" w14:paraId="5AC9FB76" w14:textId="77777777">
        <w:trPr>
          <w:trHeight w:val="300"/>
        </w:trPr>
        <w:tc>
          <w:tcPr>
            <w:tcW w:w="7684" w:type="dxa"/>
            <w:gridSpan w:val="4"/>
            <w:tcBorders>
              <w:top w:val="nil"/>
              <w:left w:val="nil"/>
              <w:bottom w:val="nil"/>
              <w:right w:val="nil"/>
            </w:tcBorders>
            <w:shd w:val="clear" w:color="000000" w:fill="203764"/>
            <w:noWrap/>
            <w:vAlign w:val="bottom"/>
            <w:hideMark/>
          </w:tcPr>
          <w:p w:rsidRPr="00137393" w:rsidR="00094694" w:rsidP="00D052EF" w:rsidRDefault="00094694" w14:paraId="1A58C6A9" w14:textId="77777777">
            <w:pPr>
              <w:autoSpaceDN/>
              <w:spacing w:line="240" w:lineRule="auto"/>
              <w:textAlignment w:val="auto"/>
              <w:rPr>
                <w:rFonts w:eastAsia="Times New Roman" w:cs="Calibri"/>
                <w:color w:val="auto"/>
                <w:sz w:val="16"/>
                <w:szCs w:val="16"/>
              </w:rPr>
            </w:pPr>
            <w:r w:rsidRPr="00137393">
              <w:rPr>
                <w:rFonts w:eastAsia="Times New Roman" w:cs="Calibri"/>
                <w:b/>
                <w:bCs/>
                <w:color w:val="auto"/>
                <w:sz w:val="16"/>
                <w:szCs w:val="16"/>
              </w:rPr>
              <w:t xml:space="preserve">Tabel 2: Overzicht wijzigingen voor de vastleggingen en betalingen </w:t>
            </w:r>
            <w:proofErr w:type="spellStart"/>
            <w:r w:rsidRPr="00137393">
              <w:rPr>
                <w:rFonts w:eastAsia="Times New Roman" w:cs="Calibri"/>
                <w:b/>
                <w:bCs/>
                <w:color w:val="auto"/>
                <w:sz w:val="16"/>
                <w:szCs w:val="16"/>
              </w:rPr>
              <w:t>n.a.v</w:t>
            </w:r>
            <w:proofErr w:type="spellEnd"/>
            <w:r w:rsidRPr="00137393">
              <w:rPr>
                <w:rFonts w:eastAsia="Times New Roman" w:cs="Calibri"/>
                <w:b/>
                <w:bCs/>
                <w:color w:val="auto"/>
                <w:sz w:val="16"/>
                <w:szCs w:val="16"/>
              </w:rPr>
              <w:t xml:space="preserve"> DAB3 voor Europese jaarbegroting 202</w:t>
            </w:r>
            <w:r>
              <w:rPr>
                <w:rFonts w:eastAsia="Times New Roman" w:cs="Calibri"/>
                <w:b/>
                <w:bCs/>
                <w:color w:val="auto"/>
                <w:sz w:val="16"/>
                <w:szCs w:val="16"/>
              </w:rPr>
              <w:t>6</w:t>
            </w:r>
            <w:r w:rsidRPr="00137393">
              <w:rPr>
                <w:rFonts w:eastAsia="Times New Roman" w:cs="Calibri"/>
                <w:b/>
                <w:bCs/>
                <w:color w:val="auto"/>
                <w:sz w:val="16"/>
                <w:szCs w:val="16"/>
              </w:rPr>
              <w:t xml:space="preserve"> </w:t>
            </w:r>
            <w:r w:rsidRPr="00137393">
              <w:rPr>
                <w:rFonts w:eastAsia="Times New Roman" w:cs="Calibri"/>
                <w:color w:val="auto"/>
                <w:sz w:val="16"/>
                <w:szCs w:val="16"/>
              </w:rPr>
              <w:t>(in miljoenen euro’s, lopende prijzen)</w:t>
            </w:r>
          </w:p>
        </w:tc>
      </w:tr>
      <w:tr w:rsidRPr="00137393" w:rsidR="00094694" w:rsidTr="00D052EF" w14:paraId="2BE06B39" w14:textId="77777777">
        <w:trPr>
          <w:trHeight w:val="315"/>
        </w:trPr>
        <w:tc>
          <w:tcPr>
            <w:tcW w:w="197" w:type="dxa"/>
            <w:tcBorders>
              <w:top w:val="single" w:color="auto" w:sz="4" w:space="0"/>
              <w:left w:val="nil"/>
              <w:bottom w:val="single" w:color="auto" w:sz="4" w:space="0"/>
              <w:right w:val="nil"/>
            </w:tcBorders>
            <w:noWrap/>
            <w:vAlign w:val="bottom"/>
            <w:hideMark/>
          </w:tcPr>
          <w:p w:rsidRPr="00137393" w:rsidR="00094694" w:rsidP="00D052EF" w:rsidRDefault="00094694" w14:paraId="11C0D54E" w14:textId="77777777">
            <w:pPr>
              <w:autoSpaceDN/>
              <w:spacing w:line="240" w:lineRule="auto"/>
              <w:textAlignment w:val="auto"/>
              <w:rPr>
                <w:rFonts w:eastAsia="Times New Roman" w:cs="Calibri"/>
                <w:color w:val="auto"/>
                <w:sz w:val="16"/>
                <w:szCs w:val="16"/>
              </w:rPr>
            </w:pPr>
            <w:r w:rsidRPr="00137393">
              <w:rPr>
                <w:rFonts w:eastAsia="Times New Roman" w:cs="Calibri"/>
                <w:color w:val="auto"/>
                <w:sz w:val="16"/>
                <w:szCs w:val="16"/>
              </w:rPr>
              <w:t> </w:t>
            </w:r>
          </w:p>
        </w:tc>
        <w:tc>
          <w:tcPr>
            <w:tcW w:w="4880" w:type="dxa"/>
            <w:tcBorders>
              <w:top w:val="single" w:color="auto" w:sz="4" w:space="0"/>
              <w:left w:val="nil"/>
              <w:bottom w:val="single" w:color="auto" w:sz="4" w:space="0"/>
              <w:right w:val="nil"/>
            </w:tcBorders>
            <w:noWrap/>
            <w:vAlign w:val="bottom"/>
            <w:hideMark/>
          </w:tcPr>
          <w:p w:rsidRPr="00137393" w:rsidR="00094694" w:rsidP="00D052EF" w:rsidRDefault="00094694" w14:paraId="2DC3D958" w14:textId="77777777">
            <w:pPr>
              <w:autoSpaceDN/>
              <w:spacing w:line="240" w:lineRule="auto"/>
              <w:textAlignment w:val="auto"/>
              <w:rPr>
                <w:rFonts w:eastAsia="Times New Roman" w:cs="Calibri"/>
                <w:b/>
                <w:bCs/>
                <w:color w:val="auto"/>
                <w:sz w:val="16"/>
                <w:szCs w:val="16"/>
              </w:rPr>
            </w:pPr>
            <w:r w:rsidRPr="00137393">
              <w:rPr>
                <w:rFonts w:eastAsia="Times New Roman" w:cs="Calibri"/>
                <w:b/>
                <w:bCs/>
                <w:color w:val="auto"/>
                <w:sz w:val="16"/>
                <w:szCs w:val="16"/>
              </w:rPr>
              <w:t>Programma’s</w:t>
            </w:r>
          </w:p>
        </w:tc>
        <w:tc>
          <w:tcPr>
            <w:tcW w:w="764" w:type="dxa"/>
            <w:tcBorders>
              <w:top w:val="single" w:color="auto" w:sz="4" w:space="0"/>
              <w:left w:val="nil"/>
              <w:bottom w:val="single" w:color="auto" w:sz="4" w:space="0"/>
              <w:right w:val="nil"/>
            </w:tcBorders>
            <w:noWrap/>
            <w:vAlign w:val="center"/>
            <w:hideMark/>
          </w:tcPr>
          <w:p w:rsidRPr="00137393" w:rsidR="00094694" w:rsidP="00D052EF" w:rsidRDefault="00094694" w14:paraId="4D75CDCC" w14:textId="77777777">
            <w:pPr>
              <w:autoSpaceDN/>
              <w:spacing w:line="240" w:lineRule="auto"/>
              <w:jc w:val="right"/>
              <w:textAlignment w:val="auto"/>
              <w:rPr>
                <w:rFonts w:eastAsia="Times New Roman" w:cs="Calibri"/>
                <w:b/>
                <w:bCs/>
                <w:color w:val="auto"/>
                <w:sz w:val="16"/>
                <w:szCs w:val="16"/>
              </w:rPr>
            </w:pPr>
            <w:proofErr w:type="gramStart"/>
            <w:r w:rsidRPr="00137393">
              <w:rPr>
                <w:rFonts w:eastAsia="Times New Roman" w:cs="Calibri"/>
                <w:b/>
                <w:bCs/>
                <w:color w:val="auto"/>
                <w:sz w:val="16"/>
                <w:szCs w:val="16"/>
              </w:rPr>
              <w:t>Vastl.*</w:t>
            </w:r>
            <w:proofErr w:type="gramEnd"/>
          </w:p>
        </w:tc>
        <w:tc>
          <w:tcPr>
            <w:tcW w:w="1843" w:type="dxa"/>
            <w:tcBorders>
              <w:top w:val="single" w:color="auto" w:sz="4" w:space="0"/>
              <w:left w:val="nil"/>
              <w:bottom w:val="single" w:color="auto" w:sz="4" w:space="0"/>
              <w:right w:val="nil"/>
            </w:tcBorders>
            <w:noWrap/>
            <w:vAlign w:val="center"/>
            <w:hideMark/>
          </w:tcPr>
          <w:p w:rsidRPr="00137393" w:rsidR="00094694" w:rsidP="00D052EF" w:rsidRDefault="00094694" w14:paraId="3B64FA3B" w14:textId="77777777">
            <w:pPr>
              <w:autoSpaceDN/>
              <w:spacing w:line="240" w:lineRule="auto"/>
              <w:jc w:val="right"/>
              <w:textAlignment w:val="auto"/>
              <w:rPr>
                <w:rFonts w:eastAsia="Times New Roman" w:cs="Calibri"/>
                <w:b/>
                <w:bCs/>
                <w:color w:val="auto"/>
                <w:sz w:val="16"/>
                <w:szCs w:val="16"/>
              </w:rPr>
            </w:pPr>
            <w:proofErr w:type="gramStart"/>
            <w:r w:rsidRPr="00137393">
              <w:rPr>
                <w:rFonts w:eastAsia="Times New Roman" w:cs="Calibri"/>
                <w:b/>
                <w:bCs/>
                <w:color w:val="auto"/>
                <w:sz w:val="16"/>
                <w:szCs w:val="16"/>
              </w:rPr>
              <w:t>Bet.*</w:t>
            </w:r>
            <w:proofErr w:type="gramEnd"/>
            <w:r w:rsidRPr="00137393">
              <w:rPr>
                <w:rFonts w:eastAsia="Times New Roman" w:cs="Calibri"/>
                <w:b/>
                <w:bCs/>
                <w:color w:val="auto"/>
                <w:sz w:val="16"/>
                <w:szCs w:val="16"/>
              </w:rPr>
              <w:t>*</w:t>
            </w:r>
          </w:p>
        </w:tc>
      </w:tr>
      <w:tr w:rsidRPr="00137393" w:rsidR="00094694" w:rsidTr="00D052EF" w14:paraId="13F6FFFF" w14:textId="77777777">
        <w:trPr>
          <w:trHeight w:val="454"/>
        </w:trPr>
        <w:tc>
          <w:tcPr>
            <w:tcW w:w="197" w:type="dxa"/>
            <w:tcBorders>
              <w:top w:val="nil"/>
              <w:left w:val="nil"/>
              <w:bottom w:val="nil"/>
              <w:right w:val="nil"/>
            </w:tcBorders>
            <w:vAlign w:val="bottom"/>
          </w:tcPr>
          <w:p w:rsidRPr="00137393" w:rsidR="00094694" w:rsidP="00D052EF" w:rsidRDefault="00094694" w14:paraId="5B7E2F9D" w14:textId="77777777">
            <w:pPr>
              <w:autoSpaceDN/>
              <w:spacing w:line="240" w:lineRule="auto"/>
              <w:textAlignment w:val="auto"/>
              <w:rPr>
                <w:rFonts w:eastAsia="Times New Roman" w:cs="Times New Roman"/>
                <w:color w:val="auto"/>
                <w:sz w:val="20"/>
                <w:szCs w:val="20"/>
              </w:rPr>
            </w:pPr>
          </w:p>
        </w:tc>
        <w:tc>
          <w:tcPr>
            <w:tcW w:w="4881" w:type="dxa"/>
          </w:tcPr>
          <w:p w:rsidR="00094694" w:rsidP="00D052EF" w:rsidRDefault="00094694" w14:paraId="12F585EF" w14:textId="77777777">
            <w:pPr>
              <w:autoSpaceDN/>
              <w:spacing w:line="240" w:lineRule="auto"/>
              <w:textAlignment w:val="auto"/>
              <w:rPr>
                <w:rFonts w:eastAsia="Times New Roman" w:cs="Calibri"/>
                <w:color w:val="auto"/>
                <w:sz w:val="16"/>
                <w:szCs w:val="16"/>
              </w:rPr>
            </w:pPr>
            <w:r>
              <w:rPr>
                <w:rFonts w:eastAsia="Times New Roman" w:cs="Calibri"/>
                <w:color w:val="auto"/>
                <w:sz w:val="16"/>
                <w:szCs w:val="16"/>
              </w:rPr>
              <w:t xml:space="preserve">H1: </w:t>
            </w:r>
            <w:r w:rsidRPr="00232516">
              <w:rPr>
                <w:rFonts w:eastAsia="Times New Roman" w:cs="Calibri"/>
                <w:color w:val="auto"/>
                <w:sz w:val="16"/>
                <w:szCs w:val="16"/>
              </w:rPr>
              <w:t>Versterking van het onderdeel „Voedselketen” van het programma voor de eengemaakte markt</w:t>
            </w:r>
          </w:p>
        </w:tc>
        <w:tc>
          <w:tcPr>
            <w:tcW w:w="764" w:type="dxa"/>
          </w:tcPr>
          <w:p w:rsidRPr="00137393" w:rsidR="00094694" w:rsidP="00D052EF" w:rsidRDefault="00094694" w14:paraId="701FEAE0" w14:textId="77777777">
            <w:pPr>
              <w:autoSpaceDN/>
              <w:spacing w:line="240" w:lineRule="auto"/>
              <w:jc w:val="right"/>
              <w:textAlignment w:val="auto"/>
              <w:rPr>
                <w:rFonts w:eastAsia="Times New Roman" w:cs="Calibri"/>
                <w:color w:val="auto"/>
                <w:sz w:val="16"/>
                <w:szCs w:val="16"/>
              </w:rPr>
            </w:pPr>
            <w:r w:rsidRPr="00EA78AC">
              <w:rPr>
                <w:rFonts w:eastAsia="Times New Roman" w:cs="Calibri"/>
                <w:color w:val="auto"/>
                <w:sz w:val="16"/>
                <w:szCs w:val="16"/>
              </w:rPr>
              <w:t>47</w:t>
            </w:r>
          </w:p>
        </w:tc>
        <w:tc>
          <w:tcPr>
            <w:tcW w:w="1843" w:type="dxa"/>
          </w:tcPr>
          <w:p w:rsidR="00094694" w:rsidP="00D052EF" w:rsidRDefault="00094694" w14:paraId="13829767" w14:textId="77777777">
            <w:pPr>
              <w:autoSpaceDN/>
              <w:spacing w:line="240" w:lineRule="auto"/>
              <w:jc w:val="right"/>
              <w:textAlignment w:val="auto"/>
              <w:rPr>
                <w:rFonts w:eastAsia="Times New Roman" w:cs="Calibri"/>
                <w:color w:val="auto"/>
                <w:sz w:val="16"/>
                <w:szCs w:val="16"/>
              </w:rPr>
            </w:pPr>
          </w:p>
        </w:tc>
      </w:tr>
      <w:tr w:rsidRPr="00137393" w:rsidR="00094694" w:rsidTr="00D052EF" w14:paraId="5D4E7F63" w14:textId="77777777">
        <w:trPr>
          <w:trHeight w:val="454"/>
        </w:trPr>
        <w:tc>
          <w:tcPr>
            <w:tcW w:w="197" w:type="dxa"/>
            <w:tcBorders>
              <w:top w:val="nil"/>
              <w:left w:val="nil"/>
              <w:bottom w:val="nil"/>
              <w:right w:val="nil"/>
            </w:tcBorders>
            <w:vAlign w:val="bottom"/>
          </w:tcPr>
          <w:p w:rsidRPr="00137393" w:rsidR="00094694" w:rsidP="00D052EF" w:rsidRDefault="00094694" w14:paraId="05C7883F" w14:textId="77777777">
            <w:pPr>
              <w:autoSpaceDN/>
              <w:spacing w:line="240" w:lineRule="auto"/>
              <w:textAlignment w:val="auto"/>
              <w:rPr>
                <w:rFonts w:eastAsia="Times New Roman" w:cs="Times New Roman"/>
                <w:color w:val="auto"/>
                <w:sz w:val="20"/>
                <w:szCs w:val="20"/>
              </w:rPr>
            </w:pPr>
          </w:p>
        </w:tc>
        <w:tc>
          <w:tcPr>
            <w:tcW w:w="4881" w:type="dxa"/>
          </w:tcPr>
          <w:p w:rsidRPr="00137393" w:rsidR="00094694" w:rsidP="00D052EF" w:rsidRDefault="00094694" w14:paraId="52C28B9D" w14:textId="77777777">
            <w:pPr>
              <w:autoSpaceDN/>
              <w:spacing w:line="240" w:lineRule="auto"/>
              <w:textAlignment w:val="auto"/>
              <w:rPr>
                <w:rFonts w:eastAsia="Times New Roman" w:cs="Calibri"/>
                <w:color w:val="auto"/>
                <w:sz w:val="16"/>
                <w:szCs w:val="16"/>
              </w:rPr>
            </w:pPr>
            <w:r>
              <w:rPr>
                <w:rFonts w:eastAsia="Times New Roman" w:cs="Calibri"/>
                <w:color w:val="auto"/>
                <w:sz w:val="16"/>
                <w:szCs w:val="16"/>
              </w:rPr>
              <w:t xml:space="preserve">H2a: </w:t>
            </w:r>
            <w:r w:rsidRPr="002A171D">
              <w:rPr>
                <w:rFonts w:eastAsia="Times New Roman" w:cs="Calibri"/>
                <w:color w:val="auto"/>
                <w:sz w:val="16"/>
                <w:szCs w:val="16"/>
              </w:rPr>
              <w:t>Verhoogde behoeften aan betalingskredieten voor cohesie en plattelandsontwikkeling</w:t>
            </w:r>
          </w:p>
        </w:tc>
        <w:tc>
          <w:tcPr>
            <w:tcW w:w="764" w:type="dxa"/>
          </w:tcPr>
          <w:p w:rsidRPr="00137393" w:rsidR="00094694" w:rsidP="00D052EF" w:rsidRDefault="00094694" w14:paraId="0C72DEC1" w14:textId="77777777">
            <w:pPr>
              <w:autoSpaceDN/>
              <w:spacing w:line="240" w:lineRule="auto"/>
              <w:jc w:val="right"/>
              <w:textAlignment w:val="auto"/>
              <w:rPr>
                <w:rFonts w:eastAsia="Times New Roman" w:cs="Calibri"/>
                <w:color w:val="auto"/>
                <w:sz w:val="16"/>
                <w:szCs w:val="16"/>
              </w:rPr>
            </w:pPr>
          </w:p>
        </w:tc>
        <w:tc>
          <w:tcPr>
            <w:tcW w:w="1843" w:type="dxa"/>
          </w:tcPr>
          <w:p w:rsidRPr="00137393" w:rsidR="00094694" w:rsidP="00D052EF" w:rsidRDefault="00094694" w14:paraId="2DD847FD"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4.206</w:t>
            </w:r>
          </w:p>
        </w:tc>
      </w:tr>
      <w:tr w:rsidRPr="00137393" w:rsidR="00094694" w:rsidTr="00D052EF" w14:paraId="3C8788EF" w14:textId="77777777">
        <w:trPr>
          <w:trHeight w:val="454"/>
        </w:trPr>
        <w:tc>
          <w:tcPr>
            <w:tcW w:w="197" w:type="dxa"/>
            <w:tcBorders>
              <w:top w:val="nil"/>
              <w:left w:val="nil"/>
              <w:bottom w:val="nil"/>
              <w:right w:val="nil"/>
            </w:tcBorders>
            <w:vAlign w:val="bottom"/>
          </w:tcPr>
          <w:p w:rsidRPr="00137393" w:rsidR="00094694" w:rsidP="00D052EF" w:rsidRDefault="00094694" w14:paraId="2779E7EF" w14:textId="77777777">
            <w:pPr>
              <w:autoSpaceDN/>
              <w:spacing w:line="240" w:lineRule="auto"/>
              <w:textAlignment w:val="auto"/>
              <w:rPr>
                <w:rFonts w:eastAsia="Times New Roman" w:cs="Times New Roman"/>
                <w:color w:val="auto"/>
                <w:sz w:val="20"/>
                <w:szCs w:val="20"/>
              </w:rPr>
            </w:pPr>
          </w:p>
        </w:tc>
        <w:tc>
          <w:tcPr>
            <w:tcW w:w="4881" w:type="dxa"/>
          </w:tcPr>
          <w:p w:rsidRPr="00A112FE" w:rsidR="00094694" w:rsidP="00D052EF" w:rsidRDefault="00094694" w14:paraId="0AC3960B" w14:textId="77777777">
            <w:pPr>
              <w:autoSpaceDN/>
              <w:spacing w:line="240" w:lineRule="auto"/>
              <w:textAlignment w:val="auto"/>
              <w:rPr>
                <w:rFonts w:eastAsia="Times New Roman" w:cs="Calibri"/>
                <w:color w:val="auto"/>
                <w:sz w:val="16"/>
                <w:szCs w:val="16"/>
              </w:rPr>
            </w:pPr>
            <w:r>
              <w:rPr>
                <w:rFonts w:eastAsia="Times New Roman" w:cs="Calibri"/>
                <w:color w:val="auto"/>
                <w:sz w:val="16"/>
                <w:szCs w:val="16"/>
              </w:rPr>
              <w:t xml:space="preserve">H2b: </w:t>
            </w:r>
            <w:r w:rsidRPr="00232516">
              <w:rPr>
                <w:rFonts w:eastAsia="Times New Roman" w:cs="Calibri"/>
                <w:color w:val="auto"/>
                <w:sz w:val="16"/>
                <w:szCs w:val="16"/>
              </w:rPr>
              <w:t>Hervatting van de geschorste vastleggingen voor Hongarije</w:t>
            </w:r>
          </w:p>
        </w:tc>
        <w:tc>
          <w:tcPr>
            <w:tcW w:w="764" w:type="dxa"/>
          </w:tcPr>
          <w:p w:rsidRPr="00EA78AC" w:rsidR="00094694" w:rsidP="00D052EF" w:rsidRDefault="00094694" w14:paraId="0C5FCBC9"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2.201</w:t>
            </w:r>
          </w:p>
        </w:tc>
        <w:tc>
          <w:tcPr>
            <w:tcW w:w="1843" w:type="dxa"/>
          </w:tcPr>
          <w:p w:rsidRPr="00EA78AC" w:rsidR="00094694" w:rsidDel="00C31D58" w:rsidP="00D052EF" w:rsidRDefault="00094694" w14:paraId="5219A2CE" w14:textId="77777777">
            <w:pPr>
              <w:autoSpaceDN/>
              <w:spacing w:line="240" w:lineRule="auto"/>
              <w:jc w:val="right"/>
              <w:textAlignment w:val="auto"/>
              <w:rPr>
                <w:rFonts w:eastAsia="Times New Roman" w:cs="Calibri"/>
                <w:color w:val="auto"/>
                <w:sz w:val="16"/>
                <w:szCs w:val="16"/>
              </w:rPr>
            </w:pPr>
          </w:p>
        </w:tc>
      </w:tr>
      <w:tr w:rsidRPr="00137393" w:rsidR="00094694" w:rsidTr="00D052EF" w14:paraId="513DD154" w14:textId="77777777">
        <w:trPr>
          <w:trHeight w:val="624"/>
        </w:trPr>
        <w:tc>
          <w:tcPr>
            <w:tcW w:w="197" w:type="dxa"/>
            <w:tcBorders>
              <w:top w:val="nil"/>
              <w:left w:val="nil"/>
              <w:bottom w:val="nil"/>
              <w:right w:val="nil"/>
            </w:tcBorders>
            <w:vAlign w:val="bottom"/>
          </w:tcPr>
          <w:p w:rsidRPr="00137393" w:rsidR="00094694" w:rsidP="00D052EF" w:rsidRDefault="00094694" w14:paraId="369D1955" w14:textId="77777777">
            <w:pPr>
              <w:autoSpaceDN/>
              <w:spacing w:line="240" w:lineRule="auto"/>
              <w:textAlignment w:val="auto"/>
              <w:rPr>
                <w:rFonts w:eastAsia="Times New Roman" w:cs="Times New Roman"/>
                <w:color w:val="auto"/>
                <w:sz w:val="20"/>
                <w:szCs w:val="20"/>
              </w:rPr>
            </w:pPr>
          </w:p>
        </w:tc>
        <w:tc>
          <w:tcPr>
            <w:tcW w:w="4881" w:type="dxa"/>
          </w:tcPr>
          <w:p w:rsidRPr="00137393" w:rsidR="00094694" w:rsidP="00D052EF" w:rsidRDefault="00094694" w14:paraId="43E1A9EB" w14:textId="77777777">
            <w:pPr>
              <w:autoSpaceDN/>
              <w:spacing w:line="240" w:lineRule="auto"/>
              <w:textAlignment w:val="auto"/>
              <w:rPr>
                <w:rFonts w:eastAsia="Times New Roman" w:cs="Calibri"/>
                <w:color w:val="auto"/>
                <w:sz w:val="16"/>
                <w:szCs w:val="16"/>
              </w:rPr>
            </w:pPr>
            <w:r>
              <w:rPr>
                <w:rFonts w:eastAsia="Times New Roman" w:cs="Calibri"/>
                <w:color w:val="auto"/>
                <w:sz w:val="16"/>
                <w:szCs w:val="16"/>
              </w:rPr>
              <w:t xml:space="preserve">H3: </w:t>
            </w:r>
            <w:r w:rsidRPr="00232516">
              <w:rPr>
                <w:rFonts w:eastAsia="Times New Roman" w:cs="Calibri"/>
                <w:color w:val="auto"/>
                <w:sz w:val="16"/>
                <w:szCs w:val="16"/>
              </w:rPr>
              <w:t xml:space="preserve">Actualisering van de duurzame partnerschapsovereenkomsten </w:t>
            </w:r>
            <w:proofErr w:type="gramStart"/>
            <w:r w:rsidRPr="00232516">
              <w:rPr>
                <w:rFonts w:eastAsia="Times New Roman" w:cs="Calibri"/>
                <w:color w:val="auto"/>
                <w:sz w:val="16"/>
                <w:szCs w:val="16"/>
              </w:rPr>
              <w:t>inzake</w:t>
            </w:r>
            <w:proofErr w:type="gramEnd"/>
            <w:r w:rsidRPr="00232516">
              <w:rPr>
                <w:rFonts w:eastAsia="Times New Roman" w:cs="Calibri"/>
                <w:color w:val="auto"/>
                <w:sz w:val="16"/>
                <w:szCs w:val="16"/>
              </w:rPr>
              <w:t xml:space="preserve"> visserij en de regionale organisaties voor visserijbeheer</w:t>
            </w:r>
          </w:p>
        </w:tc>
        <w:tc>
          <w:tcPr>
            <w:tcW w:w="764" w:type="dxa"/>
          </w:tcPr>
          <w:p w:rsidRPr="00137393" w:rsidR="00094694" w:rsidP="00D052EF" w:rsidRDefault="00094694" w14:paraId="4340869F" w14:textId="77777777">
            <w:pPr>
              <w:autoSpaceDN/>
              <w:spacing w:line="240" w:lineRule="auto"/>
              <w:jc w:val="right"/>
              <w:textAlignment w:val="auto"/>
              <w:rPr>
                <w:rFonts w:eastAsia="Times New Roman" w:cs="Calibri"/>
                <w:color w:val="auto"/>
                <w:sz w:val="16"/>
                <w:szCs w:val="16"/>
              </w:rPr>
            </w:pPr>
            <w:r w:rsidRPr="00EA78AC">
              <w:rPr>
                <w:rFonts w:eastAsia="Times New Roman" w:cs="Calibri"/>
                <w:color w:val="auto"/>
                <w:sz w:val="16"/>
                <w:szCs w:val="16"/>
              </w:rPr>
              <w:t>-108</w:t>
            </w:r>
          </w:p>
        </w:tc>
        <w:tc>
          <w:tcPr>
            <w:tcW w:w="1843" w:type="dxa"/>
          </w:tcPr>
          <w:p w:rsidRPr="00137393" w:rsidR="00094694" w:rsidP="00D052EF" w:rsidRDefault="00094694" w14:paraId="1D794AF8" w14:textId="77777777">
            <w:pPr>
              <w:autoSpaceDN/>
              <w:spacing w:line="240" w:lineRule="auto"/>
              <w:jc w:val="right"/>
              <w:textAlignment w:val="auto"/>
              <w:rPr>
                <w:rFonts w:eastAsia="Times New Roman" w:cs="Calibri"/>
                <w:color w:val="auto"/>
                <w:sz w:val="16"/>
                <w:szCs w:val="16"/>
              </w:rPr>
            </w:pPr>
            <w:r w:rsidRPr="00EA78AC">
              <w:rPr>
                <w:rFonts w:eastAsia="Times New Roman" w:cs="Calibri"/>
                <w:color w:val="auto"/>
                <w:sz w:val="16"/>
                <w:szCs w:val="16"/>
              </w:rPr>
              <w:t>-83</w:t>
            </w:r>
          </w:p>
        </w:tc>
      </w:tr>
      <w:tr w:rsidRPr="00137393" w:rsidR="00094694" w:rsidTr="00D052EF" w14:paraId="3A1D77FF" w14:textId="77777777">
        <w:trPr>
          <w:trHeight w:val="283"/>
        </w:trPr>
        <w:tc>
          <w:tcPr>
            <w:tcW w:w="197" w:type="dxa"/>
            <w:tcBorders>
              <w:top w:val="nil"/>
              <w:left w:val="nil"/>
              <w:bottom w:val="nil"/>
              <w:right w:val="nil"/>
            </w:tcBorders>
            <w:vAlign w:val="bottom"/>
            <w:hideMark/>
          </w:tcPr>
          <w:p w:rsidRPr="00137393" w:rsidR="00094694" w:rsidP="00D052EF" w:rsidRDefault="00094694" w14:paraId="4B94570F" w14:textId="77777777">
            <w:pPr>
              <w:autoSpaceDN/>
              <w:spacing w:line="240" w:lineRule="auto"/>
              <w:textAlignment w:val="auto"/>
              <w:rPr>
                <w:rFonts w:eastAsia="Times New Roman" w:cs="Times New Roman"/>
                <w:color w:val="auto"/>
                <w:sz w:val="20"/>
                <w:szCs w:val="20"/>
              </w:rPr>
            </w:pPr>
          </w:p>
        </w:tc>
        <w:tc>
          <w:tcPr>
            <w:tcW w:w="4881" w:type="dxa"/>
            <w:hideMark/>
          </w:tcPr>
          <w:p w:rsidRPr="00137393" w:rsidR="00094694" w:rsidP="00D052EF" w:rsidRDefault="00094694" w14:paraId="14DCC899" w14:textId="77777777">
            <w:pPr>
              <w:autoSpaceDN/>
              <w:spacing w:line="240" w:lineRule="auto"/>
              <w:textAlignment w:val="auto"/>
              <w:rPr>
                <w:rFonts w:eastAsia="Times New Roman" w:cs="Calibri"/>
                <w:color w:val="auto"/>
                <w:sz w:val="16"/>
                <w:szCs w:val="16"/>
              </w:rPr>
            </w:pPr>
            <w:r w:rsidRPr="00EA78AC">
              <w:rPr>
                <w:rFonts w:eastAsia="Times New Roman" w:cs="Calibri"/>
                <w:color w:val="auto"/>
                <w:sz w:val="16"/>
                <w:szCs w:val="16"/>
              </w:rPr>
              <w:t>H3: Europees Landbouwgarantiefonds (ELGF)</w:t>
            </w:r>
          </w:p>
        </w:tc>
        <w:tc>
          <w:tcPr>
            <w:tcW w:w="764" w:type="dxa"/>
          </w:tcPr>
          <w:p w:rsidRPr="00137393" w:rsidR="00094694" w:rsidP="00D052EF" w:rsidRDefault="00094694" w14:paraId="75084981" w14:textId="77777777">
            <w:pPr>
              <w:autoSpaceDN/>
              <w:spacing w:line="240" w:lineRule="auto"/>
              <w:jc w:val="right"/>
              <w:textAlignment w:val="auto"/>
              <w:rPr>
                <w:rFonts w:eastAsia="Times New Roman" w:cs="Calibri"/>
                <w:color w:val="auto"/>
                <w:sz w:val="16"/>
                <w:szCs w:val="16"/>
              </w:rPr>
            </w:pPr>
            <w:r w:rsidRPr="00EA78AC">
              <w:rPr>
                <w:rFonts w:eastAsia="Times New Roman" w:cs="Calibri"/>
                <w:color w:val="auto"/>
                <w:sz w:val="16"/>
                <w:szCs w:val="16"/>
              </w:rPr>
              <w:t>40</w:t>
            </w:r>
          </w:p>
        </w:tc>
        <w:tc>
          <w:tcPr>
            <w:tcW w:w="1843" w:type="dxa"/>
          </w:tcPr>
          <w:p w:rsidRPr="00137393" w:rsidR="00094694" w:rsidP="00D052EF" w:rsidRDefault="00094694" w14:paraId="59F8D558" w14:textId="77777777">
            <w:pPr>
              <w:autoSpaceDN/>
              <w:spacing w:line="240" w:lineRule="auto"/>
              <w:jc w:val="right"/>
              <w:textAlignment w:val="auto"/>
              <w:rPr>
                <w:rFonts w:eastAsia="Times New Roman" w:cs="Calibri"/>
                <w:color w:val="auto"/>
                <w:sz w:val="16"/>
                <w:szCs w:val="16"/>
              </w:rPr>
            </w:pPr>
            <w:r w:rsidRPr="00EA78AC">
              <w:rPr>
                <w:rFonts w:eastAsia="Times New Roman" w:cs="Calibri"/>
                <w:color w:val="auto"/>
                <w:sz w:val="16"/>
                <w:szCs w:val="16"/>
              </w:rPr>
              <w:t>40</w:t>
            </w:r>
          </w:p>
        </w:tc>
      </w:tr>
      <w:tr w:rsidRPr="00137393" w:rsidR="00094694" w:rsidTr="00D052EF" w14:paraId="3307DA40" w14:textId="77777777">
        <w:trPr>
          <w:trHeight w:val="454"/>
        </w:trPr>
        <w:tc>
          <w:tcPr>
            <w:tcW w:w="197" w:type="dxa"/>
            <w:tcBorders>
              <w:top w:val="nil"/>
              <w:left w:val="nil"/>
              <w:bottom w:val="nil"/>
              <w:right w:val="nil"/>
            </w:tcBorders>
            <w:vAlign w:val="bottom"/>
          </w:tcPr>
          <w:p w:rsidRPr="00137393" w:rsidR="00094694" w:rsidP="00D052EF" w:rsidRDefault="00094694" w14:paraId="1791421D" w14:textId="77777777">
            <w:pPr>
              <w:autoSpaceDN/>
              <w:spacing w:line="240" w:lineRule="auto"/>
              <w:textAlignment w:val="auto"/>
              <w:rPr>
                <w:rFonts w:eastAsia="Times New Roman" w:cs="Times New Roman"/>
                <w:color w:val="auto"/>
                <w:sz w:val="20"/>
                <w:szCs w:val="20"/>
                <w:highlight w:val="yellow"/>
              </w:rPr>
            </w:pPr>
          </w:p>
        </w:tc>
        <w:tc>
          <w:tcPr>
            <w:tcW w:w="4881" w:type="dxa"/>
          </w:tcPr>
          <w:p w:rsidRPr="00137393" w:rsidR="00094694" w:rsidP="00D052EF" w:rsidRDefault="00094694" w14:paraId="3AA20929" w14:textId="77777777">
            <w:pPr>
              <w:autoSpaceDN/>
              <w:spacing w:line="240" w:lineRule="auto"/>
              <w:textAlignment w:val="auto"/>
              <w:rPr>
                <w:rFonts w:eastAsia="Times New Roman" w:cs="Calibri"/>
                <w:color w:val="auto"/>
                <w:sz w:val="16"/>
                <w:szCs w:val="16"/>
              </w:rPr>
            </w:pPr>
            <w:r w:rsidRPr="002A171D">
              <w:rPr>
                <w:rFonts w:eastAsia="Times New Roman" w:cs="Calibri"/>
                <w:color w:val="auto"/>
                <w:sz w:val="16"/>
                <w:szCs w:val="16"/>
              </w:rPr>
              <w:t>Aanvullende aanpassingen voor gedecentraliseerde agentschappen</w:t>
            </w:r>
          </w:p>
        </w:tc>
        <w:tc>
          <w:tcPr>
            <w:tcW w:w="764" w:type="dxa"/>
          </w:tcPr>
          <w:p w:rsidRPr="00137393" w:rsidR="00094694" w:rsidP="00D052EF" w:rsidRDefault="00094694" w14:paraId="75462D54" w14:textId="77777777">
            <w:pPr>
              <w:autoSpaceDN/>
              <w:spacing w:line="240" w:lineRule="auto"/>
              <w:jc w:val="right"/>
              <w:textAlignment w:val="auto"/>
              <w:rPr>
                <w:rFonts w:eastAsia="Times New Roman" w:cs="Calibri"/>
                <w:color w:val="auto"/>
                <w:sz w:val="16"/>
                <w:szCs w:val="16"/>
              </w:rPr>
            </w:pPr>
          </w:p>
        </w:tc>
        <w:tc>
          <w:tcPr>
            <w:tcW w:w="1843" w:type="dxa"/>
          </w:tcPr>
          <w:p w:rsidRPr="00137393" w:rsidR="00094694" w:rsidP="00D052EF" w:rsidRDefault="00094694" w14:paraId="2045DBA4" w14:textId="77777777">
            <w:pPr>
              <w:autoSpaceDN/>
              <w:spacing w:line="240" w:lineRule="auto"/>
              <w:jc w:val="right"/>
              <w:textAlignment w:val="auto"/>
              <w:rPr>
                <w:rFonts w:eastAsia="Times New Roman" w:cs="Calibri"/>
                <w:color w:val="auto"/>
                <w:sz w:val="16"/>
                <w:szCs w:val="16"/>
              </w:rPr>
            </w:pPr>
            <w:r>
              <w:rPr>
                <w:rFonts w:eastAsia="Times New Roman" w:cs="Calibri"/>
                <w:color w:val="auto"/>
                <w:sz w:val="16"/>
                <w:szCs w:val="16"/>
              </w:rPr>
              <w:t>-0,6</w:t>
            </w:r>
          </w:p>
        </w:tc>
      </w:tr>
      <w:tr w:rsidRPr="00137393" w:rsidR="00094694" w:rsidTr="00D052EF" w14:paraId="3EB20ABA" w14:textId="77777777">
        <w:trPr>
          <w:trHeight w:val="300"/>
        </w:trPr>
        <w:tc>
          <w:tcPr>
            <w:tcW w:w="197" w:type="dxa"/>
            <w:tcBorders>
              <w:top w:val="single" w:color="auto" w:sz="4" w:space="0"/>
              <w:left w:val="nil"/>
              <w:bottom w:val="nil"/>
              <w:right w:val="nil"/>
            </w:tcBorders>
            <w:vAlign w:val="center"/>
            <w:hideMark/>
          </w:tcPr>
          <w:p w:rsidRPr="00137393" w:rsidR="00094694" w:rsidP="00D052EF" w:rsidRDefault="00094694" w14:paraId="4F4CA184" w14:textId="77777777">
            <w:pPr>
              <w:autoSpaceDN/>
              <w:spacing w:line="240" w:lineRule="auto"/>
              <w:jc w:val="center"/>
              <w:textAlignment w:val="auto"/>
              <w:rPr>
                <w:rFonts w:eastAsia="Times New Roman" w:cs="Calibri"/>
                <w:color w:val="auto"/>
                <w:sz w:val="16"/>
                <w:szCs w:val="16"/>
              </w:rPr>
            </w:pPr>
          </w:p>
        </w:tc>
        <w:tc>
          <w:tcPr>
            <w:tcW w:w="4880" w:type="dxa"/>
            <w:tcBorders>
              <w:top w:val="single" w:color="auto" w:sz="4" w:space="0"/>
              <w:left w:val="nil"/>
              <w:bottom w:val="nil"/>
              <w:right w:val="nil"/>
            </w:tcBorders>
            <w:vAlign w:val="center"/>
            <w:hideMark/>
          </w:tcPr>
          <w:p w:rsidRPr="00137393" w:rsidR="00094694" w:rsidP="00D052EF" w:rsidRDefault="00094694" w14:paraId="49DD1DBE" w14:textId="77777777">
            <w:pPr>
              <w:autoSpaceDN/>
              <w:spacing w:line="240" w:lineRule="auto"/>
              <w:textAlignment w:val="auto"/>
              <w:rPr>
                <w:rFonts w:eastAsia="Times New Roman" w:cs="Calibri"/>
                <w:b/>
                <w:bCs/>
                <w:color w:val="auto"/>
                <w:sz w:val="16"/>
                <w:szCs w:val="16"/>
              </w:rPr>
            </w:pPr>
            <w:r w:rsidRPr="00137393">
              <w:rPr>
                <w:rFonts w:eastAsia="Times New Roman" w:cs="Calibri"/>
                <w:b/>
                <w:bCs/>
                <w:color w:val="auto"/>
                <w:sz w:val="16"/>
                <w:szCs w:val="16"/>
              </w:rPr>
              <w:t xml:space="preserve">Totaal </w:t>
            </w:r>
          </w:p>
        </w:tc>
        <w:tc>
          <w:tcPr>
            <w:tcW w:w="764" w:type="dxa"/>
            <w:tcBorders>
              <w:top w:val="single" w:color="auto" w:sz="4" w:space="0"/>
              <w:left w:val="nil"/>
              <w:bottom w:val="nil"/>
              <w:right w:val="nil"/>
            </w:tcBorders>
            <w:vAlign w:val="bottom"/>
          </w:tcPr>
          <w:p w:rsidRPr="00137393" w:rsidR="00094694" w:rsidP="00D052EF" w:rsidRDefault="00094694" w14:paraId="42CAE53B" w14:textId="77777777">
            <w:pPr>
              <w:autoSpaceDN/>
              <w:spacing w:line="240" w:lineRule="auto"/>
              <w:jc w:val="right"/>
              <w:textAlignment w:val="auto"/>
              <w:rPr>
                <w:rFonts w:eastAsia="Times New Roman" w:cs="Calibri"/>
                <w:b/>
                <w:bCs/>
                <w:color w:val="auto"/>
                <w:sz w:val="16"/>
                <w:szCs w:val="16"/>
              </w:rPr>
            </w:pPr>
            <w:r>
              <w:rPr>
                <w:rFonts w:eastAsia="Times New Roman" w:cs="Calibri"/>
                <w:b/>
                <w:bCs/>
                <w:color w:val="auto"/>
                <w:sz w:val="16"/>
                <w:szCs w:val="16"/>
              </w:rPr>
              <w:t>2.180</w:t>
            </w:r>
          </w:p>
        </w:tc>
        <w:tc>
          <w:tcPr>
            <w:tcW w:w="1843" w:type="dxa"/>
            <w:tcBorders>
              <w:top w:val="single" w:color="auto" w:sz="4" w:space="0"/>
              <w:left w:val="nil"/>
              <w:bottom w:val="nil"/>
              <w:right w:val="nil"/>
            </w:tcBorders>
            <w:vAlign w:val="bottom"/>
          </w:tcPr>
          <w:p w:rsidRPr="00137393" w:rsidR="00094694" w:rsidP="00D052EF" w:rsidRDefault="00094694" w14:paraId="7CC8CECA" w14:textId="77777777">
            <w:pPr>
              <w:autoSpaceDN/>
              <w:spacing w:line="240" w:lineRule="auto"/>
              <w:jc w:val="right"/>
              <w:textAlignment w:val="auto"/>
              <w:rPr>
                <w:rFonts w:eastAsia="Times New Roman" w:cs="Calibri"/>
                <w:b/>
                <w:bCs/>
                <w:color w:val="auto"/>
                <w:sz w:val="16"/>
                <w:szCs w:val="16"/>
              </w:rPr>
            </w:pPr>
            <w:r>
              <w:rPr>
                <w:rFonts w:eastAsia="Times New Roman" w:cs="Calibri"/>
                <w:b/>
                <w:bCs/>
                <w:color w:val="auto"/>
                <w:sz w:val="16"/>
                <w:szCs w:val="16"/>
              </w:rPr>
              <w:t>4.162</w:t>
            </w:r>
          </w:p>
        </w:tc>
      </w:tr>
    </w:tbl>
    <w:p w:rsidRPr="00137393" w:rsidR="00094694" w:rsidP="00094694" w:rsidRDefault="00094694" w14:paraId="4F525869" w14:textId="77777777">
      <w:pPr>
        <w:rPr>
          <w:color w:val="auto"/>
          <w:sz w:val="14"/>
          <w:szCs w:val="14"/>
        </w:rPr>
      </w:pPr>
      <w:r w:rsidRPr="00137393">
        <w:rPr>
          <w:color w:val="auto"/>
          <w:sz w:val="14"/>
          <w:szCs w:val="14"/>
        </w:rPr>
        <w:t>*Vastleggingen</w:t>
      </w:r>
    </w:p>
    <w:p w:rsidRPr="00137393" w:rsidR="00094694" w:rsidP="00094694" w:rsidRDefault="00094694" w14:paraId="2516A1FE" w14:textId="77777777">
      <w:pPr>
        <w:rPr>
          <w:color w:val="auto"/>
          <w:sz w:val="14"/>
          <w:szCs w:val="14"/>
        </w:rPr>
      </w:pPr>
      <w:r w:rsidRPr="00137393">
        <w:rPr>
          <w:color w:val="auto"/>
          <w:sz w:val="14"/>
          <w:szCs w:val="14"/>
        </w:rPr>
        <w:t>**Betalingen</w:t>
      </w:r>
    </w:p>
    <w:p w:rsidRPr="00137393" w:rsidR="00094694" w:rsidP="00094694" w:rsidRDefault="00094694" w14:paraId="70514BB0" w14:textId="77777777">
      <w:pPr>
        <w:rPr>
          <w:color w:val="auto"/>
          <w:sz w:val="14"/>
          <w:szCs w:val="14"/>
        </w:rPr>
      </w:pPr>
    </w:p>
    <w:p w:rsidRPr="00B54F9D" w:rsidR="00094694" w:rsidP="00094694" w:rsidRDefault="00094694" w14:paraId="79D18489" w14:textId="77777777">
      <w:r w:rsidRPr="00B54F9D">
        <w:t xml:space="preserve">De Commissie stelt </w:t>
      </w:r>
      <w:r>
        <w:t xml:space="preserve">onder meer </w:t>
      </w:r>
      <w:r w:rsidRPr="00B54F9D">
        <w:t xml:space="preserve">voor om de betalingskredieten voor het Europees Fonds voor Regionale Ontwikkeling (EFRO) en het Europees Sociaal Fonds Plus (ESF+) met </w:t>
      </w:r>
      <w:r>
        <w:t xml:space="preserve">ca. </w:t>
      </w:r>
      <w:r w:rsidRPr="00B54F9D">
        <w:t xml:space="preserve">4 mld. euro te verhogen en die voor het Europees Landbouwfonds voor Plattelandsontwikkeling (ELFPO) met 206 mln. </w:t>
      </w:r>
      <w:r w:rsidR="00292EF9">
        <w:t>e</w:t>
      </w:r>
      <w:r w:rsidRPr="00B54F9D">
        <w:t>uro</w:t>
      </w:r>
      <w:r w:rsidR="00292EF9">
        <w:t xml:space="preserve"> te verhogen</w:t>
      </w:r>
      <w:r w:rsidRPr="00B54F9D">
        <w:t xml:space="preserve">. </w:t>
      </w:r>
      <w:r w:rsidRPr="00E01267">
        <w:t xml:space="preserve">Dit komt door de voortvarende uitvoering van cohesieprogramma’s en de achterstand aan betalingsaanvragen uit 2025, waardoor de betalingsbehoeften </w:t>
      </w:r>
      <w:r>
        <w:t xml:space="preserve">in 2026 </w:t>
      </w:r>
      <w:r w:rsidRPr="00E01267">
        <w:t>hoger uitvallen dan eerder geraamd.</w:t>
      </w:r>
      <w:r>
        <w:t xml:space="preserve"> </w:t>
      </w:r>
      <w:r w:rsidRPr="00B54F9D">
        <w:t>Met de extra middelen wil de Commissie de achterstand in betalingsaanvragen voor cohesie verkleinen en de resterende betalingsbehoeften voor plattelandsontwikkeling opvangen. Hierdoor wordt ook de druk op de EU-begroting voor 2027 beperkt.</w:t>
      </w:r>
    </w:p>
    <w:p w:rsidR="00094694" w:rsidP="00094694" w:rsidRDefault="00094694" w14:paraId="75D687A8" w14:textId="77777777">
      <w:pPr>
        <w:rPr>
          <w:color w:val="auto"/>
        </w:rPr>
      </w:pPr>
    </w:p>
    <w:p w:rsidR="00094694" w:rsidP="00094694" w:rsidRDefault="00094694" w14:paraId="421F3D07" w14:textId="77777777">
      <w:pPr>
        <w:rPr>
          <w:color w:val="auto"/>
        </w:rPr>
      </w:pPr>
      <w:r>
        <w:rPr>
          <w:color w:val="auto"/>
        </w:rPr>
        <w:t>Hiernaast wordt voorgesteld</w:t>
      </w:r>
      <w:r w:rsidRPr="006E6622">
        <w:rPr>
          <w:color w:val="auto"/>
        </w:rPr>
        <w:t xml:space="preserve"> om </w:t>
      </w:r>
      <w:r>
        <w:rPr>
          <w:color w:val="auto"/>
        </w:rPr>
        <w:t xml:space="preserve">de </w:t>
      </w:r>
      <w:r w:rsidRPr="006E6622">
        <w:rPr>
          <w:color w:val="auto"/>
        </w:rPr>
        <w:t>c</w:t>
      </w:r>
      <w:r>
        <w:rPr>
          <w:color w:val="auto"/>
        </w:rPr>
        <w:t>a.</w:t>
      </w:r>
      <w:r w:rsidRPr="006E6622">
        <w:rPr>
          <w:color w:val="auto"/>
        </w:rPr>
        <w:t xml:space="preserve"> 2,2 mld. euro aan eerder </w:t>
      </w:r>
      <w:r>
        <w:rPr>
          <w:color w:val="auto"/>
        </w:rPr>
        <w:t>opgeschorte</w:t>
      </w:r>
      <w:r w:rsidRPr="006E6622">
        <w:rPr>
          <w:color w:val="auto"/>
        </w:rPr>
        <w:t xml:space="preserve"> begrotingsmiddelen voor Hongarije uit 2024 en 2025 beschikbaar te stellen. </w:t>
      </w:r>
      <w:r>
        <w:rPr>
          <w:color w:val="auto"/>
        </w:rPr>
        <w:t xml:space="preserve">Dit volgt uit het uitvoeringsbesluit van de Raad, aangenomen op 13 oktober jl., waarin is geconcludeerd dat Hongarije </w:t>
      </w:r>
      <w:r w:rsidRPr="004D516C">
        <w:rPr>
          <w:color w:val="auto"/>
        </w:rPr>
        <w:t>met haar corrigerende maatregelen in zijn geheel bezien op effectieve wijze tegemoetkomt aan eerder geconstateerde zorgen t.a.v. de rechtsstaat.</w:t>
      </w:r>
      <w:r>
        <w:rPr>
          <w:color w:val="auto"/>
        </w:rPr>
        <w:t xml:space="preserve"> </w:t>
      </w:r>
      <w:r w:rsidRPr="006E6622">
        <w:rPr>
          <w:color w:val="auto"/>
        </w:rPr>
        <w:t>De geschorste middelen uit 2022 en 2023 kunnen niet meer worden hersteld, omdat deze definitief zijn vervallen.</w:t>
      </w:r>
    </w:p>
    <w:p w:rsidR="00094694" w:rsidP="00094694" w:rsidRDefault="00094694" w14:paraId="43751F44" w14:textId="77777777">
      <w:pPr>
        <w:rPr>
          <w:color w:val="auto"/>
        </w:rPr>
      </w:pPr>
    </w:p>
    <w:p w:rsidR="00094694" w:rsidP="00094694" w:rsidRDefault="00094694" w14:paraId="7F3D58DA" w14:textId="77777777">
      <w:pPr>
        <w:rPr>
          <w:color w:val="auto"/>
        </w:rPr>
      </w:pPr>
      <w:r w:rsidRPr="000F0F81">
        <w:rPr>
          <w:color w:val="auto"/>
        </w:rPr>
        <w:t xml:space="preserve">Daarnaast worden de vastleggingskredieten voor duurzame partnerschapsovereenkomsten </w:t>
      </w:r>
      <w:proofErr w:type="gramStart"/>
      <w:r w:rsidRPr="000F0F81">
        <w:rPr>
          <w:color w:val="auto"/>
        </w:rPr>
        <w:t>inzake</w:t>
      </w:r>
      <w:proofErr w:type="gramEnd"/>
      <w:r w:rsidRPr="000F0F81">
        <w:rPr>
          <w:color w:val="auto"/>
        </w:rPr>
        <w:t xml:space="preserve"> visserij met 107,7 mln. euro en de betalingskredieten met 82,9 mln. euro verlaagd. Dit komt doordat de protocollen met Gabon, Mauritanië en Marokko naar verwachting niet in 2026 worden ondertekend, terwijl dit eerder wel was voorzien. Ook vallen de uitgaven voor regionale organisaties voor visserijbeheer lager uit dan geraamd, wat leidt tot een overschot van 0,8 mln. euro aan vastleggingskredieten en 0,2 mln. euro aan betalingskredieten.</w:t>
      </w:r>
    </w:p>
    <w:p w:rsidRPr="00E951B1" w:rsidR="00094694" w:rsidP="00094694" w:rsidRDefault="00094694" w14:paraId="6F86ABA3" w14:textId="77777777">
      <w:pPr>
        <w:rPr>
          <w:i/>
          <w:iCs/>
          <w:color w:val="auto"/>
        </w:rPr>
      </w:pPr>
    </w:p>
    <w:p w:rsidR="00094694" w:rsidP="00094694" w:rsidRDefault="00292EF9" w14:paraId="1C738394" w14:textId="77777777">
      <w:pPr>
        <w:rPr>
          <w:color w:val="auto"/>
        </w:rPr>
      </w:pPr>
      <w:r>
        <w:rPr>
          <w:color w:val="auto"/>
        </w:rPr>
        <w:t>Tot slot</w:t>
      </w:r>
      <w:r w:rsidRPr="00022032" w:rsidR="00094694">
        <w:rPr>
          <w:color w:val="auto"/>
        </w:rPr>
        <w:t xml:space="preserve"> presenteert de Commissie in DAB3 een stijging van de inkomsten uit boetes en strafbetalingen die tot oktober 2026 zijn betaald aan de EU. Deze stijging bedraagt </w:t>
      </w:r>
      <w:r w:rsidR="00094694">
        <w:rPr>
          <w:color w:val="auto"/>
        </w:rPr>
        <w:t xml:space="preserve">ca. </w:t>
      </w:r>
      <w:r w:rsidRPr="00022032" w:rsidR="00094694">
        <w:rPr>
          <w:color w:val="auto"/>
        </w:rPr>
        <w:t>4,8 mld. euro, waarmee de totale ontvangsten uit boetes en strafbetalingen uitkomen op ca</w:t>
      </w:r>
      <w:r w:rsidR="00094694">
        <w:rPr>
          <w:color w:val="auto"/>
        </w:rPr>
        <w:t>.</w:t>
      </w:r>
      <w:r w:rsidRPr="00022032" w:rsidR="00094694">
        <w:rPr>
          <w:color w:val="auto"/>
        </w:rPr>
        <w:t xml:space="preserve"> 6,1 mld. euro. Dit is grotendeels toe te schrijven aan boetes in het kader van de handhaving van mededingingsregels (</w:t>
      </w:r>
      <w:r w:rsidR="00094694">
        <w:rPr>
          <w:color w:val="auto"/>
        </w:rPr>
        <w:t xml:space="preserve">ca. </w:t>
      </w:r>
      <w:r w:rsidRPr="00022032" w:rsidR="00094694">
        <w:rPr>
          <w:color w:val="auto"/>
        </w:rPr>
        <w:t xml:space="preserve">4,1 mld. euro). Daarnaast vallen de ontvangsten uit traditionele eigen middelen, voornamelijk invoerrechten, </w:t>
      </w:r>
      <w:r w:rsidR="00094694">
        <w:rPr>
          <w:color w:val="auto"/>
        </w:rPr>
        <w:t xml:space="preserve">ca. </w:t>
      </w:r>
      <w:r w:rsidRPr="00022032" w:rsidR="00094694">
        <w:rPr>
          <w:color w:val="auto"/>
        </w:rPr>
        <w:t>1,1 mld. euro hoger uit dan eerder geraamd.</w:t>
      </w:r>
    </w:p>
    <w:p w:rsidRPr="00137393" w:rsidR="00094694" w:rsidP="00094694" w:rsidRDefault="00094694" w14:paraId="168B85E2" w14:textId="77777777">
      <w:pPr>
        <w:rPr>
          <w:i/>
          <w:iCs/>
          <w:color w:val="auto"/>
        </w:rPr>
      </w:pPr>
    </w:p>
    <w:p w:rsidRPr="0016231E" w:rsidR="00094694" w:rsidP="00094694" w:rsidRDefault="00094694" w14:paraId="019BDCA9" w14:textId="77777777">
      <w:pPr>
        <w:rPr>
          <w:i/>
          <w:iCs/>
          <w:color w:val="auto"/>
        </w:rPr>
      </w:pPr>
      <w:r w:rsidRPr="0016231E">
        <w:rPr>
          <w:i/>
          <w:iCs/>
          <w:color w:val="auto"/>
        </w:rPr>
        <w:t xml:space="preserve">Gevolgen voor de Nederlandse afdrachten </w:t>
      </w:r>
    </w:p>
    <w:p w:rsidR="00094694" w:rsidP="71601AD3" w:rsidRDefault="71601AD3" w14:paraId="536D03A7" w14:textId="77777777">
      <w:pPr>
        <w:rPr>
          <w:color w:val="auto"/>
        </w:rPr>
      </w:pPr>
      <w:r w:rsidRPr="71601AD3">
        <w:rPr>
          <w:color w:val="auto"/>
        </w:rPr>
        <w:t xml:space="preserve">Doordat bij DAB3 de stijging van de inkomsten hoger is dan de stijging van de betalingen, dalen de totale </w:t>
      </w:r>
      <w:proofErr w:type="spellStart"/>
      <w:r w:rsidRPr="71601AD3">
        <w:rPr>
          <w:color w:val="auto"/>
        </w:rPr>
        <w:t>bni</w:t>
      </w:r>
      <w:proofErr w:type="spellEnd"/>
      <w:r w:rsidRPr="71601AD3">
        <w:rPr>
          <w:color w:val="auto"/>
        </w:rPr>
        <w:t xml:space="preserve">-afdrachten van de lidstaten voor 2026 per saldo met ca. 1,7 mld. euro. Voor Nederland betekent dit, op basis van het </w:t>
      </w:r>
      <w:proofErr w:type="spellStart"/>
      <w:r w:rsidRPr="71601AD3">
        <w:rPr>
          <w:color w:val="auto"/>
        </w:rPr>
        <w:t>bni</w:t>
      </w:r>
      <w:proofErr w:type="spellEnd"/>
      <w:r w:rsidRPr="71601AD3">
        <w:rPr>
          <w:color w:val="auto"/>
        </w:rPr>
        <w:t xml:space="preserve">-aandeel van ca. 6,2%, een verlaging van de </w:t>
      </w:r>
      <w:proofErr w:type="spellStart"/>
      <w:r w:rsidRPr="71601AD3">
        <w:rPr>
          <w:color w:val="auto"/>
        </w:rPr>
        <w:t>bni</w:t>
      </w:r>
      <w:proofErr w:type="spellEnd"/>
      <w:r w:rsidRPr="71601AD3">
        <w:rPr>
          <w:color w:val="auto"/>
        </w:rPr>
        <w:t xml:space="preserve">-afdracht met 106,2 mln. euro. </w:t>
      </w:r>
    </w:p>
    <w:p w:rsidR="00094694" w:rsidP="00094694" w:rsidRDefault="00094694" w14:paraId="183209B8" w14:textId="77777777">
      <w:pPr>
        <w:rPr>
          <w:color w:val="auto"/>
        </w:rPr>
      </w:pPr>
    </w:p>
    <w:p w:rsidRPr="00292EF9" w:rsidR="00094694" w:rsidP="00094694" w:rsidRDefault="00094694" w14:paraId="52AB93EF" w14:textId="77777777">
      <w:pPr>
        <w:rPr>
          <w:color w:val="auto"/>
        </w:rPr>
      </w:pPr>
      <w:r>
        <w:rPr>
          <w:color w:val="auto"/>
        </w:rPr>
        <w:t xml:space="preserve">Aangezien DAB3 naar verwachting de laatste </w:t>
      </w:r>
      <w:r w:rsidRPr="003D0ADB">
        <w:rPr>
          <w:color w:val="auto"/>
        </w:rPr>
        <w:t>aanvullende Europese begroting</w:t>
      </w:r>
      <w:r>
        <w:rPr>
          <w:color w:val="auto"/>
        </w:rPr>
        <w:t xml:space="preserve"> voor dit jaar zal zijn, </w:t>
      </w:r>
      <w:r w:rsidRPr="003D0ADB">
        <w:rPr>
          <w:color w:val="auto"/>
        </w:rPr>
        <w:t>wordt de marge</w:t>
      </w:r>
      <w:r>
        <w:rPr>
          <w:color w:val="auto"/>
        </w:rPr>
        <w:t xml:space="preserve"> die</w:t>
      </w:r>
      <w:r w:rsidRPr="003D0ADB">
        <w:rPr>
          <w:color w:val="auto"/>
        </w:rPr>
        <w:t xml:space="preserve"> </w:t>
      </w:r>
      <w:r>
        <w:rPr>
          <w:color w:val="auto"/>
        </w:rPr>
        <w:t xml:space="preserve">voor 2026 </w:t>
      </w:r>
      <w:r w:rsidRPr="003D0ADB">
        <w:rPr>
          <w:color w:val="auto"/>
        </w:rPr>
        <w:t>in de Nederlandse afdrachtenraming</w:t>
      </w:r>
      <w:r>
        <w:rPr>
          <w:color w:val="auto"/>
        </w:rPr>
        <w:t xml:space="preserve"> is aangehouden</w:t>
      </w:r>
      <w:r w:rsidRPr="003D0ADB">
        <w:rPr>
          <w:color w:val="auto"/>
        </w:rPr>
        <w:t xml:space="preserve"> afgeboekt. </w:t>
      </w:r>
      <w:r>
        <w:rPr>
          <w:color w:val="auto"/>
        </w:rPr>
        <w:t>Nederland hield op EU-niveau rekening m</w:t>
      </w:r>
      <w:r w:rsidRPr="003D0ADB">
        <w:rPr>
          <w:color w:val="auto"/>
        </w:rPr>
        <w:t xml:space="preserve">et </w:t>
      </w:r>
      <w:r>
        <w:rPr>
          <w:color w:val="auto"/>
        </w:rPr>
        <w:t xml:space="preserve">een </w:t>
      </w:r>
      <w:r w:rsidRPr="003D0ADB">
        <w:rPr>
          <w:color w:val="auto"/>
        </w:rPr>
        <w:t>marge van 2,7 miljard euro</w:t>
      </w:r>
      <w:r>
        <w:rPr>
          <w:color w:val="auto"/>
        </w:rPr>
        <w:t xml:space="preserve">. </w:t>
      </w:r>
      <w:r w:rsidRPr="003D0ADB">
        <w:rPr>
          <w:color w:val="auto"/>
        </w:rPr>
        <w:t>Het afboeken van de marge leidt tot een verlaging van de geraamde Nederlandse afdracht met 168 miljoen euro.</w:t>
      </w:r>
      <w:r>
        <w:rPr>
          <w:color w:val="auto"/>
        </w:rPr>
        <w:t xml:space="preserve"> De marge betreft het verschil tussen het geraamde betalingenniveau en het maximale betalingenplafond dat is vastgesteld in het MFK. Deze marge is bedoeld om </w:t>
      </w:r>
      <w:r w:rsidRPr="003D0ADB">
        <w:rPr>
          <w:color w:val="auto"/>
        </w:rPr>
        <w:t>mogelijke ophogingen van de betalingskredieten gedurende het jaar</w:t>
      </w:r>
      <w:r>
        <w:rPr>
          <w:color w:val="auto"/>
        </w:rPr>
        <w:t xml:space="preserve"> op te vangen</w:t>
      </w:r>
      <w:r w:rsidRPr="003D0ADB">
        <w:rPr>
          <w:color w:val="auto"/>
        </w:rPr>
        <w:t xml:space="preserve">. </w:t>
      </w:r>
      <w:r>
        <w:rPr>
          <w:color w:val="auto"/>
        </w:rPr>
        <w:t>Uw</w:t>
      </w:r>
      <w:r w:rsidRPr="003D0ADB">
        <w:rPr>
          <w:color w:val="auto"/>
        </w:rPr>
        <w:t xml:space="preserve"> Kamer </w:t>
      </w:r>
      <w:r>
        <w:rPr>
          <w:color w:val="auto"/>
        </w:rPr>
        <w:t>is hierover op 15 september jl.</w:t>
      </w:r>
      <w:r>
        <w:rPr>
          <w:rStyle w:val="Voetnootmarkering"/>
          <w:color w:val="auto"/>
        </w:rPr>
        <w:footnoteReference w:id="5"/>
      </w:r>
      <w:r w:rsidRPr="003D0ADB">
        <w:rPr>
          <w:color w:val="auto"/>
        </w:rPr>
        <w:t xml:space="preserve"> geïnformeerd</w:t>
      </w:r>
      <w:r>
        <w:rPr>
          <w:color w:val="auto"/>
        </w:rPr>
        <w:t>.</w:t>
      </w:r>
      <w:r w:rsidRPr="003D0ADB">
        <w:rPr>
          <w:color w:val="auto"/>
        </w:rPr>
        <w:t xml:space="preserve"> </w:t>
      </w:r>
      <w:r w:rsidRPr="000B7538">
        <w:rPr>
          <w:color w:val="auto"/>
        </w:rPr>
        <w:t>De verwachting is dat het Europees Parlement de DAB3 in november of uiterlijk december 2026 formeel zal goedkeuren</w:t>
      </w:r>
      <w:r>
        <w:rPr>
          <w:color w:val="auto"/>
        </w:rPr>
        <w:t>, waar</w:t>
      </w:r>
      <w:r w:rsidR="00292EF9">
        <w:rPr>
          <w:color w:val="auto"/>
        </w:rPr>
        <w:t>na</w:t>
      </w:r>
      <w:r>
        <w:rPr>
          <w:color w:val="auto"/>
        </w:rPr>
        <w:t xml:space="preserve"> de Commissie </w:t>
      </w:r>
      <w:r w:rsidR="00292EF9">
        <w:rPr>
          <w:color w:val="auto"/>
        </w:rPr>
        <w:t xml:space="preserve">naar verwachting </w:t>
      </w:r>
      <w:r>
        <w:rPr>
          <w:color w:val="auto"/>
        </w:rPr>
        <w:t xml:space="preserve">begin 2027 dit bedrag daadwerkelijk zal opvragen bij de lidstaten. </w:t>
      </w:r>
      <w:r w:rsidRPr="000B7538">
        <w:rPr>
          <w:color w:val="auto"/>
        </w:rPr>
        <w:t>De</w:t>
      </w:r>
      <w:r>
        <w:rPr>
          <w:color w:val="auto"/>
        </w:rPr>
        <w:t xml:space="preserve"> mutatie </w:t>
      </w:r>
      <w:r w:rsidRPr="000B7538">
        <w:rPr>
          <w:color w:val="auto"/>
        </w:rPr>
        <w:t xml:space="preserve">zal daarom </w:t>
      </w:r>
      <w:r>
        <w:rPr>
          <w:color w:val="auto"/>
        </w:rPr>
        <w:t>pas in 2027 worden doorgevoerd</w:t>
      </w:r>
      <w:r w:rsidR="00292EF9">
        <w:rPr>
          <w:color w:val="auto"/>
        </w:rPr>
        <w:t>.</w:t>
      </w:r>
    </w:p>
    <w:p w:rsidRPr="002376FA" w:rsidR="00094694" w:rsidP="00094694" w:rsidRDefault="00094694" w14:paraId="1B572B97" w14:textId="77777777">
      <w:pPr>
        <w:rPr>
          <w:i/>
          <w:iCs/>
          <w:color w:val="auto"/>
        </w:rPr>
      </w:pPr>
      <w:r w:rsidRPr="002376FA">
        <w:rPr>
          <w:i/>
          <w:iCs/>
          <w:color w:val="auto"/>
        </w:rPr>
        <w:t xml:space="preserve">Proces en krachtenveld </w:t>
      </w:r>
    </w:p>
    <w:p w:rsidRPr="00292EF9" w:rsidR="006A3C4F" w:rsidRDefault="00094694" w14:paraId="7A300BAE" w14:textId="77777777">
      <w:pPr>
        <w:rPr>
          <w:color w:val="auto"/>
        </w:rPr>
      </w:pPr>
      <w:r w:rsidRPr="002376FA">
        <w:rPr>
          <w:color w:val="auto"/>
        </w:rPr>
        <w:t xml:space="preserve">De behandeling van DAB3 in </w:t>
      </w:r>
      <w:proofErr w:type="spellStart"/>
      <w:r w:rsidRPr="002376FA">
        <w:rPr>
          <w:color w:val="auto"/>
        </w:rPr>
        <w:t>Coreper</w:t>
      </w:r>
      <w:proofErr w:type="spellEnd"/>
      <w:r w:rsidRPr="002376FA">
        <w:rPr>
          <w:color w:val="auto"/>
        </w:rPr>
        <w:t xml:space="preserve"> vindt plaats </w:t>
      </w:r>
      <w:r>
        <w:rPr>
          <w:color w:val="auto"/>
        </w:rPr>
        <w:t xml:space="preserve">in </w:t>
      </w:r>
      <w:r w:rsidRPr="006A0823">
        <w:rPr>
          <w:color w:val="auto"/>
        </w:rPr>
        <w:t>november</w:t>
      </w:r>
      <w:r w:rsidRPr="002376FA">
        <w:rPr>
          <w:color w:val="auto"/>
        </w:rPr>
        <w:t xml:space="preserve">. De Raad besluit met een gekwalificeerde meerderheid. Het kabinet is voornemens om in te stemmen met deze aanvullende begroting. De verwachting is dat alle lidstaten zullen instemmen. </w:t>
      </w:r>
      <w:r>
        <w:rPr>
          <w:color w:val="auto"/>
        </w:rPr>
        <w:t xml:space="preserve">De Commissie verwacht vervolgens eind november </w:t>
      </w:r>
      <w:r w:rsidRPr="000B7538" w:rsidR="00A44FF2">
        <w:rPr>
          <w:color w:val="auto"/>
        </w:rPr>
        <w:t xml:space="preserve">of uiterlijk december 2026 </w:t>
      </w:r>
      <w:r>
        <w:rPr>
          <w:color w:val="auto"/>
        </w:rPr>
        <w:t xml:space="preserve">in de plenaire vergadering van het Europees Parlement DAB3 aan te kunnen nemen. </w:t>
      </w:r>
    </w:p>
    <w:sectPr w:rsidRPr="00292EF9" w:rsidR="006A3C4F" w:rsidSect="00752268">
      <w:headerReference w:type="default" r:id="rId9"/>
      <w:pgSz w:w="11905" w:h="16837"/>
      <w:pgMar w:top="3095" w:right="1557" w:bottom="1432"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AE6A1" w14:textId="77777777" w:rsidR="00FC2C17" w:rsidRDefault="00FC2C17">
      <w:pPr>
        <w:spacing w:line="240" w:lineRule="auto"/>
      </w:pPr>
      <w:r>
        <w:separator/>
      </w:r>
    </w:p>
  </w:endnote>
  <w:endnote w:type="continuationSeparator" w:id="0">
    <w:p w14:paraId="5228A6CD" w14:textId="77777777" w:rsidR="00FC2C17" w:rsidRDefault="00FC2C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3294C" w14:textId="77777777" w:rsidR="00FC2C17" w:rsidRDefault="00FC2C17">
      <w:pPr>
        <w:pStyle w:val="Voetnoottekst"/>
      </w:pPr>
      <w:r>
        <w:separator/>
      </w:r>
    </w:p>
  </w:footnote>
  <w:footnote w:type="continuationSeparator" w:id="0">
    <w:p w14:paraId="0289A05B" w14:textId="77777777" w:rsidR="00FC2C17" w:rsidRDefault="00FC2C17">
      <w:pPr>
        <w:pStyle w:val="Voetnoottekst"/>
      </w:pPr>
    </w:p>
  </w:footnote>
  <w:footnote w:id="1">
    <w:p w14:paraId="2DF29474" w14:textId="77777777" w:rsidR="00094694" w:rsidRPr="004D37BE" w:rsidRDefault="00094694" w:rsidP="00094694">
      <w:pPr>
        <w:pStyle w:val="Voetnoottekst"/>
        <w:rPr>
          <w:sz w:val="16"/>
          <w:szCs w:val="16"/>
        </w:rPr>
      </w:pPr>
      <w:r w:rsidRPr="004D37BE">
        <w:rPr>
          <w:rStyle w:val="Voetnootmarkering"/>
          <w:sz w:val="16"/>
          <w:szCs w:val="16"/>
        </w:rPr>
        <w:footnoteRef/>
      </w:r>
      <w:r w:rsidRPr="004D37BE">
        <w:rPr>
          <w:sz w:val="16"/>
          <w:szCs w:val="16"/>
        </w:rPr>
        <w:t xml:space="preserve"> </w:t>
      </w:r>
      <w:hyperlink r:id="rId1" w:history="1">
        <w:r w:rsidRPr="004D37BE">
          <w:rPr>
            <w:rStyle w:val="Hyperlink"/>
            <w:sz w:val="16"/>
            <w:szCs w:val="16"/>
          </w:rPr>
          <w:t>https://zoek.officielebekendmakingen.nl/kst-21501-03-204.html</w:t>
        </w:r>
      </w:hyperlink>
      <w:r w:rsidRPr="004D37BE">
        <w:rPr>
          <w:sz w:val="16"/>
          <w:szCs w:val="16"/>
        </w:rPr>
        <w:t xml:space="preserve">. </w:t>
      </w:r>
    </w:p>
  </w:footnote>
  <w:footnote w:id="2">
    <w:p w14:paraId="4E35EED2" w14:textId="77777777" w:rsidR="00094694" w:rsidRPr="004D37BE" w:rsidRDefault="00094694" w:rsidP="00094694">
      <w:pPr>
        <w:pStyle w:val="Voetnoottekst"/>
        <w:rPr>
          <w:sz w:val="16"/>
          <w:szCs w:val="16"/>
        </w:rPr>
      </w:pPr>
      <w:r w:rsidRPr="004D37BE">
        <w:rPr>
          <w:rStyle w:val="Voetnootmarkering"/>
          <w:sz w:val="16"/>
          <w:szCs w:val="16"/>
        </w:rPr>
        <w:footnoteRef/>
      </w:r>
      <w:r w:rsidR="004D37BE">
        <w:rPr>
          <w:rStyle w:val="Hyperlink"/>
          <w:sz w:val="16"/>
          <w:szCs w:val="16"/>
        </w:rPr>
        <w:t xml:space="preserve"> </w:t>
      </w:r>
      <w:proofErr w:type="gramStart"/>
      <w:r w:rsidRPr="004D37BE">
        <w:rPr>
          <w:rStyle w:val="Hyperlink"/>
          <w:sz w:val="16"/>
          <w:szCs w:val="16"/>
        </w:rPr>
        <w:t>https://www.tweedekamer.nl/kamerstukken/brieven_regering/detail?id=2026Z21068&amp;did=2026D48593</w:t>
      </w:r>
      <w:proofErr w:type="gramEnd"/>
      <w:r w:rsidRPr="004D37BE">
        <w:rPr>
          <w:rStyle w:val="Hyperlink"/>
          <w:sz w:val="16"/>
          <w:szCs w:val="16"/>
        </w:rPr>
        <w:t>.</w:t>
      </w:r>
    </w:p>
  </w:footnote>
  <w:footnote w:id="3">
    <w:p w14:paraId="0617CF7A" w14:textId="77777777" w:rsidR="00094694" w:rsidRPr="00E864ED" w:rsidRDefault="00094694" w:rsidP="00094694">
      <w:pPr>
        <w:pStyle w:val="Voetnoottekst"/>
        <w:rPr>
          <w:sz w:val="14"/>
          <w:szCs w:val="14"/>
        </w:rPr>
      </w:pPr>
      <w:r w:rsidRPr="004D37BE">
        <w:rPr>
          <w:rStyle w:val="Voetnootmarkering"/>
          <w:sz w:val="16"/>
          <w:szCs w:val="16"/>
        </w:rPr>
        <w:footnoteRef/>
      </w:r>
      <w:r w:rsidRPr="004D37BE">
        <w:rPr>
          <w:sz w:val="16"/>
          <w:szCs w:val="16"/>
        </w:rPr>
        <w:t xml:space="preserve"> </w:t>
      </w:r>
      <w:proofErr w:type="gramStart"/>
      <w:r w:rsidRPr="004D37BE">
        <w:rPr>
          <w:sz w:val="16"/>
          <w:szCs w:val="16"/>
        </w:rPr>
        <w:t>https://www.europarl.europa.eu/news/en/press-room/20261018IPR48257/2027-eu-budget-focus-on-transport-energy-research-climate-and-agriculture</w:t>
      </w:r>
      <w:proofErr w:type="gramEnd"/>
      <w:r w:rsidRPr="004D37BE">
        <w:rPr>
          <w:sz w:val="16"/>
          <w:szCs w:val="16"/>
        </w:rPr>
        <w:t>.</w:t>
      </w:r>
    </w:p>
  </w:footnote>
  <w:footnote w:id="4">
    <w:p w14:paraId="5A7F1EFC" w14:textId="77777777" w:rsidR="00094694" w:rsidRPr="002C7781" w:rsidRDefault="00094694" w:rsidP="00094694">
      <w:pPr>
        <w:pStyle w:val="Voetnoottekst"/>
        <w:rPr>
          <w:sz w:val="16"/>
          <w:szCs w:val="16"/>
        </w:rPr>
      </w:pPr>
      <w:r w:rsidRPr="002C7781">
        <w:rPr>
          <w:rStyle w:val="Voetnootmarkering"/>
          <w:sz w:val="16"/>
          <w:szCs w:val="16"/>
        </w:rPr>
        <w:footnoteRef/>
      </w:r>
      <w:r w:rsidRPr="001105C4">
        <w:rPr>
          <w:sz w:val="16"/>
          <w:szCs w:val="16"/>
        </w:rPr>
        <w:t xml:space="preserve"> </w:t>
      </w:r>
      <w:r w:rsidRPr="002C7781">
        <w:rPr>
          <w:sz w:val="16"/>
          <w:szCs w:val="16"/>
        </w:rPr>
        <w:t>Kamerstuk 36045, nr. 267.</w:t>
      </w:r>
    </w:p>
  </w:footnote>
  <w:footnote w:id="5">
    <w:p w14:paraId="59D49511" w14:textId="77777777" w:rsidR="00094694" w:rsidRPr="00177282" w:rsidRDefault="00094694" w:rsidP="00094694">
      <w:pPr>
        <w:pStyle w:val="Voetnoottekst"/>
        <w:rPr>
          <w:sz w:val="16"/>
          <w:szCs w:val="16"/>
        </w:rPr>
      </w:pPr>
      <w:r w:rsidRPr="00177282">
        <w:rPr>
          <w:rStyle w:val="Voetnootmarkering"/>
          <w:sz w:val="16"/>
          <w:szCs w:val="16"/>
        </w:rPr>
        <w:footnoteRef/>
      </w:r>
      <w:r w:rsidR="00177282" w:rsidRPr="00177282">
        <w:rPr>
          <w:rStyle w:val="Hyperlink"/>
          <w:sz w:val="16"/>
          <w:szCs w:val="16"/>
        </w:rPr>
        <w:t xml:space="preserve"> </w:t>
      </w:r>
      <w:proofErr w:type="gramStart"/>
      <w:r w:rsidRPr="00177282">
        <w:rPr>
          <w:rStyle w:val="Hyperlink"/>
          <w:sz w:val="16"/>
          <w:szCs w:val="16"/>
        </w:rPr>
        <w:t>https://www.tweedekamer.nl/kamerstukken/brieven_regering/detail?id=2026Z18894&amp;did=2026D43533</w:t>
      </w:r>
      <w:proofErr w:type="gramEnd"/>
      <w:r w:rsidR="004D37BE">
        <w:rPr>
          <w:rStyle w:val="Hyperlink"/>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97CD4" w14:textId="77777777" w:rsidR="006A3C4F" w:rsidRDefault="00884732">
    <w:pPr>
      <w:spacing w:after="3764" w:line="14" w:lineRule="exact"/>
    </w:pPr>
    <w:r>
      <w:rPr>
        <w:noProof/>
      </w:rPr>
      <mc:AlternateContent>
        <mc:Choice Requires="wps">
          <w:drawing>
            <wp:anchor distT="0" distB="0" distL="0" distR="0" simplePos="0" relativeHeight="251656704" behindDoc="0" locked="1" layoutInCell="1" allowOverlap="1" wp14:anchorId="5A920162" wp14:editId="5A920163">
              <wp:simplePos x="1007744" y="1967864"/>
              <wp:positionH relativeFrom="page">
                <wp:posOffset>1007744</wp:posOffset>
              </wp:positionH>
              <wp:positionV relativeFrom="paragraph">
                <wp:posOffset>1967864</wp:posOffset>
              </wp:positionV>
              <wp:extent cx="6190615" cy="161925"/>
              <wp:effectExtent l="0" t="0" r="0" b="0"/>
              <wp:wrapNone/>
              <wp:docPr id="1" name="8effdeb6-01e6-4e76-b2f1-a29fe2a6ed42"/>
              <wp:cNvGraphicFramePr/>
              <a:graphic xmlns:a="http://schemas.openxmlformats.org/drawingml/2006/main">
                <a:graphicData uri="http://schemas.microsoft.com/office/word/2010/wordprocessingShape">
                  <wps:wsp>
                    <wps:cNvSpPr txBox="1"/>
                    <wps:spPr>
                      <a:xfrm>
                        <a:off x="0" y="0"/>
                        <a:ext cx="6190615" cy="161925"/>
                      </a:xfrm>
                      <a:prstGeom prst="rect">
                        <a:avLst/>
                      </a:prstGeom>
                      <a:noFill/>
                    </wps:spPr>
                    <wps:txbx>
                      <w:txbxContent>
                        <w:p w14:paraId="16EC1464" w14:textId="77777777" w:rsidR="00884732" w:rsidRDefault="00884732"/>
                      </w:txbxContent>
                    </wps:txbx>
                    <wps:bodyPr vert="horz" wrap="square" lIns="0" tIns="0" rIns="0" bIns="0" anchor="t" anchorCtr="0"/>
                  </wps:wsp>
                </a:graphicData>
              </a:graphic>
            </wp:anchor>
          </w:drawing>
        </mc:Choice>
        <mc:Fallback>
          <w:pict>
            <v:shapetype w14:anchorId="5A920162" id="_x0000_t202" coordsize="21600,21600" o:spt="202" path="m,l,21600r21600,l21600,xe">
              <v:stroke joinstyle="miter"/>
              <v:path gradientshapeok="t" o:connecttype="rect"/>
            </v:shapetype>
            <v:shape id="8effdeb6-01e6-4e76-b2f1-a29fe2a6ed42" o:spid="_x0000_s1026" type="#_x0000_t202" style="position:absolute;margin-left:79.35pt;margin-top:154.95pt;width:487.45pt;height:12.7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" filled="f" stroked="f">
              <v:textbox inset="0,0,0,0">
                <w:txbxContent>
                  <w:p w14:paraId="16EC1464" w14:textId="77777777" w:rsidR="00884732" w:rsidRDefault="00884732"/>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5A920164" wp14:editId="5A920165">
              <wp:simplePos x="1017269" y="10197465"/>
              <wp:positionH relativeFrom="page">
                <wp:posOffset>1017269</wp:posOffset>
              </wp:positionH>
              <wp:positionV relativeFrom="paragraph">
                <wp:posOffset>10197465</wp:posOffset>
              </wp:positionV>
              <wp:extent cx="4790440" cy="161925"/>
              <wp:effectExtent l="0" t="0" r="0" b="0"/>
              <wp:wrapNone/>
              <wp:docPr id="2" name="0674915a-06c1-4e08-98da-a94c04297537" descr="Voettekst"/>
              <wp:cNvGraphicFramePr/>
              <a:graphic xmlns:a="http://schemas.openxmlformats.org/drawingml/2006/main">
                <a:graphicData uri="http://schemas.microsoft.com/office/word/2010/wordprocessingShape">
                  <wps:wsp>
                    <wps:cNvSpPr txBox="1"/>
                    <wps:spPr>
                      <a:xfrm>
                        <a:off x="0" y="0"/>
                        <a:ext cx="4790440" cy="161925"/>
                      </a:xfrm>
                      <a:prstGeom prst="rect">
                        <a:avLst/>
                      </a:prstGeom>
                      <a:noFill/>
                    </wps:spPr>
                    <wps:txbx>
                      <w:txbxContent>
                        <w:p w14:paraId="4625F994" w14:textId="77777777" w:rsidR="00884732" w:rsidRDefault="00884732"/>
                      </w:txbxContent>
                    </wps:txbx>
                    <wps:bodyPr vert="horz" wrap="square" lIns="0" tIns="0" rIns="0" bIns="0" anchor="t" anchorCtr="0"/>
                  </wps:wsp>
                </a:graphicData>
              </a:graphic>
            </wp:anchor>
          </w:drawing>
        </mc:Choice>
        <mc:Fallback>
          <w:pict>
            <v:shape w14:anchorId="5A920164" id="0674915a-06c1-4e08-98da-a94c04297537" o:spid="_x0000_s1027" type="#_x0000_t202" alt="Voettekst" style="position:absolute;margin-left:80.1pt;margin-top:802.95pt;width:377.2pt;height:12.7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" filled="f" stroked="f">
              <v:textbox inset="0,0,0,0">
                <w:txbxContent>
                  <w:p w14:paraId="4625F994" w14:textId="77777777" w:rsidR="00884732" w:rsidRDefault="00884732"/>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5A920166" wp14:editId="5A920167">
              <wp:simplePos x="5921375" y="10197465"/>
              <wp:positionH relativeFrom="page">
                <wp:posOffset>5921375</wp:posOffset>
              </wp:positionH>
              <wp:positionV relativeFrom="paragraph">
                <wp:posOffset>10197465</wp:posOffset>
              </wp:positionV>
              <wp:extent cx="1285875" cy="161290"/>
              <wp:effectExtent l="0" t="0" r="0" b="0"/>
              <wp:wrapNone/>
              <wp:docPr id="3" name="37907516-206d-4935-9b40-bfe7d2e5302a"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BE3AB20" w14:textId="77777777" w:rsidR="00FA157C" w:rsidRDefault="00456CF4">
                          <w:pPr>
                            <w:pStyle w:val="Referentiegegevensrechtsuitgelijnd"/>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A920166" id="37907516-206d-4935-9b40-bfe7d2e5302a" o:spid="_x0000_s1028" type="#_x0000_t202" alt="Paginanummering" style="position:absolute;margin-left:466.25pt;margin-top:802.95pt;width:101.25pt;height:12.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" filled="f" stroked="f">
              <v:textbox inset="0,0,0,0">
                <w:txbxContent>
                  <w:p w14:paraId="0BE3AB20" w14:textId="77777777" w:rsidR="00FA157C" w:rsidRDefault="00456CF4">
                    <w:pPr>
                      <w:pStyle w:val="Referentiegegevensrechtsuitgelijnd"/>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7775D4"/>
    <w:multiLevelType w:val="multilevel"/>
    <w:tmpl w:val="89376B1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A871B836"/>
    <w:multiLevelType w:val="multilevel"/>
    <w:tmpl w:val="43D4202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3992FBAD"/>
    <w:multiLevelType w:val="multilevel"/>
    <w:tmpl w:val="A07BF336"/>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59113B48"/>
    <w:multiLevelType w:val="multilevel"/>
    <w:tmpl w:val="64C9833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723453315">
    <w:abstractNumId w:val="2"/>
  </w:num>
  <w:num w:numId="2" w16cid:durableId="1700353527">
    <w:abstractNumId w:val="3"/>
  </w:num>
  <w:num w:numId="3" w16cid:durableId="224725486">
    <w:abstractNumId w:val="0"/>
  </w:num>
  <w:num w:numId="4" w16cid:durableId="2074040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C4F"/>
    <w:rsid w:val="00094694"/>
    <w:rsid w:val="000C7070"/>
    <w:rsid w:val="00177282"/>
    <w:rsid w:val="0018104E"/>
    <w:rsid w:val="00247F85"/>
    <w:rsid w:val="00292EF9"/>
    <w:rsid w:val="00316F46"/>
    <w:rsid w:val="00321C5F"/>
    <w:rsid w:val="003C032D"/>
    <w:rsid w:val="003E18D1"/>
    <w:rsid w:val="003F4EDE"/>
    <w:rsid w:val="004123FA"/>
    <w:rsid w:val="00425207"/>
    <w:rsid w:val="00455673"/>
    <w:rsid w:val="00456CF4"/>
    <w:rsid w:val="004D37BE"/>
    <w:rsid w:val="00530E7E"/>
    <w:rsid w:val="005F7818"/>
    <w:rsid w:val="006A3C4F"/>
    <w:rsid w:val="006D585B"/>
    <w:rsid w:val="006F0E74"/>
    <w:rsid w:val="00752268"/>
    <w:rsid w:val="007977B0"/>
    <w:rsid w:val="00871412"/>
    <w:rsid w:val="00884732"/>
    <w:rsid w:val="00A44FF2"/>
    <w:rsid w:val="00AD1A0B"/>
    <w:rsid w:val="00C3196E"/>
    <w:rsid w:val="00D55C89"/>
    <w:rsid w:val="00D809AA"/>
    <w:rsid w:val="00DC5379"/>
    <w:rsid w:val="00EF7350"/>
    <w:rsid w:val="00F73203"/>
    <w:rsid w:val="00FA157C"/>
    <w:rsid w:val="00FC2C17"/>
    <w:rsid w:val="00FE1804"/>
    <w:rsid w:val="71601A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C867E4"/>
  <w15:docId w15:val="{405D7D4C-868C-4DD4-9DB8-41F14AC0C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customStyle="1" w:styleId="VoetnoottekstChar">
    <w:name w:val="Voetnoottekst Char"/>
    <w:basedOn w:val="Standaardalinea-lettertype"/>
    <w:link w:val="Voetnoottekst"/>
    <w:uiPriority w:val="99"/>
    <w:rsid w:val="00094694"/>
    <w:rPr>
      <w:rFonts w:ascii="Verdana" w:hAnsi="Verdana"/>
      <w:sz w:val="13"/>
      <w:szCs w:val="13"/>
    </w:rPr>
  </w:style>
  <w:style w:type="character" w:styleId="Voetnootmarkering">
    <w:name w:val="footnote reference"/>
    <w:basedOn w:val="Standaardalinea-lettertype"/>
    <w:uiPriority w:val="99"/>
    <w:semiHidden/>
    <w:unhideWhenUsed/>
    <w:rsid w:val="00094694"/>
    <w:rPr>
      <w:vertAlign w:val="superscript"/>
    </w:rPr>
  </w:style>
  <w:style w:type="character" w:styleId="Verwijzingopmerking">
    <w:name w:val="annotation reference"/>
    <w:basedOn w:val="Standaardalinea-lettertype"/>
    <w:uiPriority w:val="99"/>
    <w:semiHidden/>
    <w:unhideWhenUsed/>
    <w:rsid w:val="00094694"/>
    <w:rPr>
      <w:sz w:val="16"/>
      <w:szCs w:val="16"/>
    </w:rPr>
  </w:style>
  <w:style w:type="paragraph" w:styleId="Tekstopmerking">
    <w:name w:val="annotation text"/>
    <w:basedOn w:val="Standaard"/>
    <w:link w:val="TekstopmerkingChar"/>
    <w:uiPriority w:val="99"/>
    <w:unhideWhenUsed/>
    <w:rsid w:val="00094694"/>
    <w:pPr>
      <w:spacing w:line="240" w:lineRule="auto"/>
    </w:pPr>
    <w:rPr>
      <w:sz w:val="20"/>
      <w:szCs w:val="20"/>
    </w:rPr>
  </w:style>
  <w:style w:type="character" w:customStyle="1" w:styleId="TekstopmerkingChar">
    <w:name w:val="Tekst opmerking Char"/>
    <w:basedOn w:val="Standaardalinea-lettertype"/>
    <w:link w:val="Tekstopmerking"/>
    <w:uiPriority w:val="99"/>
    <w:rsid w:val="00094694"/>
    <w:rPr>
      <w:rFonts w:ascii="Verdana" w:hAnsi="Verdana"/>
      <w:color w:val="000000"/>
    </w:rPr>
  </w:style>
  <w:style w:type="paragraph" w:styleId="Koptekst">
    <w:name w:val="header"/>
    <w:basedOn w:val="Standaard"/>
    <w:link w:val="KoptekstChar"/>
    <w:uiPriority w:val="99"/>
    <w:unhideWhenUsed/>
    <w:rsid w:val="0009469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94694"/>
    <w:rPr>
      <w:rFonts w:ascii="Verdana" w:hAnsi="Verdana"/>
      <w:color w:val="000000"/>
      <w:sz w:val="18"/>
      <w:szCs w:val="18"/>
    </w:rPr>
  </w:style>
  <w:style w:type="paragraph" w:styleId="Voettekst">
    <w:name w:val="footer"/>
    <w:basedOn w:val="Standaard"/>
    <w:link w:val="VoettekstChar"/>
    <w:uiPriority w:val="99"/>
    <w:unhideWhenUsed/>
    <w:rsid w:val="0009469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94694"/>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19" Type="http://schemas.openxmlformats.org/officeDocument/2006/relationships/webSetting" Target="webSettings0.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zoek.officielebekendmakingen.nl/kst-21501-03-204.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2498</ap:Words>
  <ap:Characters>13745</ap:Characters>
  <ap:DocSecurity>0</ap:DocSecurity>
  <ap:Lines>114</ap:Lines>
  <ap:Paragraphs>32</ap:Paragraphs>
  <ap:ScaleCrop>false</ap:ScaleCrop>
  <ap:HeadingPairs>
    <vt:vector baseType="variant" size="2">
      <vt:variant>
        <vt:lpstr>Titel</vt:lpstr>
      </vt:variant>
      <vt:variant>
        <vt:i4>1</vt:i4>
      </vt:variant>
    </vt:vector>
  </ap:HeadingPairs>
  <ap:TitlesOfParts>
    <vt:vector baseType="lpstr" size="1">
      <vt:lpstr>Blanco document - Kamerbrief Europese jaarbegroting 2027, inzet Ecofin-begrotingsraad en de derde aanvullende Europese begroting 2026</vt:lpstr>
    </vt:vector>
  </ap:TitlesOfParts>
  <ap:LinksUpToDate>false</ap:LinksUpToDate>
  <ap:CharactersWithSpaces>16211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2026-11-06T12:26:00.0000000Z</dcterms:created>
  <dcterms:modified xsi:type="dcterms:W3CDTF">2026-11-06T12:26:00.0000000Z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Blanco</vt:lpwstr>
  </property>
  <property fmtid="{D5CDD505-2E9C-101B-9397-08002B2CF9AE}" pid="5" name="Documentsoort">
    <vt:lpwstr>Leeg document</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21 oktober 2026</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2026-0000420697</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DocGen_Blanco document_nl_NL</vt:lpwstr>
  </property>
  <property fmtid="{D5CDD505-2E9C-101B-9397-08002B2CF9AE}" pid="31" name="Onderwerp">
    <vt:lpwstr>Kamerbrief Europese jaarbegroting 2027, inzet Ecofin-begrotingsraad en de derde aanvullende Europese begroting 2026</vt:lpwstr>
  </property>
  <property fmtid="{D5CDD505-2E9C-101B-9397-08002B2CF9AE}" pid="32" name="iAan">
    <vt:lpwstr/>
  </property>
  <property fmtid="{D5CDD505-2E9C-101B-9397-08002B2CF9AE}" pid="33" name="iDatum">
    <vt:lpwstr>21 oktober 2026</vt:lpwstr>
  </property>
  <property fmtid="{D5CDD505-2E9C-101B-9397-08002B2CF9AE}" pid="34" name="iOnsKenmerk">
    <vt:lpwstr/>
  </property>
  <property fmtid="{D5CDD505-2E9C-101B-9397-08002B2CF9AE}" pid="35" name="iUwKenmerk">
    <vt:lpwstr/>
  </property>
  <property fmtid="{D5CDD505-2E9C-101B-9397-08002B2CF9AE}" pid="36" name="iRubricering">
    <vt:lpwstr/>
  </property>
  <property fmtid="{D5CDD505-2E9C-101B-9397-08002B2CF9AE}" pid="37" name="iOnderwerp">
    <vt:lpwstr>Kamerbrief Europese jaarbegroting 2027, inzet Ecofin-begrotingsraad en de derde aanvullende Europese begroting 2026</vt:lpwstr>
  </property>
  <property fmtid="{D5CDD505-2E9C-101B-9397-08002B2CF9AE}" pid="38" name="MSIP_Label_6800fede-0e59-47ad-af95-4e63bbdb932d_Enabled">
    <vt:lpwstr>true</vt:lpwstr>
  </property>
  <property fmtid="{D5CDD505-2E9C-101B-9397-08002B2CF9AE}" pid="39" name="MSIP_Label_6800fede-0e59-47ad-af95-4e63bbdb932d_SetDate">
    <vt:lpwstr>2026-10-21T17:36:13Z</vt:lpwstr>
  </property>
  <property fmtid="{D5CDD505-2E9C-101B-9397-08002B2CF9AE}" pid="40" name="MSIP_Label_6800fede-0e59-47ad-af95-4e63bbdb932d_Method">
    <vt:lpwstr>Standard</vt:lpwstr>
  </property>
  <property fmtid="{D5CDD505-2E9C-101B-9397-08002B2CF9AE}" pid="41" name="MSIP_Label_6800fede-0e59-47ad-af95-4e63bbdb932d_Name">
    <vt:lpwstr>FIN-DGGT-Rijksoverheid</vt:lpwstr>
  </property>
  <property fmtid="{D5CDD505-2E9C-101B-9397-08002B2CF9AE}" pid="42" name="MSIP_Label_6800fede-0e59-47ad-af95-4e63bbdb932d_SiteId">
    <vt:lpwstr>84712536-f524-40a0-913b-5d25ba502732</vt:lpwstr>
  </property>
  <property fmtid="{D5CDD505-2E9C-101B-9397-08002B2CF9AE}" pid="43" name="MSIP_Label_6800fede-0e59-47ad-af95-4e63bbdb932d_ActionId">
    <vt:lpwstr>d0873133-4e09-449b-bf66-3b5f86d7fef3</vt:lpwstr>
  </property>
  <property fmtid="{D5CDD505-2E9C-101B-9397-08002B2CF9AE}" pid="44" name="MSIP_Label_6800fede-0e59-47ad-af95-4e63bbdb932d_ContentBits">
    <vt:lpwstr>0</vt:lpwstr>
  </property>
  <property fmtid="{D5CDD505-2E9C-101B-9397-08002B2CF9AE}" pid="45" name="MSIP_Label_6800fede-0e59-47ad-af95-4e63bbdb932d_Tag">
    <vt:lpwstr>10, 3, 0, 1</vt:lpwstr>
  </property>
</Properties>
</file>