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69B3" w:rsidP="008969B3" w:rsidRDefault="008969B3" w14:paraId="36850991" w14:textId="00315B16">
      <w:pPr>
        <w:pStyle w:val="Geenafstand"/>
      </w:pPr>
      <w:r>
        <w:t>AH 567</w:t>
      </w:r>
    </w:p>
    <w:p w:rsidR="008969B3" w:rsidP="008969B3" w:rsidRDefault="008969B3" w14:paraId="166B5E84" w14:textId="7CDFF348">
      <w:pPr>
        <w:pStyle w:val="Geenafstand"/>
      </w:pPr>
      <w:r w:rsidRPr="00DD2750">
        <w:t>2026Z20699</w:t>
      </w:r>
    </w:p>
    <w:p w:rsidR="008969B3" w:rsidP="008969B3" w:rsidRDefault="008969B3" w14:paraId="49819CBE" w14:textId="77777777">
      <w:pPr>
        <w:pStyle w:val="Geenafstand"/>
      </w:pPr>
    </w:p>
    <w:p w:rsidR="008969B3" w:rsidP="0099366E" w:rsidRDefault="008969B3" w14:paraId="114DF113" w14:textId="3C6EBC83">
      <w:pPr>
        <w:rPr>
          <w:sz w:val="24"/>
        </w:rPr>
      </w:pPr>
      <w:r w:rsidRPr="0099366E">
        <w:rPr>
          <w:sz w:val="24"/>
        </w:rPr>
        <w:t xml:space="preserve">Antwoord van staatssecretaris </w:t>
      </w:r>
      <w:r>
        <w:rPr>
          <w:sz w:val="24"/>
        </w:rPr>
        <w:t>Eerenberg</w:t>
      </w:r>
      <w:r w:rsidRPr="0099366E">
        <w:rPr>
          <w:sz w:val="24"/>
        </w:rPr>
        <w:t xml:space="preserve"> (Financiën) (ontvangen</w:t>
      </w:r>
      <w:r>
        <w:rPr>
          <w:sz w:val="24"/>
        </w:rPr>
        <w:t xml:space="preserve"> 6 november 2026)</w:t>
      </w:r>
    </w:p>
    <w:p w:rsidR="008969B3" w:rsidP="00452573" w:rsidRDefault="008969B3" w14:paraId="0E2EF863" w14:textId="4B8D9304">
      <w:pPr>
        <w:rPr>
          <w:rFonts w:ascii="Verdana" w:hAnsi="Verdana"/>
          <w:b/>
          <w:bCs/>
          <w:sz w:val="18"/>
          <w:szCs w:val="18"/>
        </w:rPr>
      </w:pPr>
    </w:p>
    <w:p w:rsidR="008969B3" w:rsidP="00452573" w:rsidRDefault="008969B3" w14:paraId="3EB1EFF1" w14:textId="77777777">
      <w:pPr>
        <w:rPr>
          <w:rFonts w:ascii="Verdana" w:hAnsi="Verdana"/>
          <w:b/>
          <w:bCs/>
          <w:sz w:val="18"/>
          <w:szCs w:val="18"/>
        </w:rPr>
      </w:pPr>
    </w:p>
    <w:p w:rsidR="008969B3" w:rsidP="00452573" w:rsidRDefault="008969B3" w14:paraId="25A9532E" w14:textId="77777777">
      <w:pPr>
        <w:rPr>
          <w:rFonts w:ascii="Verdana" w:hAnsi="Verdana"/>
          <w:b/>
          <w:bCs/>
          <w:sz w:val="18"/>
          <w:szCs w:val="18"/>
        </w:rPr>
      </w:pPr>
    </w:p>
    <w:p w:rsidRPr="00DD2750" w:rsidR="008969B3" w:rsidP="00452573" w:rsidRDefault="008969B3" w14:paraId="4C348439" w14:textId="4B4EB602">
      <w:pPr>
        <w:rPr>
          <w:rFonts w:ascii="Verdana" w:hAnsi="Verdana"/>
          <w:sz w:val="18"/>
          <w:szCs w:val="18"/>
        </w:rPr>
      </w:pPr>
      <w:r w:rsidRPr="00DD2750">
        <w:rPr>
          <w:rFonts w:ascii="Verdana" w:hAnsi="Verdana"/>
          <w:b/>
          <w:bCs/>
          <w:sz w:val="18"/>
          <w:szCs w:val="18"/>
        </w:rPr>
        <w:t>Vraag 1</w:t>
      </w:r>
      <w:r w:rsidRPr="00DD2750">
        <w:rPr>
          <w:rFonts w:ascii="Verdana" w:hAnsi="Verdana"/>
          <w:b/>
          <w:bCs/>
          <w:sz w:val="18"/>
          <w:szCs w:val="18"/>
        </w:rPr>
        <w:br/>
      </w:r>
      <w:r w:rsidRPr="00DD2750">
        <w:rPr>
          <w:rFonts w:ascii="Verdana" w:hAnsi="Verdana"/>
          <w:sz w:val="18"/>
          <w:szCs w:val="18"/>
        </w:rPr>
        <w:t>Heeft het kabinet onderzocht welke gevolgen een btw-verhoging op specifiek bomen en planten heeft voor de betaalbaarheid en vraag naar deze producten en daarmee indirect voor de vergroeningsopdracht van particuliere tuinen, openbare ruimte en stedelijk gebied?</w:t>
      </w:r>
    </w:p>
    <w:p w:rsidRPr="00DD2750" w:rsidR="008969B3" w:rsidP="00452573" w:rsidRDefault="008969B3" w14:paraId="15C15BC5" w14:textId="77777777">
      <w:pPr>
        <w:rPr>
          <w:rFonts w:ascii="Verdana" w:hAnsi="Verdana"/>
          <w:sz w:val="18"/>
          <w:szCs w:val="18"/>
        </w:rPr>
      </w:pPr>
      <w:r w:rsidRPr="00DD2750">
        <w:rPr>
          <w:rFonts w:ascii="Verdana" w:hAnsi="Verdana"/>
          <w:b/>
          <w:bCs/>
          <w:sz w:val="18"/>
          <w:szCs w:val="18"/>
        </w:rPr>
        <w:t>Vraag 2</w:t>
      </w:r>
      <w:r w:rsidRPr="00DD2750">
        <w:rPr>
          <w:rFonts w:ascii="Verdana" w:hAnsi="Verdana"/>
          <w:b/>
          <w:bCs/>
          <w:sz w:val="18"/>
          <w:szCs w:val="18"/>
        </w:rPr>
        <w:br/>
      </w:r>
      <w:r w:rsidRPr="00DD2750">
        <w:rPr>
          <w:rFonts w:ascii="Verdana" w:hAnsi="Verdana"/>
          <w:sz w:val="18"/>
          <w:szCs w:val="18"/>
        </w:rPr>
        <w:t>Zo ja, kan het kabinet deze effecten kwantificeren?</w:t>
      </w:r>
    </w:p>
    <w:p w:rsidRPr="00DD2750" w:rsidR="008969B3" w:rsidP="00452573" w:rsidRDefault="008969B3" w14:paraId="35EA5EF9" w14:textId="77777777">
      <w:pPr>
        <w:rPr>
          <w:rFonts w:ascii="Verdana" w:hAnsi="Verdana"/>
          <w:sz w:val="18"/>
          <w:szCs w:val="18"/>
        </w:rPr>
      </w:pPr>
      <w:r w:rsidRPr="00DD2750">
        <w:rPr>
          <w:rFonts w:ascii="Verdana" w:hAnsi="Verdana"/>
          <w:b/>
          <w:bCs/>
          <w:sz w:val="18"/>
          <w:szCs w:val="18"/>
        </w:rPr>
        <w:t>Antwoord vragen 1 en 2</w:t>
      </w:r>
      <w:r w:rsidRPr="00DD2750">
        <w:rPr>
          <w:rFonts w:ascii="Verdana" w:hAnsi="Verdana"/>
          <w:sz w:val="18"/>
          <w:szCs w:val="18"/>
        </w:rPr>
        <w:br/>
        <w:t>In opdracht van de Nederlandse sierteeltsector heeft Decisio in 2026 onderzoek gedaan naar de economische gevolgen van een verhoging van het btw-tarief op sierteeltproducten.</w:t>
      </w:r>
      <w:r w:rsidRPr="00DD2750">
        <w:rPr>
          <w:rStyle w:val="Voetnootmarkering"/>
          <w:rFonts w:ascii="Verdana" w:hAnsi="Verdana"/>
          <w:sz w:val="18"/>
          <w:szCs w:val="18"/>
        </w:rPr>
        <w:footnoteReference w:id="1"/>
      </w:r>
      <w:r w:rsidRPr="00DD2750">
        <w:rPr>
          <w:rFonts w:ascii="Verdana" w:hAnsi="Verdana"/>
          <w:sz w:val="18"/>
          <w:szCs w:val="18"/>
        </w:rPr>
        <w:t xml:space="preserve">  In dit onderzoek wordt aangenomen dat de btw-verhoging volledig wordt doorberekend aan de consument, wat een prijsstijging van 11% zou betekenen. Voor ‘tuinplanten en bomen’ is een inschatting van de prijselasticiteit beschikbaar op basis van GfK consumentenonderzoek. Daaruit volgt een prijselasticiteit van -1,3 en daarmee een verwachte vraagdaling van 14,3%. Voor de vergroening van de publieke ruimte geldt dat voor gemeentes en provincies btw-uitgaven voor openbaar groen onder het BTW-compensatiefonds compensabel zijn. Dit betekent dat het overbrengen van sierteelt naar het algemene btw-tarief voor gemeentes en provincies niet tot een hogere btw-last leidt.</w:t>
      </w:r>
    </w:p>
    <w:p w:rsidRPr="00DD2750" w:rsidR="008969B3" w:rsidP="00EF4FB3" w:rsidRDefault="008969B3" w14:paraId="7B4A3817" w14:textId="77777777">
      <w:pPr>
        <w:rPr>
          <w:rFonts w:ascii="Verdana" w:hAnsi="Verdana"/>
          <w:sz w:val="18"/>
          <w:szCs w:val="18"/>
        </w:rPr>
      </w:pPr>
      <w:r w:rsidRPr="00DD2750">
        <w:rPr>
          <w:rFonts w:ascii="Verdana" w:hAnsi="Verdana"/>
          <w:sz w:val="18"/>
          <w:szCs w:val="18"/>
        </w:rPr>
        <w:t>Het kabinet kan niet kwantificeren wat de invloed is van de btw-verhoging op de vergroening van particuliere tuinen. Eerder heeft Motivaction in opdracht van het ministerie van IenW onderzoek gedaan naar de drempels en motivaties van Nederlanders om hun tuinen te vergroenen.</w:t>
      </w:r>
      <w:r w:rsidRPr="00DD2750">
        <w:rPr>
          <w:rStyle w:val="Voetnootmarkering"/>
          <w:rFonts w:ascii="Verdana" w:hAnsi="Verdana"/>
          <w:sz w:val="18"/>
          <w:szCs w:val="18"/>
        </w:rPr>
        <w:footnoteReference w:id="2"/>
      </w:r>
      <w:r w:rsidRPr="00DD2750">
        <w:rPr>
          <w:rFonts w:ascii="Verdana" w:hAnsi="Verdana"/>
          <w:sz w:val="18"/>
          <w:szCs w:val="18"/>
        </w:rPr>
        <w:t xml:space="preserve"> Daaruit blijkt dat vergroenen veelal wordt ingegeven door een intrinsieke motivatie en dat de prijs minder zwaar meetelt. Als belangrijkste redenen om niet te vergroenen worden genoemd: een te kleine tuin, geen groene vingers of een gebrek aan tijd en in veel mindere mate de prijs. </w:t>
      </w:r>
    </w:p>
    <w:p w:rsidRPr="00DD2750" w:rsidR="008969B3" w:rsidP="00452573" w:rsidRDefault="008969B3" w14:paraId="6956CF0D" w14:textId="77777777">
      <w:pPr>
        <w:rPr>
          <w:rFonts w:ascii="Verdana" w:hAnsi="Verdana"/>
          <w:sz w:val="18"/>
          <w:szCs w:val="18"/>
        </w:rPr>
      </w:pPr>
      <w:r w:rsidRPr="00DD2750">
        <w:rPr>
          <w:rFonts w:ascii="Verdana" w:hAnsi="Verdana"/>
          <w:b/>
          <w:bCs/>
          <w:sz w:val="18"/>
          <w:szCs w:val="18"/>
        </w:rPr>
        <w:t>Vraag 3</w:t>
      </w:r>
      <w:r w:rsidRPr="00DD2750">
        <w:rPr>
          <w:rFonts w:ascii="Verdana" w:hAnsi="Verdana"/>
          <w:b/>
          <w:bCs/>
          <w:sz w:val="18"/>
          <w:szCs w:val="18"/>
        </w:rPr>
        <w:br/>
      </w:r>
      <w:r w:rsidRPr="00DD2750">
        <w:rPr>
          <w:rFonts w:ascii="Verdana" w:hAnsi="Verdana"/>
          <w:sz w:val="18"/>
          <w:szCs w:val="18"/>
        </w:rPr>
        <w:t>Hoe zijn de positieve maatschappelijke baten van bomen en planten en de inspanningsvraag hierbij van de burgers, op biodiversiteit, verkoeling, wateropvang en leefomgeving meegewogen in de keuze voor een btw-tarief van 21 procent?</w:t>
      </w:r>
    </w:p>
    <w:p w:rsidRPr="00DD2750" w:rsidR="008969B3" w:rsidP="00452573" w:rsidRDefault="008969B3" w14:paraId="425219F0" w14:textId="77777777">
      <w:pPr>
        <w:rPr>
          <w:rFonts w:ascii="Verdana" w:hAnsi="Verdana"/>
          <w:sz w:val="18"/>
          <w:szCs w:val="18"/>
        </w:rPr>
      </w:pPr>
      <w:r w:rsidRPr="00DD2750">
        <w:rPr>
          <w:rFonts w:ascii="Verdana" w:hAnsi="Verdana"/>
          <w:b/>
          <w:bCs/>
          <w:sz w:val="18"/>
          <w:szCs w:val="18"/>
        </w:rPr>
        <w:t>Antwoord vraag 3</w:t>
      </w:r>
      <w:r w:rsidRPr="00DD2750">
        <w:rPr>
          <w:rFonts w:ascii="Verdana" w:hAnsi="Verdana"/>
          <w:sz w:val="18"/>
          <w:szCs w:val="18"/>
        </w:rPr>
        <w:br/>
        <w:t xml:space="preserve">Dit kabinet vindt vergroening belangrijk. Er zijn echter meerdere wegen om vergroening van tuinen te stimuleren. Het ministerie van IenW heeft gedragsonderzoek laten uitvoeren door Motivaction (2024) naar het vergroenen van tuinen. Hieruit blijkt dat intrinsieke motivatie en de mate waarin mensen zichzelf in staat achten om de tuin te vergroenen de belangrijkste voorspellers zijn voor het wel of niet vergroenen van de tuin. Intrinsieke motivatie kan worden aangewakkerd door het gevoel van trots op een groene tuin, de wens voor meer koelte in de zomer en iets goeds willen doen voor de natuur. Hier kan door middel van communicatie op worden ingespeeld. Gemeenten kunnen inwoners verder helpen door het vergroenen van de tuin makkelijker te maken. Bijvoorbeeld door de organisatie van een workshop om een tuinplan te maken, verkoop van kant en klare plantpakketten (die goed zijn voor de biodiversiteit) en de organisatie van afvoer van tegels en zand (60 gemeenten hebben inmiddels een Tegeltaxi). </w:t>
      </w:r>
    </w:p>
    <w:p w:rsidRPr="00DD2750" w:rsidR="008969B3" w:rsidP="00452573" w:rsidRDefault="008969B3" w14:paraId="62B9DB76" w14:textId="77777777">
      <w:pPr>
        <w:rPr>
          <w:rFonts w:ascii="Verdana" w:hAnsi="Verdana"/>
          <w:sz w:val="18"/>
          <w:szCs w:val="18"/>
        </w:rPr>
      </w:pPr>
      <w:r w:rsidRPr="00DD2750">
        <w:rPr>
          <w:rFonts w:ascii="Verdana" w:hAnsi="Verdana"/>
          <w:sz w:val="18"/>
          <w:szCs w:val="18"/>
        </w:rPr>
        <w:lastRenderedPageBreak/>
        <w:t>Uit de evaluatie van verlaagde tarieven door Dialogic in 2023</w:t>
      </w:r>
      <w:r w:rsidRPr="00DD2750">
        <w:rPr>
          <w:rStyle w:val="Voetnootmarkering"/>
          <w:rFonts w:ascii="Verdana" w:hAnsi="Verdana"/>
          <w:sz w:val="18"/>
          <w:szCs w:val="18"/>
        </w:rPr>
        <w:footnoteReference w:id="3"/>
      </w:r>
      <w:r w:rsidRPr="00DD2750">
        <w:rPr>
          <w:rFonts w:ascii="Verdana" w:hAnsi="Verdana"/>
          <w:sz w:val="18"/>
          <w:szCs w:val="18"/>
        </w:rPr>
        <w:t xml:space="preserve"> blijkt dat een generieke btw-verlaging in algemene zin geen doelmatig instrument is om specifieke beleidsdoelen (zoals vergroening) te realiseren. Verder biedt een groot aantal gemeenten, provincies en waterschappen subsidies aan om vergroeningsmaatregelen te nemen en daarmee een financiële drempel weg te nemen. Via de Groene subsidiewijzer kunnen inwoners zien welke subsidies er in hun postcodegebied beschikbaar zijn. </w:t>
      </w:r>
    </w:p>
    <w:p w:rsidRPr="00DD2750" w:rsidR="008969B3" w:rsidP="00452573" w:rsidRDefault="008969B3" w14:paraId="0F251E74" w14:textId="77777777">
      <w:pPr>
        <w:rPr>
          <w:rFonts w:ascii="Verdana" w:hAnsi="Verdana"/>
          <w:sz w:val="18"/>
          <w:szCs w:val="18"/>
        </w:rPr>
      </w:pPr>
      <w:r w:rsidRPr="00DD2750">
        <w:rPr>
          <w:rFonts w:ascii="Verdana" w:hAnsi="Verdana"/>
          <w:b/>
          <w:bCs/>
          <w:sz w:val="18"/>
          <w:szCs w:val="18"/>
        </w:rPr>
        <w:t>Vraag 4</w:t>
      </w:r>
      <w:r w:rsidRPr="00DD2750">
        <w:rPr>
          <w:rFonts w:ascii="Verdana" w:hAnsi="Verdana"/>
          <w:b/>
          <w:bCs/>
          <w:sz w:val="18"/>
          <w:szCs w:val="18"/>
        </w:rPr>
        <w:br/>
      </w:r>
      <w:r w:rsidRPr="00DD2750">
        <w:rPr>
          <w:rFonts w:ascii="Verdana" w:hAnsi="Verdana"/>
          <w:sz w:val="18"/>
          <w:szCs w:val="18"/>
        </w:rPr>
        <w:t>Hoe weegt het kabinet de economische effecten, zoals een verwachte omzetdaling van 674 tot 830 miljoen euro en het verlies van een kleine 3000 banen, af ten opzichte van de verwachte extra belastingopbrengst?</w:t>
      </w:r>
    </w:p>
    <w:p w:rsidRPr="00C23DC4" w:rsidR="008969B3" w:rsidP="00C23DC4" w:rsidRDefault="008969B3" w14:paraId="1E0E00CA" w14:textId="77777777">
      <w:pPr>
        <w:rPr>
          <w:rFonts w:ascii="Verdana" w:hAnsi="Verdana"/>
          <w:sz w:val="18"/>
          <w:szCs w:val="18"/>
        </w:rPr>
      </w:pPr>
      <w:r w:rsidRPr="00DD2750">
        <w:rPr>
          <w:rFonts w:ascii="Verdana" w:hAnsi="Verdana"/>
          <w:b/>
          <w:bCs/>
          <w:sz w:val="18"/>
          <w:szCs w:val="18"/>
        </w:rPr>
        <w:t>Antwoord vraag 4</w:t>
      </w:r>
      <w:r w:rsidRPr="00DD2750">
        <w:rPr>
          <w:rFonts w:ascii="Verdana" w:hAnsi="Verdana"/>
          <w:sz w:val="18"/>
          <w:szCs w:val="18"/>
        </w:rPr>
        <w:br/>
      </w:r>
      <w:r w:rsidRPr="00C23DC4">
        <w:rPr>
          <w:rFonts w:ascii="Verdana" w:hAnsi="Verdana"/>
          <w:sz w:val="18"/>
          <w:szCs w:val="18"/>
        </w:rPr>
        <w:t>In het eerdergenoemde onderzoek van Decisio wordt ingeschat dat de werkgelegenheid afneemt met 2.280 tot 2.820 banen. Tegelijkertijd neemt de omzet in andere sectoren toe doordat consumenten hun geld op een andere manier gaan besteden. Zo schatten de onderzoekers van Decisio in dat 118 miljoen euro aan consumentenbestedingen in andere sectoren gedaan gaat worden. Wat betreft de werkgelegenheid schat Decisio in dat vanwege de arbeidskrapte de meeste werknemers op termijn elders aan de slag kunnen. Het verlaagde btw-tarief op sierteelt is negatief geëvalueerd. De kosten van de regeling om werkgelegenheid in de sector te stimuleren zijn erg hoog. Als we het totale budgettaire belang toekennen aan het doel werkgelegenheid, dan komen we op € 136.000 tot € 168.000 per fte. Dit ligt daarmee een stuk hoger dan het inkomen dat aan deze baan gekoppeld is. Ook is er geen duidelijke onderbouwing voor overheidsingrijpen met een fiscale subsidie in juist deze specifieke sector in vergelijking met andere sectoren.</w:t>
      </w:r>
    </w:p>
    <w:p w:rsidRPr="00DD2750" w:rsidR="008969B3" w:rsidP="00372743" w:rsidRDefault="008969B3" w14:paraId="1A410526" w14:textId="77777777">
      <w:pPr>
        <w:rPr>
          <w:rFonts w:ascii="Verdana" w:hAnsi="Verdana"/>
          <w:sz w:val="18"/>
          <w:szCs w:val="18"/>
        </w:rPr>
      </w:pPr>
    </w:p>
    <w:p w:rsidRPr="00DD2750" w:rsidR="008969B3" w:rsidP="00816A53" w:rsidRDefault="008969B3" w14:paraId="4B6F4C62" w14:textId="77777777">
      <w:pPr>
        <w:rPr>
          <w:rFonts w:ascii="Verdana" w:hAnsi="Verdana"/>
          <w:sz w:val="18"/>
          <w:szCs w:val="18"/>
        </w:rPr>
      </w:pPr>
    </w:p>
    <w:p w:rsidRPr="00DD2750" w:rsidR="008969B3" w:rsidP="00816A53" w:rsidRDefault="008969B3" w14:paraId="07D233AE" w14:textId="77777777">
      <w:pPr>
        <w:rPr>
          <w:rFonts w:ascii="Verdana" w:hAnsi="Verdana"/>
          <w:sz w:val="18"/>
          <w:szCs w:val="18"/>
        </w:rPr>
      </w:pPr>
    </w:p>
    <w:p w:rsidRPr="00DD2750" w:rsidR="008969B3" w:rsidP="00545C4D" w:rsidRDefault="008969B3" w14:paraId="26155927" w14:textId="77777777">
      <w:pPr>
        <w:rPr>
          <w:rFonts w:ascii="Verdana" w:hAnsi="Verdana"/>
          <w:sz w:val="18"/>
          <w:szCs w:val="18"/>
        </w:rPr>
      </w:pPr>
    </w:p>
    <w:p w:rsidRPr="00DD2750" w:rsidR="008969B3" w:rsidP="00452573" w:rsidRDefault="008969B3" w14:paraId="1C09F6D3" w14:textId="77777777">
      <w:pPr>
        <w:tabs>
          <w:tab w:val="left" w:pos="3491"/>
        </w:tabs>
        <w:rPr>
          <w:rFonts w:ascii="Verdana" w:hAnsi="Verdana" w:eastAsia="DejaVu Sans" w:cs="Lohit Hindi"/>
          <w:b/>
          <w:bCs/>
          <w:color w:val="000000"/>
          <w:kern w:val="0"/>
          <w:sz w:val="18"/>
          <w:szCs w:val="18"/>
          <w:lang w:eastAsia="nl-NL"/>
          <w14:ligatures w14:val="none"/>
        </w:rPr>
      </w:pPr>
    </w:p>
    <w:p w:rsidR="002C3023" w:rsidRDefault="002C3023" w14:paraId="454EC555"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52C8C" w14:textId="77777777" w:rsidR="00EA378B" w:rsidRDefault="00EA378B" w:rsidP="008969B3">
      <w:pPr>
        <w:spacing w:after="0" w:line="240" w:lineRule="auto"/>
      </w:pPr>
      <w:r>
        <w:separator/>
      </w:r>
    </w:p>
  </w:endnote>
  <w:endnote w:type="continuationSeparator" w:id="0">
    <w:p w14:paraId="772450BE" w14:textId="77777777" w:rsidR="00EA378B" w:rsidRDefault="00EA378B" w:rsidP="0089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4288" w14:textId="77777777" w:rsidR="008969B3" w:rsidRPr="008969B3" w:rsidRDefault="008969B3" w:rsidP="008969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4228" w14:textId="77777777" w:rsidR="008969B3" w:rsidRPr="008969B3" w:rsidRDefault="008969B3" w:rsidP="008969B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059E" w14:textId="77777777" w:rsidR="008969B3" w:rsidRPr="008969B3" w:rsidRDefault="008969B3" w:rsidP="008969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786C8" w14:textId="77777777" w:rsidR="00EA378B" w:rsidRDefault="00EA378B" w:rsidP="008969B3">
      <w:pPr>
        <w:spacing w:after="0" w:line="240" w:lineRule="auto"/>
      </w:pPr>
      <w:r>
        <w:separator/>
      </w:r>
    </w:p>
  </w:footnote>
  <w:footnote w:type="continuationSeparator" w:id="0">
    <w:p w14:paraId="09984D49" w14:textId="77777777" w:rsidR="00EA378B" w:rsidRDefault="00EA378B" w:rsidP="008969B3">
      <w:pPr>
        <w:spacing w:after="0" w:line="240" w:lineRule="auto"/>
      </w:pPr>
      <w:r>
        <w:continuationSeparator/>
      </w:r>
    </w:p>
  </w:footnote>
  <w:footnote w:id="1">
    <w:p w14:paraId="5E38F2E5" w14:textId="77777777" w:rsidR="008969B3" w:rsidRPr="009F44B0" w:rsidRDefault="008969B3">
      <w:pPr>
        <w:pStyle w:val="Voetnoottekst"/>
        <w:rPr>
          <w:sz w:val="16"/>
          <w:szCs w:val="16"/>
          <w:lang w:val="nl-NL"/>
        </w:rPr>
      </w:pPr>
      <w:r>
        <w:rPr>
          <w:rStyle w:val="Voetnootmarkering"/>
        </w:rPr>
        <w:footnoteRef/>
      </w:r>
      <w:r w:rsidRPr="00DC5257">
        <w:rPr>
          <w:lang w:val="nl-NL"/>
        </w:rPr>
        <w:t xml:space="preserve"> </w:t>
      </w:r>
      <w:r w:rsidRPr="009F44B0">
        <w:rPr>
          <w:sz w:val="16"/>
          <w:szCs w:val="16"/>
          <w:lang w:val="nl-NL"/>
        </w:rPr>
        <w:t>Decisio, 2026. Effectenstudie verhoging btw-tarief op sierteeltproducten.</w:t>
      </w:r>
    </w:p>
  </w:footnote>
  <w:footnote w:id="2">
    <w:p w14:paraId="49CB2657" w14:textId="77777777" w:rsidR="008969B3" w:rsidRPr="00EF4FB3" w:rsidRDefault="008969B3" w:rsidP="009F44B0">
      <w:pPr>
        <w:pStyle w:val="Voetnoottekst"/>
        <w:rPr>
          <w:lang w:val="nl-NL"/>
        </w:rPr>
      </w:pPr>
      <w:r>
        <w:rPr>
          <w:rStyle w:val="Voetnootmarkering"/>
        </w:rPr>
        <w:footnoteRef/>
      </w:r>
      <w:r>
        <w:rPr>
          <w:sz w:val="16"/>
          <w:szCs w:val="16"/>
          <w:lang w:val="nl-NL"/>
        </w:rPr>
        <w:t xml:space="preserve"> </w:t>
      </w:r>
      <w:r w:rsidRPr="009F44B0">
        <w:rPr>
          <w:sz w:val="16"/>
          <w:szCs w:val="16"/>
          <w:lang w:val="nl-NL"/>
        </w:rPr>
        <w:t>Motivaction, 2024. Gedragsanalyse om tuinen te vergroenen</w:t>
      </w:r>
      <w:r>
        <w:rPr>
          <w:sz w:val="16"/>
          <w:szCs w:val="16"/>
          <w:lang w:val="nl-NL"/>
        </w:rPr>
        <w:t>.</w:t>
      </w:r>
    </w:p>
  </w:footnote>
  <w:footnote w:id="3">
    <w:p w14:paraId="118AA7B5" w14:textId="77777777" w:rsidR="008969B3" w:rsidRPr="009F44B0" w:rsidRDefault="008969B3">
      <w:pPr>
        <w:pStyle w:val="Voetnoottekst"/>
        <w:rPr>
          <w:lang w:val="nl-NL"/>
        </w:rPr>
      </w:pPr>
      <w:r>
        <w:rPr>
          <w:rStyle w:val="Voetnootmarkering"/>
        </w:rPr>
        <w:footnoteRef/>
      </w:r>
      <w:r w:rsidRPr="00AE12AA">
        <w:rPr>
          <w:lang w:val="nl-NL"/>
        </w:rPr>
        <w:t xml:space="preserve"> </w:t>
      </w:r>
      <w:r w:rsidRPr="009F44B0">
        <w:rPr>
          <w:sz w:val="16"/>
          <w:szCs w:val="16"/>
          <w:lang w:val="nl-NL"/>
        </w:rPr>
        <w:t>Dialogic, 20</w:t>
      </w:r>
      <w:r>
        <w:rPr>
          <w:sz w:val="16"/>
          <w:szCs w:val="16"/>
          <w:lang w:val="nl-NL"/>
        </w:rPr>
        <w:t>23</w:t>
      </w:r>
      <w:r w:rsidRPr="009F44B0">
        <w:rPr>
          <w:sz w:val="16"/>
          <w:szCs w:val="16"/>
          <w:lang w:val="nl-NL"/>
        </w:rPr>
        <w:t>. Evaluatie van het verlaagde btw-tarief.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A0DB" w14:textId="77777777" w:rsidR="008969B3" w:rsidRPr="008969B3" w:rsidRDefault="008969B3" w:rsidP="008969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EF74" w14:textId="77777777" w:rsidR="008969B3" w:rsidRPr="008969B3" w:rsidRDefault="008969B3" w:rsidP="008969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3DBB2" w14:textId="77777777" w:rsidR="008969B3" w:rsidRPr="008969B3" w:rsidRDefault="008969B3" w:rsidP="008969B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9B3"/>
    <w:rsid w:val="002C3023"/>
    <w:rsid w:val="008969B3"/>
    <w:rsid w:val="009A313E"/>
    <w:rsid w:val="00DF7A30"/>
    <w:rsid w:val="00EA37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9580"/>
  <w15:chartTrackingRefBased/>
  <w15:docId w15:val="{3F74AADC-C205-49E0-9117-E987305C8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969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969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969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969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969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969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969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969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969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969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969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969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969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969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969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969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969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969B3"/>
    <w:rPr>
      <w:rFonts w:eastAsiaTheme="majorEastAsia" w:cstheme="majorBidi"/>
      <w:color w:val="272727" w:themeColor="text1" w:themeTint="D8"/>
    </w:rPr>
  </w:style>
  <w:style w:type="paragraph" w:styleId="Titel">
    <w:name w:val="Title"/>
    <w:basedOn w:val="Standaard"/>
    <w:next w:val="Standaard"/>
    <w:link w:val="TitelChar"/>
    <w:uiPriority w:val="10"/>
    <w:qFormat/>
    <w:rsid w:val="00896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969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969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969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969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969B3"/>
    <w:rPr>
      <w:i/>
      <w:iCs/>
      <w:color w:val="404040" w:themeColor="text1" w:themeTint="BF"/>
    </w:rPr>
  </w:style>
  <w:style w:type="paragraph" w:styleId="Lijstalinea">
    <w:name w:val="List Paragraph"/>
    <w:basedOn w:val="Standaard"/>
    <w:uiPriority w:val="34"/>
    <w:qFormat/>
    <w:rsid w:val="008969B3"/>
    <w:pPr>
      <w:ind w:left="720"/>
      <w:contextualSpacing/>
    </w:pPr>
  </w:style>
  <w:style w:type="character" w:styleId="Intensievebenadrukking">
    <w:name w:val="Intense Emphasis"/>
    <w:basedOn w:val="Standaardalinea-lettertype"/>
    <w:uiPriority w:val="21"/>
    <w:qFormat/>
    <w:rsid w:val="008969B3"/>
    <w:rPr>
      <w:i/>
      <w:iCs/>
      <w:color w:val="0F4761" w:themeColor="accent1" w:themeShade="BF"/>
    </w:rPr>
  </w:style>
  <w:style w:type="paragraph" w:styleId="Duidelijkcitaat">
    <w:name w:val="Intense Quote"/>
    <w:basedOn w:val="Standaard"/>
    <w:next w:val="Standaard"/>
    <w:link w:val="DuidelijkcitaatChar"/>
    <w:uiPriority w:val="30"/>
    <w:qFormat/>
    <w:rsid w:val="00896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969B3"/>
    <w:rPr>
      <w:i/>
      <w:iCs/>
      <w:color w:val="0F4761" w:themeColor="accent1" w:themeShade="BF"/>
    </w:rPr>
  </w:style>
  <w:style w:type="character" w:styleId="Intensieveverwijzing">
    <w:name w:val="Intense Reference"/>
    <w:basedOn w:val="Standaardalinea-lettertype"/>
    <w:uiPriority w:val="32"/>
    <w:qFormat/>
    <w:rsid w:val="008969B3"/>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8969B3"/>
    <w:pPr>
      <w:spacing w:after="0" w:line="240" w:lineRule="auto"/>
    </w:pPr>
    <w:rPr>
      <w:rFonts w:ascii="Verdana" w:hAnsi="Verdana"/>
      <w:sz w:val="20"/>
      <w:szCs w:val="20"/>
      <w:lang w:val="en-US"/>
    </w:rPr>
  </w:style>
  <w:style w:type="character" w:customStyle="1" w:styleId="VoetnoottekstChar">
    <w:name w:val="Voetnoottekst Char"/>
    <w:basedOn w:val="Standaardalinea-lettertype"/>
    <w:link w:val="Voetnoottekst"/>
    <w:uiPriority w:val="99"/>
    <w:semiHidden/>
    <w:rsid w:val="008969B3"/>
    <w:rPr>
      <w:rFonts w:ascii="Verdana" w:hAnsi="Verdana"/>
      <w:sz w:val="20"/>
      <w:szCs w:val="20"/>
      <w:lang w:val="en-US"/>
    </w:rPr>
  </w:style>
  <w:style w:type="character" w:styleId="Voetnootmarkering">
    <w:name w:val="footnote reference"/>
    <w:basedOn w:val="Standaardalinea-lettertype"/>
    <w:uiPriority w:val="99"/>
    <w:semiHidden/>
    <w:unhideWhenUsed/>
    <w:rsid w:val="008969B3"/>
    <w:rPr>
      <w:vertAlign w:val="superscript"/>
    </w:rPr>
  </w:style>
  <w:style w:type="paragraph" w:styleId="Koptekst">
    <w:name w:val="header"/>
    <w:basedOn w:val="Standaard"/>
    <w:link w:val="KoptekstChar"/>
    <w:uiPriority w:val="99"/>
    <w:unhideWhenUsed/>
    <w:rsid w:val="008969B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969B3"/>
  </w:style>
  <w:style w:type="paragraph" w:styleId="Voettekst">
    <w:name w:val="footer"/>
    <w:basedOn w:val="Standaard"/>
    <w:link w:val="VoettekstChar"/>
    <w:uiPriority w:val="99"/>
    <w:unhideWhenUsed/>
    <w:rsid w:val="008969B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969B3"/>
  </w:style>
  <w:style w:type="paragraph" w:styleId="Geenafstand">
    <w:name w:val="No Spacing"/>
    <w:uiPriority w:val="1"/>
    <w:qFormat/>
    <w:rsid w:val="008969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731</ap:Words>
  <ap:Characters>4131</ap:Characters>
  <ap:DocSecurity>0</ap:DocSecurity>
  <ap:Lines>72</ap:Lines>
  <ap:Paragraphs>13</ap:Paragraphs>
  <ap:ScaleCrop>false</ap:ScaleCrop>
  <ap:LinksUpToDate>false</ap:LinksUpToDate>
  <ap:CharactersWithSpaces>4849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2026-11-06T14:49:00.0000000Z</dcterms:created>
  <dcterms:modified xsi:type="dcterms:W3CDTF">2026-11-06T14:57:00.0000000Z</dcterms:modified>
  <version/>
  <category/>
</coreProperties>
</file>