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2026Z24288</w:t>
        <w:br/>
      </w:r>
      <w:proofErr w:type="spellEnd"/>
    </w:p>
    <w:p>
      <w:pPr>
        <w:pStyle w:val="Normal"/>
        <w:rPr>
          <w:b w:val="1"/>
          <w:bCs w:val="1"/>
        </w:rPr>
      </w:pPr>
      <w:r w:rsidR="250AE766">
        <w:rPr>
          <w:b w:val="0"/>
          <w:bCs w:val="0"/>
        </w:rPr>
        <w:t>(ingezonden 6 november 2026)</w:t>
        <w:br/>
      </w:r>
    </w:p>
    <w:p>
      <w:r>
        <w:t xml:space="preserve">Vragen van de leden Patijn en Van der Lee (beiden PRO) aan de minister van Sociale Zaken en Werkgelegenheid over het Nederlandse standpunt over Europe Inc. </w:t>
      </w:r>
      <w:r>
        <w:br/>
      </w:r>
    </w:p>
    <w:p>
      <w:pPr>
        <w:pStyle w:val="ListParagraph"/>
        <w:numPr>
          <w:ilvl w:val="0"/>
          <w:numId w:val="100524440"/>
        </w:numPr>
        <w:ind w:left="360"/>
      </w:pPr>
      <w:r>
        <w:t xml:space="preserve">Is er volgens u voldoende tegemoet gekomen aan de zorgen die door de Staatssecretaris van Justitie en Veiligheid en de Minister van Sociale Zaken en Werkgelegenheid werden geuit in de antwoorden op de schriftelijke vragen van het lid van der Lee van 26 mei jl. ? 1) Zo ja, op welke manier?</w:t>
      </w:r>
      <w:r>
        <w:br/>
      </w:r>
    </w:p>
    <w:p>
      <w:pPr>
        <w:pStyle w:val="ListParagraph"/>
        <w:numPr>
          <w:ilvl w:val="0"/>
          <w:numId w:val="100524440"/>
        </w:numPr>
        <w:ind w:left="360"/>
      </w:pPr>
      <w:r>
        <w:t xml:space="preserve">Waarom stemde Nederland uiteindelijk in met het voorstel in de Raad over het 28e regime? </w:t>
      </w:r>
      <w:r>
        <w:br/>
      </w:r>
    </w:p>
    <w:p>
      <w:pPr>
        <w:pStyle w:val="ListParagraph"/>
        <w:numPr>
          <w:ilvl w:val="0"/>
          <w:numId w:val="100524440"/>
        </w:numPr>
        <w:ind w:left="360"/>
      </w:pPr>
      <w:r>
        <w:t xml:space="preserve">Wat is er ten opzichte van het Commissievoorstel veranderd in het Raadsstandpunt? Op welke manier zijn werknemersrechten beter en juridisch afdwingbaar geborgd? </w:t>
      </w:r>
      <w:r>
        <w:br/>
      </w:r>
    </w:p>
    <w:p>
      <w:pPr>
        <w:pStyle w:val="ListParagraph"/>
        <w:numPr>
          <w:ilvl w:val="0"/>
          <w:numId w:val="100524440"/>
        </w:numPr>
        <w:ind w:left="360"/>
      </w:pPr>
      <w:r>
        <w:t xml:space="preserve">Zijn de zorgen over dat het voorstel kan leiden tot complexere en vertraagde samenwerking op het gebied van arbeidsrechtelijke handhaving weggenomen? Zo ja, hoe?</w:t>
      </w:r>
      <w:r>
        <w:br/>
      </w:r>
    </w:p>
    <w:p>
      <w:pPr>
        <w:pStyle w:val="ListParagraph"/>
        <w:numPr>
          <w:ilvl w:val="0"/>
          <w:numId w:val="100524440"/>
        </w:numPr>
        <w:ind w:left="360"/>
      </w:pPr>
      <w:r>
        <w:t xml:space="preserve">Is het onder het Raadsvoorstel mogelijk voor een bedrijf om een werknemer in Nederland het minimumloon van een andere EU-lidstaat te betalen? Als hier limieten aan zitten, hoe wordt dit gehandhaafd?</w:t>
      </w:r>
      <w:r>
        <w:br/>
      </w:r>
    </w:p>
    <w:p>
      <w:pPr>
        <w:pStyle w:val="ListParagraph"/>
        <w:numPr>
          <w:ilvl w:val="0"/>
          <w:numId w:val="100524440"/>
        </w:numPr>
        <w:ind w:left="360"/>
      </w:pPr>
      <w:r>
        <w:t xml:space="preserve">Wat doet het EU Inc. voorstel met het fundament van de detacheringsrichtlijn waarin het werklandbeginsel is geregeld?</w:t>
      </w:r>
      <w:r>
        <w:br/>
      </w:r>
    </w:p>
    <w:p>
      <w:pPr>
        <w:pStyle w:val="ListParagraph"/>
        <w:numPr>
          <w:ilvl w:val="0"/>
          <w:numId w:val="100524440"/>
        </w:numPr>
        <w:ind w:left="360"/>
      </w:pPr>
      <w:r>
        <w:t xml:space="preserve">Wat doet het EU Inc. voorstel om postbusbedrijven tegen te gaan, nu het voorstel de vrije keuze van een EU Inc. bedrijf voor de lidstaat van registratie vooropstelt?</w:t>
      </w:r>
      <w:r>
        <w:br/>
      </w:r>
    </w:p>
    <w:p>
      <w:pPr>
        <w:pStyle w:val="ListParagraph"/>
        <w:numPr>
          <w:ilvl w:val="0"/>
          <w:numId w:val="100524440"/>
        </w:numPr>
        <w:ind w:left="360"/>
      </w:pPr>
      <w:r>
        <w:t xml:space="preserve">Kan een uitzendbureau een Europe Inc. bedrijf worden? Zo ja, is dat niet zeer onwenselijk gezien de problematiek met uitbuiting van arbeidsmigranten door een deel van de uitzendbureaus in Nederland?</w:t>
      </w:r>
      <w:r>
        <w:br/>
      </w:r>
    </w:p>
    <w:p>
      <w:pPr>
        <w:pStyle w:val="ListParagraph"/>
        <w:numPr>
          <w:ilvl w:val="0"/>
          <w:numId w:val="100524440"/>
        </w:numPr>
        <w:ind w:left="360"/>
      </w:pPr>
      <w:r>
        <w:t xml:space="preserve">Welk land geldt als het werkland als een uitzendbureau zijn werknemers iedere paar maanden in en ander land laat werken? Valt deze werknemer dan nog steeds onder het Nederlands werknemersrecht als deze een aantal maanden in Nederland werkt?</w:t>
      </w:r>
      <w:r>
        <w:br/>
      </w:r>
    </w:p>
    <w:p>
      <w:pPr>
        <w:pStyle w:val="ListParagraph"/>
        <w:numPr>
          <w:ilvl w:val="0"/>
          <w:numId w:val="100524440"/>
        </w:numPr>
        <w:ind w:left="360"/>
      </w:pPr>
      <w:r>
        <w:t xml:space="preserve">Zijn er verbeteringen in het Raadsstandpunt doorgevoerd voor waarborgen om fraude, witwassen en misbruik van de EU Inc. te voorkomen en bestrijden? Zo ja, op welke manier? Zo nee, hoe schat de u de risico’s op fraude, witwassen en belastingfraude in Nederland in door dit voorstel?</w:t>
      </w:r>
      <w:r>
        <w:br/>
      </w:r>
    </w:p>
    <w:p>
      <w:pPr>
        <w:pStyle w:val="ListParagraph"/>
        <w:numPr>
          <w:ilvl w:val="0"/>
          <w:numId w:val="100524440"/>
        </w:numPr>
        <w:ind w:left="360"/>
      </w:pPr>
      <w:r>
        <w:t xml:space="preserve">In welke gevallen is en Europe Inc. bedrijf niet gehouden aan landelijke arbeidswetgeving?</w:t>
      </w:r>
      <w:r>
        <w:br/>
      </w:r>
    </w:p>
    <w:p>
      <w:pPr>
        <w:pStyle w:val="ListParagraph"/>
        <w:numPr>
          <w:ilvl w:val="0"/>
          <w:numId w:val="100524440"/>
        </w:numPr>
        <w:ind w:left="360"/>
      </w:pPr>
      <w:r>
        <w:t xml:space="preserve">Gaat dit voorstel er in de huidige vorm voor zorgen dat bedrijven concurreren op innovatie in plaats van op arbeidsvoorwaarden?</w:t>
      </w:r>
      <w:r>
        <w:br/>
      </w:r>
    </w:p>
    <w:p>
      <w:pPr>
        <w:pStyle w:val="ListParagraph"/>
        <w:numPr>
          <w:ilvl w:val="0"/>
          <w:numId w:val="100524440"/>
        </w:numPr>
        <w:ind w:left="360"/>
      </w:pPr>
      <w:r>
        <w:t xml:space="preserve">Is het juist het Raadsvoorstel geen juridisch bindende bescherming biedt om te borgen dat een werknemer van een EU Inc. bedrijf dat in een andere lidstaat gevestigd is, beroep kan doen op nationale collectieve arbeidsrechten?</w:t>
      </w:r>
      <w:r>
        <w:br/>
      </w:r>
    </w:p>
    <w:p>
      <w:pPr>
        <w:pStyle w:val="ListParagraph"/>
        <w:numPr>
          <w:ilvl w:val="0"/>
          <w:numId w:val="100524440"/>
        </w:numPr>
        <w:ind w:left="360"/>
      </w:pPr>
      <w:r>
        <w:t xml:space="preserve">Is het juist dat een werknemer geen beroep kan doen op de Rome-I Verordening voor bescherming van de collectieve arbeidsrechten in zijn gewoonlijk werkland, als zijn of haar EU Inc. werkgever in een andere lidstaat geregistreerd is?</w:t>
      </w:r>
      <w:r>
        <w:br/>
      </w:r>
    </w:p>
    <w:p>
      <w:pPr>
        <w:pStyle w:val="ListParagraph"/>
        <w:numPr>
          <w:ilvl w:val="0"/>
          <w:numId w:val="100524440"/>
        </w:numPr>
        <w:ind w:left="360"/>
      </w:pPr>
      <w:r>
        <w:t xml:space="preserve">Hoe wordt juridisch geborgd dat EU Inc. bedrijven hun werknemers niet in aandelen in plaats van euro’s kan uitbetalen tot het minimumloon?</w:t>
      </w:r>
      <w:r>
        <w:br/>
      </w:r>
    </w:p>
    <w:p>
      <w:pPr>
        <w:pStyle w:val="ListParagraph"/>
        <w:numPr>
          <w:ilvl w:val="0"/>
          <w:numId w:val="100524440"/>
        </w:numPr>
        <w:ind w:left="360"/>
      </w:pPr>
      <w:r>
        <w:t xml:space="preserve">Bent u bereid om desnoods het vetorecht in stelling te brengen om een onaanvaardbare uitholling van werknemersrechten te voorkomen?</w:t>
      </w:r>
      <w:r>
        <w:br/>
      </w:r>
    </w:p>
    <w:p>
      <w:r>
        <w:t xml:space="preserve">1.) Aanhangsel Handelingen II, vergaderjaar 2025–2026, nr. 2026.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