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2026Z24286</w:t>
        <w:br/>
      </w:r>
      <w:proofErr w:type="spellEnd"/>
    </w:p>
    <w:p>
      <w:pPr>
        <w:pStyle w:val="Normal"/>
        <w:rPr>
          <w:b w:val="1"/>
          <w:bCs w:val="1"/>
        </w:rPr>
      </w:pPr>
      <w:r w:rsidR="250AE766">
        <w:rPr>
          <w:b w:val="0"/>
          <w:bCs w:val="0"/>
        </w:rPr>
        <w:t>(ingezonden 6 november 2026)</w:t>
        <w:br/>
      </w:r>
    </w:p>
    <w:p>
      <w:r>
        <w:t xml:space="preserve">Vragen van het lid Keijzer (Keijzer) aan de ministers van Onderwijs, Cultuur en Wetenschap en van Justitie en Veiligheid over het bericht ‘D66-minister weigert onderzoek naar buitenlandse financiers Gaza-protesten ondanks Kamermotie’</w:t>
      </w:r>
      <w:r>
        <w:br/>
      </w:r>
    </w:p>
    <w:p>
      <w:pPr>
        <w:pStyle w:val="ListParagraph"/>
        <w:numPr>
          <w:ilvl w:val="0"/>
          <w:numId w:val="100524420"/>
        </w:numPr>
        <w:ind w:left="360"/>
      </w:pPr>
      <w:r>
        <w:t xml:space="preserve">Bent u bekend met het bericht ‘D66-minister weigert onderzoek naar buitenlandse financiers Gaza-protesten ondanks Kamermotie’?[1]</w:t>
      </w:r>
      <w:r>
        <w:br/>
      </w:r>
    </w:p>
    <w:p>
      <w:pPr>
        <w:pStyle w:val="ListParagraph"/>
        <w:numPr>
          <w:ilvl w:val="0"/>
          <w:numId w:val="100524420"/>
        </w:numPr>
        <w:ind w:left="360"/>
      </w:pPr>
      <w:r>
        <w:t xml:space="preserve">Herinnert u zich dat op 10 mei 2024 Kamervragen zijn gesteld door voormalig Tweede Kamerlid van Zanten over mogelijke buitenlandse financiering van pro-Palestijnse protesten en organisaties in Nederland en dat het toenmalige kabinet in antwoord daarop aangaf dat geen concrete signalen of bewijzen bekend waren van buitenlandse donoren of mogendheden die deze acties of organisaties financieel ondersteunden? [2]</w:t>
      </w:r>
      <w:r>
        <w:br/>
      </w:r>
    </w:p>
    <w:p>
      <w:pPr>
        <w:pStyle w:val="ListParagraph"/>
        <w:numPr>
          <w:ilvl w:val="0"/>
          <w:numId w:val="100524420"/>
        </w:numPr>
        <w:ind w:left="360"/>
      </w:pPr>
      <w:r>
        <w:t xml:space="preserve">Klopt het dat de ministers van Onderwijs, Cultuur en Wetenschap en Justitie en Veiligheid destijds aangaven niet over een juridische grondslag te beschikken om persoonsgegevens te verwerken over ongewenste buitenlandse financiering van demonstranten?</w:t>
      </w:r>
      <w:r>
        <w:br/>
      </w:r>
    </w:p>
    <w:p>
      <w:pPr>
        <w:pStyle w:val="ListParagraph"/>
        <w:numPr>
          <w:ilvl w:val="0"/>
          <w:numId w:val="100524420"/>
        </w:numPr>
        <w:ind w:left="360"/>
      </w:pPr>
      <w:r>
        <w:t xml:space="preserve">Waarom heeft het kabinet sinds mei 2024 geen stappen gezet om te zorgen dat ongewenste buitenlandse financiering van deze organisaties onderzocht kan worden?</w:t>
      </w:r>
      <w:r>
        <w:br/>
      </w:r>
    </w:p>
    <w:p>
      <w:pPr>
        <w:pStyle w:val="ListParagraph"/>
        <w:numPr>
          <w:ilvl w:val="0"/>
          <w:numId w:val="100524420"/>
        </w:numPr>
        <w:ind w:left="360"/>
      </w:pPr>
      <w:r>
        <w:t xml:space="preserve">Hoe verklaart u dat het kabinet ongeveer tweeënhalf jaar nadat het voor het eerst werd gewezen op het ontbreken van een juridische grondslag, opnieuw dezelfde ontbreken van een wettelijke grondslag aanvoert als reden waarom geen onderzoek is uitgevoerd? [3]</w:t>
      </w:r>
      <w:r>
        <w:br/>
      </w:r>
    </w:p>
    <w:p>
      <w:pPr>
        <w:pStyle w:val="ListParagraph"/>
        <w:numPr>
          <w:ilvl w:val="0"/>
          <w:numId w:val="100524420"/>
        </w:numPr>
        <w:ind w:left="360"/>
      </w:pPr>
      <w:r>
        <w:t xml:space="preserve">Kunt u uitleggen op welke manier is geprobeerd uitvoering te geven aan de aangenomen motie-Van Zanten over onderzoeken in hoeverre pro-Palestijnse demonstraties op en via universiteiten worden gefinancierd door buitenlandse mogendheden? [4]</w:t>
      </w:r>
      <w:r>
        <w:br/>
      </w:r>
    </w:p>
    <w:p>
      <w:pPr>
        <w:pStyle w:val="ListParagraph"/>
        <w:numPr>
          <w:ilvl w:val="0"/>
          <w:numId w:val="100524420"/>
        </w:numPr>
        <w:ind w:left="360"/>
      </w:pPr>
      <w:r>
        <w:t xml:space="preserve">Klopt het dat ruim dertien maanden na aanneming van deze motie nog altijd geen onderzoek naar deze financieringsstromen is uitgevoerd? Zo ja, hoe past dat bij de wens van de meerderheid van de Tweede Kamer?</w:t>
      </w:r>
      <w:r>
        <w:br/>
      </w:r>
    </w:p>
    <w:p>
      <w:pPr>
        <w:pStyle w:val="ListParagraph"/>
        <w:numPr>
          <w:ilvl w:val="0"/>
          <w:numId w:val="100524420"/>
        </w:numPr>
        <w:ind w:left="360"/>
      </w:pPr>
      <w:r>
        <w:t xml:space="preserve">Welke alternatieve opties heeft het kabinet bekeken of onderzocht om binnen de bestaande wettelijke kaders alsnog uitvoering te geven aan de motie? Kunt u deze mogelijkheden afzonderlijk benoemen?</w:t>
      </w:r>
      <w:r>
        <w:br/>
      </w:r>
    </w:p>
    <w:p>
      <w:pPr>
        <w:pStyle w:val="ListParagraph"/>
        <w:numPr>
          <w:ilvl w:val="0"/>
          <w:numId w:val="100524420"/>
        </w:numPr>
        <w:ind w:left="360"/>
      </w:pPr>
      <w:r>
        <w:t xml:space="preserve">Deelt u de mening dat het vanuit het oogpunt van nationale veiligheid onwenselijk is wanneer buitenlandse staten of aan hen gelieerde organisaties Nederlandse protestbewegingen kunnen financieren zonder dat de Nederlandse overheid in staat is deze geldstromen in kaart te brengen?</w:t>
      </w:r>
      <w:r>
        <w:br/>
      </w:r>
    </w:p>
    <w:p>
      <w:pPr>
        <w:pStyle w:val="ListParagraph"/>
        <w:numPr>
          <w:ilvl w:val="0"/>
          <w:numId w:val="100524420"/>
        </w:numPr>
        <w:ind w:left="360"/>
      </w:pPr>
      <w:r>
        <w:t xml:space="preserve">Kunt u op dit moment uitsluiten dat buitenlandse mogendheden of aan hen gelieerde organisaties direct of indirect geld hebben verstrekt aan organisaties die betrokken zijn geweest bij pro-Palestijnse protesten op Nederlandse universiteiten? Zo nee, waarom heeft dit kabinet dit nadat de motie is aangenomen nog steeds niet in kaart?</w:t>
      </w:r>
      <w:r>
        <w:br/>
      </w:r>
    </w:p>
    <w:p>
      <w:pPr>
        <w:pStyle w:val="ListParagraph"/>
        <w:numPr>
          <w:ilvl w:val="0"/>
          <w:numId w:val="100524420"/>
        </w:numPr>
        <w:ind w:left="360"/>
      </w:pPr>
      <w:r>
        <w:t xml:space="preserve">Klopt het dat de minister van Justitie en Veiligheid heeft toegezegd de Kamer voor de begrotingsbehandeling van Justitie en Veiligheid te informeren over de wijze waarop de motie alsnog wordt uitgevoerd?</w:t>
      </w:r>
      <w:r>
        <w:br/>
      </w:r>
    </w:p>
    <w:p>
      <w:pPr>
        <w:pStyle w:val="ListParagraph"/>
        <w:numPr>
          <w:ilvl w:val="0"/>
          <w:numId w:val="100524420"/>
        </w:numPr>
        <w:ind w:left="360"/>
      </w:pPr>
      <w:r>
        <w:t xml:space="preserve">Deelt u de mening dat het onaanvaardbaar is wanneer achtereenvolgende kabinetten eerst stellen geen signalen te hebben, vervolgens aangeven niet over de juridische mogelijkheden te beschikken om deze signalen te onderzoeken, daarna jarenlang niets doen om die juridische belemmeringen weg te nemen en uiteindelijk een aangenomen motie niet uitvoeren onder verwijzing naar dezelfde juridische belemmering die al tweeënhalf jaar bekend was? Zo nee, waarom niet?</w:t>
      </w:r>
      <w:r>
        <w:br/>
      </w:r>
    </w:p>
    <w:p>
      <w:pPr>
        <w:pStyle w:val="ListParagraph"/>
        <w:numPr>
          <w:ilvl w:val="0"/>
          <w:numId w:val="100524420"/>
        </w:numPr>
        <w:ind w:left="360"/>
      </w:pPr>
      <w:r>
        <w:t xml:space="preserve">Hoe vaak moet de Tweede Kamer dezelfde kwestie nog aankaarten, Kamervragen stellen, om brieven verzoeken en moties aannemen voordat het kabinet daadwerkelijk tot uitvoering overgaat?</w:t>
      </w:r>
      <w:r>
        <w:br/>
      </w:r>
    </w:p>
    <w:p>
      <w:pPr>
        <w:pStyle w:val="ListParagraph"/>
        <w:numPr>
          <w:ilvl w:val="0"/>
          <w:numId w:val="100524420"/>
        </w:numPr>
        <w:ind w:left="360"/>
      </w:pPr>
      <w:r>
        <w:t xml:space="preserve">Kunt u deze vragen afzonderlijk van elkaar beantwoorden?</w:t>
      </w:r>
      <w:r>
        <w:br/>
      </w:r>
    </w:p>
    <w:p>
      <w:r>
        <w:t xml:space="preserve">[1] NieuwRechts, 2 november 2026, D66-minister weigert onderzoek naar buitenlandse financiers Gaza-protesten ondanks Kamermotie (nieuwrechts.nl/114055-d66-minister-letschert-weigert-onderzoek-naar-buitenlandse-financiers-gaza-protesten-ondanks-kamermotie)</w:t>
      </w:r>
      <w:r>
        <w:br/>
      </w:r>
    </w:p>
    <w:p>
      <w:r>
        <w:t xml:space="preserve">[2] Aanhangsel Handelingen, vergaderjaar 2023–2024, nr. 1960.</w:t>
      </w:r>
      <w:r>
        <w:br/>
      </w:r>
    </w:p>
    <w:p>
      <w:r>
        <w:t xml:space="preserve">[3] Aanhangsel Handelingen, vergaderjaar 2026-2027, nr. 163.</w:t>
      </w:r>
      <w:r>
        <w:br/>
      </w:r>
    </w:p>
    <w:p>
      <w:r>
        <w:t xml:space="preserve">[4] Kamerstuk 30821, nr. 311.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80">
    <w:abstractNumId w:val="100524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