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2026Z24113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5 november 2026)</w:t>
        <w:br/>
      </w:r>
    </w:p>
    <w:p>
      <w:r>
        <w:t xml:space="preserve">Vragen van de leden Moorman, Abdi, Tseggai, Westerveld en Mohandis (allen PRO) aan de minister en de staatssecretaris van Onderwijs, Cultuur en Wetenschap over de Voortgangsbrief Slagvaardige Overheid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Bent u bekend met de Voortgangsbrief Slagvaardige Overheid[1] van 26 oktober 2026?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Klopt de berichtgeving van NRC[2] dat het ambtenarenbudget bij het ministerie van OCW met 30 procent zal dalen? Zo nee, wat zijn dan de juiste prognose?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Wat zijn de gevolgen van het fors snijden in de uitvoering voor het ministerie van OCW? Welke belangrijke overheidstaken kunnen in het geding komen?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Kunt u een overzicht geven van de toezichthouders en uitvoeringsorganisaties waarop bezuinigd kan worden en of deze nu al juist kampen met capaciteitstekorten om hun taken goed uit te kunnen voeren?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Welke ambities en plannen kunnen in gevaar komen naar aanleiding van deze forse bezuinigingen? Hoe bent u van plan om deze ambities en plannen alsnog te behalen, ondanks de bezuinigingen?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Bent u het eens met de waarschuwing van de Algemene Rekenkamer dat er harde keuzes gemaakt moeten worden om de voorgestelde bezuiniging te bewerkstelligen? Zo ja, welke taken bent u van plan te laten vallen? Zo nee, waarom denkt u dat het niet nodig is om deze harde keuzes te maken?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Zijn er al AI-modellen die bewezen hebben dat zij kunnen bijdragen aan efficiënter werken en zo ja, welke? Op welke manier hebben zij dit bewezen? Zo nee, welke ontwikkelingen verwacht u op het gebied van AI waardoor de doelstellingen voor efficiënter werken wel gehaald kunnen worden en waar baseert u die voorspelling op?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Wilt u voorkomen dat door inzet van AI voor efficiëntiedoeleinden een nieuwe strategische afhankelijkheid ontstaat van een grote tech-onderneming? Zo ja, hoe? Zo nee, waarom niet?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Hoe rijmt u de inzet van AI om efficiëntieslagen te behalen met de inzet om verantwoord om te gaan met AI in het Nederlandse onderwijs?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Zijn er onderliggende beslisnota’s en adviezen die zien op de gevolgen van deze bezuinigingen op OCW? Zo ja, kunnen deze met de Kamer worden gedeeld?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Klopt het dat OCW niet betrokken is geweest bij het opstellen van de plannen over de bezuinigingen?</w:t>
      </w:r>
      <w:r>
        <w:br/>
      </w:r>
    </w:p>
    <w:p>
      <w:pPr>
        <w:pStyle w:val="ListParagraph"/>
        <w:numPr>
          <w:ilvl w:val="0"/>
          <w:numId w:val="100524360"/>
        </w:numPr>
        <w:ind w:left="360"/>
      </w:pPr>
      <w:r>
        <w:t xml:space="preserve">Kunt u deze vragen afzonderlijk en binnen de gestelde termijn beantwoorden?</w:t>
      </w:r>
      <w:r>
        <w:br/>
      </w:r>
    </w:p>
    <w:p>
      <w:r>
        <w:t xml:space="preserve"> </w:t>
      </w:r>
      <w:r>
        <w:br/>
      </w:r>
    </w:p>
    <w:p>
      <w:r>
        <w:t xml:space="preserve">[1] Documentnummer 2026D52762</w:t>
      </w:r>
      <w:r>
        <w:br/>
      </w:r>
    </w:p>
    <w:p>
      <w:r>
        <w:t xml:space="preserve">[2] NRC, d.d. 19 oktober 2026, ‘Waar vallen de hardste klappen door de ambtenarenbezuinigingen? Bij drie ministeries verdwijnt bijna een derde van het geld’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431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4310">
    <w:abstractNumId w:val="10052431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