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2026Z24110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5 november 2026)</w:t>
        <w:br/>
      </w:r>
    </w:p>
    <w:p>
      <w:r>
        <w:t xml:space="preserve">Vragen van het lid Patijn (PRO) aan de minister van Sociale Zaken en Werkgelegenheid over de continuering van de sectoraanpak sociale veiligheid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Klopt het dat u in uw Kamerbrief over de voortgang van gezond en veilig werken van 8 juni 2026 1) en in het tweeminutendebat Gezond en Veilig werken van 7 oktober 2026 hebt aangegeven dat u kiest voor een sectorale aanpak, in plaats van een wettelijk verplichte gedragscode, om ongewenst gedrag op de werkvloer tegen te gaan? Erkent u dat de sectoraanpak sociale veiligheid daarmee het belangrijkste instrument van u is om sociale veiligheid op de werkvloer te bevorderen?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Erkent u ook dat deze keuze alleen houdbaar is als de sectoraanpak na 2026 overeind blijft en verder wordt uitgerold?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Hoe beoordeelt u de vraag uit het veld dat er in aanvulling op de veertien sectoren waar inmiddels een sectoraanpak sociale veiligheid loopt ook nog zeker vier sectoren zijn die ermee willen beginnen? Deelt u de opvatting dat sectoren die nu klaarstaan om te beginnen, ook de kans moeten krijgen om dat te doen?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Welke signalen heeft u van werkgevers- en werknemersorganisaties gekregen over het voortzetten van de sectoraanpak na 2026? Wilt u de Kamer informeren over de verzoeken die u hierover hebt ontvangen en over uw reactie daarop?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Wie neemt de coördinatie en begeleiding van de sectoraanpak vanaf 1 januari 2027 over, als het mandaat van de regeringscommissaris seksueel grensoverschrijdend gedrag en seksueel geweld afloopt? Hoe voorkomt u dat er een gat ontstaat, waarin sectoren die nu volop bezig zijn hun ondersteuning verliezen en sectoren die willen beginnen moeten wachten?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Klopt het daarnaast dat de Regeringscommissaris daar in overleg met sociale partners, op uw verzoek, een voorstel over heeft gedaan? Zo ja, wat is er met dit voorstel gebeurd? 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Hoe borgt u bij de voortzetting dat de kennis, instrumenten en netwerken die de afgelopen jaren in en tussen sectoren zijn opgebouwd, behouden blijven en verder worden ontwikkeld?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Wat is de uitkomst van die verkenning naar hoe u uw inzet op een sectoraanpak het beste vormgeeft, waarbij ook de financiële gevolgen worden meegenomen, zoals u in de brief van 8 juni schreef? Welke middelen hebt u voor 2027 en de jaren daarna gereserveerd voor deze coördinatie en begeleiding?</w:t>
      </w:r>
      <w:r>
        <w:br/>
      </w:r>
    </w:p>
    <w:p>
      <w:pPr>
        <w:pStyle w:val="ListParagraph"/>
        <w:numPr>
          <w:ilvl w:val="0"/>
          <w:numId w:val="100524330"/>
        </w:numPr>
        <w:ind w:left="360"/>
      </w:pPr>
      <w:r>
        <w:t xml:space="preserve">Wanneer neemt u een besluit over de voortzetting? Kunt u de Kamer voor het einde van dit jaar laten weten hoe u de sectoraanpak sociale veiligheid vanaf 2027 organiseert en financiert, met een tijdpad?</w:t>
      </w:r>
      <w:r>
        <w:br/>
      </w:r>
    </w:p>
    <w:p>
      <w:r>
        <w:t xml:space="preserve"> </w:t>
      </w:r>
      <w:r>
        <w:br/>
      </w:r>
    </w:p>
    <w:p>
      <w:r>
        <w:t xml:space="preserve">1). Kamerstuk 25 883, nr. 549.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431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4310">
    <w:abstractNumId w:val="10052431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