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97B8C" w:rsidR="002A2735" w:rsidRDefault="005507A1" w14:paraId="5C450B03" w14:textId="4707C918">
      <w:pPr>
        <w:spacing w:after="0" w:line="240" w:lineRule="auto"/>
        <w:ind w:left="360" w:firstLine="0"/>
        <w:rPr>
          <w:b/>
          <w:bCs/>
          <w:szCs w:val="20"/>
        </w:rPr>
      </w:pPr>
      <w:r w:rsidRPr="00197B8C">
        <w:rPr>
          <w:rFonts w:eastAsia="Calibri" w:cs="Calibri"/>
          <w:b/>
          <w:bCs/>
          <w:szCs w:val="20"/>
        </w:rPr>
        <w:t xml:space="preserve">Maatregelen genomen/in gang gezet sinds rapport Commissie Donner, SCS en Doen wat kan.   </w:t>
      </w:r>
    </w:p>
    <w:p w:rsidR="002A2735" w:rsidRDefault="005507A1" w14:paraId="5FC453A5" w14:textId="77777777">
      <w:pPr>
        <w:spacing w:after="0" w:line="259" w:lineRule="auto"/>
        <w:ind w:left="0" w:firstLine="0"/>
      </w:pPr>
      <w:r>
        <w:rPr>
          <w:rFonts w:ascii="Calibri" w:hAnsi="Calibri" w:eastAsia="Calibri" w:cs="Calibri"/>
          <w:sz w:val="24"/>
        </w:rPr>
        <w:t xml:space="preserve"> </w:t>
      </w:r>
    </w:p>
    <w:p w:rsidR="002A2735" w:rsidP="00197B8C" w:rsidRDefault="005507A1" w14:paraId="1DE97B7B" w14:textId="659116F0">
      <w:pPr>
        <w:numPr>
          <w:ilvl w:val="0"/>
          <w:numId w:val="1"/>
        </w:numPr>
        <w:ind w:hanging="360"/>
      </w:pPr>
      <w:r>
        <w:t xml:space="preserve">Het uitwerken en ontwikkelen van de vereenvoudiging van de vaststelling van schadevergoeding door normering.   </w:t>
      </w:r>
    </w:p>
    <w:p w:rsidR="002A2735" w:rsidRDefault="0038282B" w14:paraId="2132EC23" w14:textId="598C4EA4">
      <w:pPr>
        <w:numPr>
          <w:ilvl w:val="1"/>
          <w:numId w:val="1"/>
        </w:numPr>
        <w:ind w:hanging="360"/>
      </w:pPr>
      <w:r>
        <w:t xml:space="preserve">Rotterdamse schaal. </w:t>
      </w:r>
      <w:r w:rsidR="005507A1">
        <w:t xml:space="preserve">Per 1 januari 2026 gelden de aanbevelingen van de Rechtspraak over het hanteren van de Rotterdamse schaal bij het begroten van smartengeld. </w:t>
      </w:r>
    </w:p>
    <w:p w:rsidR="002A2735" w:rsidRDefault="009F1DE7" w14:paraId="3999B503" w14:textId="2E511478">
      <w:pPr>
        <w:numPr>
          <w:ilvl w:val="1"/>
          <w:numId w:val="1"/>
        </w:numPr>
        <w:ind w:hanging="360"/>
      </w:pPr>
      <w:r>
        <w:t>D</w:t>
      </w:r>
      <w:r w:rsidR="005507A1">
        <w:t xml:space="preserve">e Erasmus Universiteit Rotterdam </w:t>
      </w:r>
      <w:r>
        <w:t xml:space="preserve">heeft </w:t>
      </w:r>
      <w:r w:rsidR="005507A1">
        <w:t xml:space="preserve">het rapport ‘Doen wat kan’ opgeleverd. De Raad voor de rechtspraak geeft invulling aan de volgende aanbevelingen die aan hen zijn gericht: </w:t>
      </w:r>
    </w:p>
    <w:p w:rsidR="002A2735" w:rsidRDefault="005507A1" w14:paraId="58C1F3B4" w14:textId="77777777">
      <w:pPr>
        <w:numPr>
          <w:ilvl w:val="2"/>
          <w:numId w:val="1"/>
        </w:numPr>
        <w:ind w:hanging="360"/>
      </w:pPr>
      <w:r>
        <w:t xml:space="preserve">Een beschrijving van de werkwijze ten behoeve van de behandeling van de vordering benadeelde partij in het strafproces, inclusief instructies ten aanzien van complexe schadeposten zoals genoemd in </w:t>
      </w:r>
    </w:p>
    <w:p w:rsidR="002A2735" w:rsidRDefault="005507A1" w14:paraId="23AF2266" w14:textId="77777777">
      <w:pPr>
        <w:ind w:left="1800" w:firstLine="0"/>
      </w:pPr>
      <w:r>
        <w:t xml:space="preserve">‘Doen wat kan’ (gederfd levensonderhoud, verlies van arbeidsvermogen en shockschade), vastgesteld door het LOVS.  </w:t>
      </w:r>
    </w:p>
    <w:p w:rsidR="002A2735" w:rsidRDefault="005507A1" w14:paraId="10C76D03" w14:textId="77777777">
      <w:pPr>
        <w:numPr>
          <w:ilvl w:val="2"/>
          <w:numId w:val="1"/>
        </w:numPr>
        <w:ind w:hanging="360"/>
      </w:pPr>
      <w:r>
        <w:t xml:space="preserve">De versteviging van de samenwerking tussen afdelingen civiel recht en strafrecht van de gerechten ten behoeve van verbetering van de behandeling en beoordeling van de vordering benadeelde partij in het strafproces.  </w:t>
      </w:r>
    </w:p>
    <w:p w:rsidR="002A2735" w:rsidRDefault="005507A1" w14:paraId="4DADCA48" w14:textId="77777777">
      <w:pPr>
        <w:numPr>
          <w:ilvl w:val="0"/>
          <w:numId w:val="1"/>
        </w:numPr>
        <w:ind w:hanging="360"/>
      </w:pPr>
      <w:r>
        <w:t xml:space="preserve">Uitbreiding </w:t>
      </w:r>
      <w:proofErr w:type="spellStart"/>
      <w:r>
        <w:t>ongemaximeerde</w:t>
      </w:r>
      <w:proofErr w:type="spellEnd"/>
      <w:r>
        <w:t xml:space="preserve"> voorschotregeling met aantal ernstige geweldsdelicten (SCS). Verwachte inwerkingtreding in 2027.  </w:t>
      </w:r>
    </w:p>
    <w:p w:rsidR="002A2735" w:rsidRDefault="005507A1" w14:paraId="1F35FCDB" w14:textId="7BC63146">
      <w:pPr>
        <w:numPr>
          <w:ilvl w:val="0"/>
          <w:numId w:val="1"/>
        </w:numPr>
        <w:ind w:hanging="360"/>
      </w:pPr>
      <w:r>
        <w:t xml:space="preserve">Uitbreiding kring der gerechtigden affectieschade. </w:t>
      </w:r>
      <w:r w:rsidRPr="006D538F" w:rsidR="006D538F">
        <w:t>Advies op de Wet uitbreiding vergoeding affectieschade is uitgebracht op 26 augustus 2026 door de Afdeling advisering van de Raad van State. Het nader rapport is in voorbereiding.</w:t>
      </w:r>
    </w:p>
    <w:p w:rsidR="002A2735" w:rsidRDefault="005507A1" w14:paraId="75322915" w14:textId="77777777">
      <w:pPr>
        <w:numPr>
          <w:ilvl w:val="0"/>
          <w:numId w:val="1"/>
        </w:numPr>
        <w:ind w:hanging="360"/>
      </w:pPr>
      <w:r>
        <w:t xml:space="preserve">Bevorderen toepassing vroegtijdig conservatoir beslag. Kleinschalige pilots lopen in verschillende regio’s tot eind van dit jaar.   </w:t>
      </w:r>
    </w:p>
    <w:p w:rsidR="002A2735" w:rsidRDefault="005507A1" w14:paraId="205F0E6E" w14:textId="77777777">
      <w:pPr>
        <w:numPr>
          <w:ilvl w:val="0"/>
          <w:numId w:val="1"/>
        </w:numPr>
        <w:ind w:hanging="360"/>
      </w:pPr>
      <w:r>
        <w:t xml:space="preserve">Vaker toepassen mogelijkheid art. 14c lid 2, aanhef en onder 4, Sr (als bijzondere voorwaarde opleggen een verplichte storting van een geldbedrag in het </w:t>
      </w:r>
    </w:p>
    <w:p w:rsidR="002A2735" w:rsidRDefault="005507A1" w14:paraId="79B958EA" w14:textId="77777777">
      <w:pPr>
        <w:ind w:left="720" w:firstLine="0"/>
      </w:pPr>
      <w:r>
        <w:t xml:space="preserve">Schadefonds Geweldsmisdrijven of ten gunste van een instelling die zich ten doel stelt belangen van slachtoffers van strafbare feiten te behartigen). De Rechtspraak beheert een (niet-limitatieve) lijst waarop een aantal instellingen staat vermeld, om de duidelijkheid te bevorderen ten aanzien van welke instellingen dit mogelijk is. </w:t>
      </w:r>
    </w:p>
    <w:p w:rsidR="002A2735" w:rsidP="00937EBF" w:rsidRDefault="005507A1" w14:paraId="569509BC" w14:textId="19D8F55F">
      <w:pPr>
        <w:numPr>
          <w:ilvl w:val="0"/>
          <w:numId w:val="1"/>
        </w:numPr>
        <w:ind w:hanging="360"/>
      </w:pPr>
      <w:r>
        <w:t xml:space="preserve">Kosteloze rechtsbijstand voor </w:t>
      </w:r>
      <w:r w:rsidR="00CA09C4">
        <w:t>slachtoffers van</w:t>
      </w:r>
      <w:r w:rsidR="00937EBF">
        <w:t xml:space="preserve"> internationale</w:t>
      </w:r>
      <w:r w:rsidR="00CA09C4">
        <w:t xml:space="preserve"> </w:t>
      </w:r>
      <w:r w:rsidR="00937EBF">
        <w:t>misdrijven</w:t>
      </w:r>
      <w:r>
        <w:t>. Er wordt begunstigend beleid gevoerd</w:t>
      </w:r>
      <w:r w:rsidR="00937EBF">
        <w:t xml:space="preserve"> </w:t>
      </w:r>
      <w:r w:rsidRPr="00937EBF" w:rsidR="00937EBF">
        <w:t xml:space="preserve">in de gevallen dat de vervolging in Nederland is aangevangen. </w:t>
      </w:r>
    </w:p>
    <w:p w:rsidRPr="009E1E36" w:rsidR="009E1E36" w:rsidP="009E1E36" w:rsidRDefault="009E1E36" w14:paraId="597741A6" w14:textId="4C2E65D1">
      <w:pPr>
        <w:pStyle w:val="Lijstalinea"/>
        <w:numPr>
          <w:ilvl w:val="0"/>
          <w:numId w:val="1"/>
        </w:numPr>
        <w:spacing w:line="247" w:lineRule="auto"/>
        <w:rPr>
          <w:color w:val="auto"/>
        </w:rPr>
      </w:pPr>
      <w:r>
        <w:t xml:space="preserve">Het Schadefonds Geweldsmisdrijven krijgt de mogelijkheid om een uitkering te verstrekken bij (stelselmatig) psychisch geweld. </w:t>
      </w:r>
      <w:r w:rsidRPr="00E65D58" w:rsidR="00E65D58">
        <w:rPr>
          <w:color w:val="auto"/>
        </w:rPr>
        <w:t>Het wetsvoorstel strafbaarstelling psychisch geweld introduceert een zelfstandige strafbaarstelling van dwingende controle en wijzigt de strafbaarstelling van mishandeling, zodat duidelijk is dat ook psychische mishandeling strafbaar is</w:t>
      </w:r>
      <w:r w:rsidRPr="006C004D" w:rsidR="00E65D58">
        <w:rPr>
          <w:color w:val="auto"/>
        </w:rPr>
        <w:t>.</w:t>
      </w:r>
      <w:r w:rsidRPr="006C004D">
        <w:rPr>
          <w:color w:val="auto"/>
        </w:rPr>
        <w:t xml:space="preserve"> H</w:t>
      </w:r>
      <w:r>
        <w:t xml:space="preserve">et wetsvoorstel is in juni 2026 in consultatie gebracht.  </w:t>
      </w:r>
    </w:p>
    <w:p w:rsidR="002A2735" w:rsidRDefault="005507A1" w14:paraId="49E24B3F" w14:textId="6A9DAF9D">
      <w:pPr>
        <w:numPr>
          <w:ilvl w:val="0"/>
          <w:numId w:val="1"/>
        </w:numPr>
        <w:ind w:hanging="360"/>
      </w:pPr>
      <w:r>
        <w:t xml:space="preserve">Aandacht voor </w:t>
      </w:r>
      <w:proofErr w:type="spellStart"/>
      <w:r>
        <w:t>equality</w:t>
      </w:r>
      <w:proofErr w:type="spellEnd"/>
      <w:r>
        <w:t xml:space="preserve"> of arms (Commissie Donner; Doen wat kan). De gesprekken over kwaliteit rechtsbijstand verdachte m.b.t. </w:t>
      </w:r>
    </w:p>
    <w:p w:rsidR="002A2735" w:rsidRDefault="005507A1" w14:paraId="096D9EDC" w14:textId="77777777">
      <w:pPr>
        <w:ind w:left="720" w:firstLine="0"/>
      </w:pPr>
      <w:r>
        <w:t xml:space="preserve">schadevergoedingsvordering lopen. </w:t>
      </w:r>
    </w:p>
    <w:p w:rsidR="002A2735" w:rsidRDefault="005507A1" w14:paraId="4D7411C6" w14:textId="39B0BCDE">
      <w:pPr>
        <w:numPr>
          <w:ilvl w:val="0"/>
          <w:numId w:val="1"/>
        </w:numPr>
        <w:ind w:hanging="360"/>
      </w:pPr>
      <w:r>
        <w:t xml:space="preserve">Uitbreiden reikwijdte SGM naar slachtoffers buitenland. Besluit om niet op in te zetten maar via </w:t>
      </w:r>
      <w:r w:rsidR="00197B8C">
        <w:t xml:space="preserve">het </w:t>
      </w:r>
      <w:r>
        <w:t>E</w:t>
      </w:r>
      <w:r w:rsidR="00197B8C">
        <w:t xml:space="preserve">uropean Network </w:t>
      </w:r>
      <w:proofErr w:type="spellStart"/>
      <w:r w:rsidR="00197B8C">
        <w:t>for</w:t>
      </w:r>
      <w:proofErr w:type="spellEnd"/>
      <w:r w:rsidR="00197B8C">
        <w:t xml:space="preserve"> </w:t>
      </w:r>
      <w:proofErr w:type="spellStart"/>
      <w:r w:rsidR="00197B8C">
        <w:t>Victims</w:t>
      </w:r>
      <w:proofErr w:type="spellEnd"/>
      <w:r w:rsidR="00197B8C">
        <w:t xml:space="preserve"> </w:t>
      </w:r>
      <w:proofErr w:type="spellStart"/>
      <w:r w:rsidR="00197B8C">
        <w:t>Rights</w:t>
      </w:r>
      <w:proofErr w:type="spellEnd"/>
      <w:r w:rsidR="00197B8C">
        <w:t xml:space="preserve"> (E</w:t>
      </w:r>
      <w:r>
        <w:t>NVR</w:t>
      </w:r>
      <w:r w:rsidR="00197B8C">
        <w:t xml:space="preserve">) </w:t>
      </w:r>
      <w:r>
        <w:t>inzetten op verbeteren grensoverschrijdende samenwerking.</w:t>
      </w:r>
      <w:r>
        <w:rPr>
          <w:i/>
        </w:rPr>
        <w:t xml:space="preserve">  </w:t>
      </w:r>
    </w:p>
    <w:p w:rsidR="002A2735" w:rsidRDefault="005507A1" w14:paraId="78DAA714" w14:textId="2C21BA48">
      <w:pPr>
        <w:numPr>
          <w:ilvl w:val="0"/>
          <w:numId w:val="1"/>
        </w:numPr>
        <w:ind w:hanging="360"/>
      </w:pPr>
      <w:r>
        <w:t>Verbeteren informatieverstrekking algemene voorzieningen</w:t>
      </w:r>
      <w:r>
        <w:rPr>
          <w:i/>
        </w:rPr>
        <w:t xml:space="preserve"> (</w:t>
      </w:r>
      <w:r>
        <w:t>financiering verstrekt aan SHN)</w:t>
      </w:r>
      <w:r w:rsidR="00891CE7">
        <w:t>.</w:t>
      </w:r>
      <w:r>
        <w:t xml:space="preserve">  </w:t>
      </w:r>
    </w:p>
    <w:p w:rsidR="002A2735" w:rsidRDefault="005507A1" w14:paraId="77489569" w14:textId="77777777">
      <w:pPr>
        <w:numPr>
          <w:ilvl w:val="0"/>
          <w:numId w:val="1"/>
        </w:numPr>
        <w:ind w:hanging="360"/>
      </w:pPr>
      <w:r>
        <w:t xml:space="preserve">Uitbreiding aanbod lotgenotengroepen (financiering verstrekt aan SHN). </w:t>
      </w:r>
    </w:p>
    <w:p w:rsidR="002A2735" w:rsidRDefault="005507A1" w14:paraId="3698D3C2" w14:textId="77777777">
      <w:pPr>
        <w:numPr>
          <w:ilvl w:val="0"/>
          <w:numId w:val="1"/>
        </w:numPr>
        <w:ind w:hanging="360"/>
      </w:pPr>
      <w:r>
        <w:t xml:space="preserve">Vereenvoudigen van schadeformulier. Verwachting medio 2027 nieuwe versie in gebruik.   </w:t>
      </w:r>
    </w:p>
    <w:p w:rsidR="00197B8C" w:rsidRDefault="00197B8C" w14:paraId="260C261B" w14:textId="77777777">
      <w:pPr>
        <w:pStyle w:val="Kop1"/>
      </w:pPr>
    </w:p>
    <w:p w:rsidR="002A2735" w:rsidRDefault="005507A1" w14:paraId="4E79FA9E" w14:textId="454292F2">
      <w:pPr>
        <w:pStyle w:val="Kop1"/>
      </w:pPr>
      <w:r>
        <w:t xml:space="preserve">Doen wat kan  </w:t>
      </w:r>
    </w:p>
    <w:p w:rsidR="002A2735" w:rsidRDefault="005507A1" w14:paraId="38906647" w14:textId="46E68E44">
      <w:pPr>
        <w:numPr>
          <w:ilvl w:val="0"/>
          <w:numId w:val="2"/>
        </w:numPr>
        <w:ind w:hanging="360"/>
      </w:pPr>
      <w:r>
        <w:t xml:space="preserve">Bevorderen kennis </w:t>
      </w:r>
      <w:r w:rsidR="00937EBF">
        <w:t xml:space="preserve">over behandeling van de benadeelde partij </w:t>
      </w:r>
      <w:r>
        <w:t xml:space="preserve">bij </w:t>
      </w:r>
      <w:r w:rsidR="00F3431C">
        <w:t>alle partijen.</w:t>
      </w:r>
      <w:r w:rsidR="00197B8C">
        <w:t xml:space="preserve"> </w:t>
      </w:r>
      <w:r>
        <w:t>Prioriteit bij vergroten kennis bij rechters en belangenbehartigers van verdachten</w:t>
      </w:r>
      <w:r w:rsidR="00937EBF">
        <w:t>.</w:t>
      </w:r>
      <w:r>
        <w:t xml:space="preserve"> </w:t>
      </w:r>
    </w:p>
    <w:p w:rsidR="002A2735" w:rsidP="00197B8C" w:rsidRDefault="005507A1" w14:paraId="16B07455" w14:textId="10BE5226">
      <w:pPr>
        <w:pStyle w:val="Lijstalinea"/>
        <w:numPr>
          <w:ilvl w:val="0"/>
          <w:numId w:val="2"/>
        </w:numPr>
      </w:pPr>
      <w:r>
        <w:t xml:space="preserve">“Bevorder het opstellen van (indicatieve) oriëntatiepunten voor schadevaststelling. (De Letselschade Raad, beroepsorganisaties, </w:t>
      </w:r>
      <w:proofErr w:type="spellStart"/>
      <w:r>
        <w:t>etc</w:t>
      </w:r>
      <w:proofErr w:type="spellEnd"/>
    </w:p>
    <w:p w:rsidR="002A2735" w:rsidRDefault="005507A1" w14:paraId="0A6B9FBF" w14:textId="4170B214">
      <w:pPr>
        <w:numPr>
          <w:ilvl w:val="0"/>
          <w:numId w:val="2"/>
        </w:numPr>
        <w:ind w:hanging="360"/>
      </w:pPr>
      <w:r>
        <w:t>“Voorzie in een hanteerbare afbakening van ‘shockschade’ ten opzichte van schade van derden in de zin van art. 6:107 en 108 BW.</w:t>
      </w:r>
      <w:r w:rsidR="00032D20">
        <w:t>”</w:t>
      </w:r>
    </w:p>
    <w:p w:rsidR="002A2735" w:rsidRDefault="005507A1" w14:paraId="5DDC2512" w14:textId="77777777">
      <w:pPr>
        <w:spacing w:after="7" w:line="259" w:lineRule="auto"/>
        <w:ind w:left="0" w:firstLine="0"/>
      </w:pPr>
      <w:r>
        <w:t xml:space="preserve"> </w:t>
      </w:r>
    </w:p>
    <w:p w:rsidRPr="00197B8C" w:rsidR="002A2735" w:rsidRDefault="00197B8C" w14:paraId="618716B4" w14:textId="3B695F20">
      <w:pPr>
        <w:spacing w:after="0" w:line="259" w:lineRule="auto"/>
        <w:ind w:left="0" w:firstLine="0"/>
        <w:rPr>
          <w:b/>
        </w:rPr>
      </w:pPr>
      <w:r w:rsidRPr="00197B8C">
        <w:rPr>
          <w:b/>
        </w:rPr>
        <w:t xml:space="preserve">Werking van het stelsel voor compensatie voor slachtoffers van strafbare feiten </w:t>
      </w:r>
    </w:p>
    <w:p w:rsidR="00197B8C" w:rsidRDefault="00197B8C" w14:paraId="3EA9AEEE" w14:textId="09C78C2B">
      <w:pPr>
        <w:spacing w:after="0" w:line="259" w:lineRule="auto"/>
        <w:ind w:left="0" w:firstLine="0"/>
      </w:pPr>
      <w:r>
        <w:rPr>
          <w:rFonts w:ascii="Calibri" w:hAnsi="Calibri" w:cs="Calibri"/>
          <w:color w:val="000000" w:themeColor="text1"/>
          <w:sz w:val="22"/>
        </w:rPr>
        <w:t>S</w:t>
      </w:r>
      <w:r w:rsidRPr="00DF5CED">
        <w:t>lachtoffers</w:t>
      </w:r>
      <w:r>
        <w:t xml:space="preserve"> kunnen </w:t>
      </w:r>
      <w:r w:rsidRPr="00DF5CED">
        <w:t xml:space="preserve">zich voegen in het strafproces en een vordering tot schadevergoeding </w:t>
      </w:r>
      <w:r>
        <w:t xml:space="preserve">kunnen </w:t>
      </w:r>
      <w:r w:rsidRPr="00DF5CED">
        <w:t>indienen</w:t>
      </w:r>
      <w:r>
        <w:t xml:space="preserve"> om schade op de dader te verhalen</w:t>
      </w:r>
      <w:r w:rsidRPr="00DF5CED">
        <w:t>. Als de strafrechter de schade</w:t>
      </w:r>
      <w:r>
        <w:t>vergoedings</w:t>
      </w:r>
      <w:r w:rsidRPr="00DF5CED">
        <w:t>vordering toewijst en</w:t>
      </w:r>
      <w:r>
        <w:t xml:space="preserve"> een </w:t>
      </w:r>
      <w:r w:rsidRPr="00DF5CED">
        <w:t>schadevergoedingsmaatregel</w:t>
      </w:r>
      <w:r>
        <w:t xml:space="preserve"> </w:t>
      </w:r>
      <w:r w:rsidRPr="00DF5CED">
        <w:t>oplegt,</w:t>
      </w:r>
      <w:r>
        <w:t xml:space="preserve"> tracht </w:t>
      </w:r>
      <w:r w:rsidRPr="00DF5CED">
        <w:t xml:space="preserve">de </w:t>
      </w:r>
      <w:r>
        <w:t>S</w:t>
      </w:r>
      <w:r w:rsidRPr="00DF5CED">
        <w:t xml:space="preserve">taat het geld </w:t>
      </w:r>
      <w:r>
        <w:t xml:space="preserve">zoveel mogelijk </w:t>
      </w:r>
      <w:r w:rsidRPr="00DF5CED">
        <w:t>bij de dader</w:t>
      </w:r>
      <w:r>
        <w:t xml:space="preserve"> te innen</w:t>
      </w:r>
      <w:r w:rsidRPr="00DF5CED">
        <w:t xml:space="preserve"> en hoeft het slachtoffer dit niet zelf</w:t>
      </w:r>
      <w:r>
        <w:t xml:space="preserve"> </w:t>
      </w:r>
      <w:r w:rsidRPr="00DF5CED">
        <w:t xml:space="preserve">te doen. </w:t>
      </w:r>
      <w:r>
        <w:t xml:space="preserve">Als de dader de schadevergoeding </w:t>
      </w:r>
      <w:r w:rsidRPr="00DF5CED">
        <w:t>acht maanden</w:t>
      </w:r>
      <w:r>
        <w:t xml:space="preserve"> </w:t>
      </w:r>
      <w:r w:rsidRPr="00DF5CED">
        <w:t xml:space="preserve">na </w:t>
      </w:r>
      <w:r>
        <w:t>het onherroepelijk worden van het vonnis</w:t>
      </w:r>
      <w:r w:rsidRPr="00DF5CED">
        <w:t xml:space="preserve"> niet (volledig) heeft betaald, </w:t>
      </w:r>
      <w:r>
        <w:t xml:space="preserve">keert </w:t>
      </w:r>
      <w:r w:rsidRPr="00DF5CED">
        <w:t>de overheid het</w:t>
      </w:r>
      <w:r>
        <w:t xml:space="preserve"> volledige</w:t>
      </w:r>
      <w:r w:rsidRPr="00DF5CED">
        <w:t xml:space="preserve"> resterende bedrag uit aan het slachtoffer</w:t>
      </w:r>
      <w:r>
        <w:t xml:space="preserve"> (</w:t>
      </w:r>
      <w:proofErr w:type="spellStart"/>
      <w:r>
        <w:t>ongemaximeerde</w:t>
      </w:r>
      <w:proofErr w:type="spellEnd"/>
      <w:r>
        <w:t xml:space="preserve"> voorschotregeling voor geweld- en zedenslachtoffers) en wordt de inning op de dader voortgezet.</w:t>
      </w:r>
      <w:r>
        <w:rPr>
          <w:rStyle w:val="Voetnootmarkering"/>
        </w:rPr>
        <w:footnoteReference w:id="1"/>
      </w:r>
      <w:r>
        <w:t xml:space="preserve"> Buiten het strafproces heeft het </w:t>
      </w:r>
      <w:r w:rsidRPr="00DF5CED">
        <w:t xml:space="preserve">Schadefonds </w:t>
      </w:r>
      <w:r>
        <w:t>een belangrijke functie</w:t>
      </w:r>
      <w:r w:rsidRPr="00DF5CED">
        <w:t>. Slachtoffers van een geweldsdelict</w:t>
      </w:r>
      <w:r>
        <w:t xml:space="preserve"> of seksueel misdrijf</w:t>
      </w:r>
      <w:r w:rsidRPr="00DF5CED">
        <w:t xml:space="preserve"> met ernstig</w:t>
      </w:r>
      <w:r>
        <w:t xml:space="preserve"> lichamelijk of psychisch </w:t>
      </w:r>
      <w:r w:rsidRPr="00DF5CED">
        <w:t xml:space="preserve">letsel als gevolg, kunnen </w:t>
      </w:r>
      <w:r>
        <w:t>via</w:t>
      </w:r>
      <w:r w:rsidRPr="00DF5CED">
        <w:t xml:space="preserve"> het Schadefonds een financiële tegemoetkoming </w:t>
      </w:r>
      <w:r>
        <w:t xml:space="preserve">van de overheid </w:t>
      </w:r>
      <w:r w:rsidRPr="00DF5CED">
        <w:t>krijgen</w:t>
      </w:r>
      <w:r>
        <w:t>.</w:t>
      </w:r>
      <w:r w:rsidRPr="0034201E">
        <w:t xml:space="preserve"> </w:t>
      </w:r>
      <w:r w:rsidRPr="00197B8C">
        <w:t>Deze uitkering is een gebaar van erkenning namens de overheid voor het onrecht dat deze slachtoffers is aangedaan.</w:t>
      </w:r>
    </w:p>
    <w:sectPr w:rsidR="00197B8C">
      <w:pgSz w:w="11906" w:h="16841"/>
      <w:pgMar w:top="1440" w:right="1450" w:bottom="1637" w:left="1440" w:header="708" w:footer="708" w:gutter="0"/>
      <w:cols w:space="708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EBC5C" w14:textId="77777777" w:rsidR="00197B8C" w:rsidRDefault="00197B8C" w:rsidP="00197B8C">
      <w:pPr>
        <w:spacing w:after="0" w:line="240" w:lineRule="auto"/>
      </w:pPr>
      <w:r>
        <w:separator/>
      </w:r>
    </w:p>
  </w:endnote>
  <w:endnote w:type="continuationSeparator" w:id="0">
    <w:p w14:paraId="4F887710" w14:textId="77777777" w:rsidR="00197B8C" w:rsidRDefault="00197B8C" w:rsidP="00197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8641A" w14:textId="77777777" w:rsidR="00197B8C" w:rsidRDefault="00197B8C" w:rsidP="00197B8C">
      <w:pPr>
        <w:spacing w:after="0" w:line="240" w:lineRule="auto"/>
      </w:pPr>
      <w:r>
        <w:separator/>
      </w:r>
    </w:p>
  </w:footnote>
  <w:footnote w:type="continuationSeparator" w:id="0">
    <w:p w14:paraId="009460A8" w14:textId="77777777" w:rsidR="00197B8C" w:rsidRDefault="00197B8C" w:rsidP="00197B8C">
      <w:pPr>
        <w:spacing w:after="0" w:line="240" w:lineRule="auto"/>
      </w:pPr>
      <w:r>
        <w:continuationSeparator/>
      </w:r>
    </w:p>
  </w:footnote>
  <w:footnote w:id="1">
    <w:p w14:paraId="5ADECADA" w14:textId="77777777" w:rsidR="008B5A3A" w:rsidRDefault="008B5A3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9C1A9D"/>
    <w:multiLevelType w:val="hybridMultilevel"/>
    <w:tmpl w:val="10166E66"/>
    <w:lvl w:ilvl="0" w:tplc="96942B20">
      <w:start w:val="1"/>
      <w:numFmt w:val="decimal"/>
      <w:lvlText w:val="%1."/>
      <w:lvlJc w:val="left"/>
      <w:pPr>
        <w:ind w:left="7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31EA494">
      <w:start w:val="1"/>
      <w:numFmt w:val="bullet"/>
      <w:lvlText w:val="-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F90810A">
      <w:start w:val="1"/>
      <w:numFmt w:val="bullet"/>
      <w:lvlText w:val="o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DEE5DF0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7A4301A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E741E88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B8845E4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5C4F034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4440058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AD87FD0"/>
    <w:multiLevelType w:val="hybridMultilevel"/>
    <w:tmpl w:val="5BCC2ECA"/>
    <w:lvl w:ilvl="0" w:tplc="594AE01C">
      <w:start w:val="1"/>
      <w:numFmt w:val="bullet"/>
      <w:lvlText w:val="-"/>
      <w:lvlJc w:val="left"/>
      <w:pPr>
        <w:ind w:left="3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33A886A">
      <w:start w:val="1"/>
      <w:numFmt w:val="bullet"/>
      <w:lvlText w:val="o"/>
      <w:lvlJc w:val="left"/>
      <w:pPr>
        <w:ind w:left="11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EFAE166">
      <w:start w:val="1"/>
      <w:numFmt w:val="bullet"/>
      <w:lvlText w:val="▪"/>
      <w:lvlJc w:val="left"/>
      <w:pPr>
        <w:ind w:left="18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B007580">
      <w:start w:val="1"/>
      <w:numFmt w:val="bullet"/>
      <w:lvlText w:val="•"/>
      <w:lvlJc w:val="left"/>
      <w:pPr>
        <w:ind w:left="255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C201566">
      <w:start w:val="1"/>
      <w:numFmt w:val="bullet"/>
      <w:lvlText w:val="o"/>
      <w:lvlJc w:val="left"/>
      <w:pPr>
        <w:ind w:left="327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AE01B8">
      <w:start w:val="1"/>
      <w:numFmt w:val="bullet"/>
      <w:lvlText w:val="▪"/>
      <w:lvlJc w:val="left"/>
      <w:pPr>
        <w:ind w:left="39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C32738C">
      <w:start w:val="1"/>
      <w:numFmt w:val="bullet"/>
      <w:lvlText w:val="•"/>
      <w:lvlJc w:val="left"/>
      <w:pPr>
        <w:ind w:left="47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8BCAF44">
      <w:start w:val="1"/>
      <w:numFmt w:val="bullet"/>
      <w:lvlText w:val="o"/>
      <w:lvlJc w:val="left"/>
      <w:pPr>
        <w:ind w:left="54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59A61EA">
      <w:start w:val="1"/>
      <w:numFmt w:val="bullet"/>
      <w:lvlText w:val="▪"/>
      <w:lvlJc w:val="left"/>
      <w:pPr>
        <w:ind w:left="615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8893705">
    <w:abstractNumId w:val="0"/>
  </w:num>
  <w:num w:numId="2" w16cid:durableId="70928159">
    <w:abstractNumId w:val="1"/>
  </w:num>
  <w:num w:numId="3" w16cid:durableId="200350940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removePersonalInformation/>
  <w:removeDateAndTim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735"/>
    <w:rsid w:val="00032D20"/>
    <w:rsid w:val="00036979"/>
    <w:rsid w:val="000B0786"/>
    <w:rsid w:val="001940C2"/>
    <w:rsid w:val="00197B8C"/>
    <w:rsid w:val="00241B46"/>
    <w:rsid w:val="002A2735"/>
    <w:rsid w:val="0038282B"/>
    <w:rsid w:val="00465359"/>
    <w:rsid w:val="005210E0"/>
    <w:rsid w:val="00550026"/>
    <w:rsid w:val="005507A1"/>
    <w:rsid w:val="00591163"/>
    <w:rsid w:val="00592D78"/>
    <w:rsid w:val="005C15EC"/>
    <w:rsid w:val="006C004D"/>
    <w:rsid w:val="006D538F"/>
    <w:rsid w:val="006F0FD0"/>
    <w:rsid w:val="00703822"/>
    <w:rsid w:val="00715D00"/>
    <w:rsid w:val="00891CE7"/>
    <w:rsid w:val="009270B4"/>
    <w:rsid w:val="00937EBF"/>
    <w:rsid w:val="009427C7"/>
    <w:rsid w:val="00961DEB"/>
    <w:rsid w:val="009E1E36"/>
    <w:rsid w:val="009F1DE7"/>
    <w:rsid w:val="00AA1012"/>
    <w:rsid w:val="00CA09C4"/>
    <w:rsid w:val="00CF199A"/>
    <w:rsid w:val="00E65D58"/>
    <w:rsid w:val="00E82582"/>
    <w:rsid w:val="00F3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78C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4" w:line="250" w:lineRule="auto"/>
      <w:ind w:left="730" w:hanging="370"/>
    </w:pPr>
    <w:rPr>
      <w:rFonts w:ascii="Verdana" w:eastAsia="Verdana" w:hAnsi="Verdana" w:cs="Verdana"/>
      <w:color w:val="000000"/>
      <w:sz w:val="20"/>
    </w:rPr>
  </w:style>
  <w:style w:type="paragraph" w:styleId="Kop1">
    <w:name w:val="heading 1"/>
    <w:next w:val="Standaard"/>
    <w:link w:val="Kop1Char"/>
    <w:uiPriority w:val="9"/>
    <w:qFormat/>
    <w:pPr>
      <w:keepNext/>
      <w:keepLines/>
      <w:spacing w:after="0" w:line="259" w:lineRule="auto"/>
      <w:ind w:left="1"/>
      <w:outlineLvl w:val="0"/>
    </w:pPr>
    <w:rPr>
      <w:rFonts w:ascii="Verdana" w:eastAsia="Verdana" w:hAnsi="Verdana" w:cs="Verdana"/>
      <w:b/>
      <w:color w:val="000000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Pr>
      <w:rFonts w:ascii="Verdana" w:eastAsia="Verdana" w:hAnsi="Verdana" w:cs="Verdana"/>
      <w:b/>
      <w:color w:val="000000"/>
      <w:sz w:val="20"/>
    </w:rPr>
  </w:style>
  <w:style w:type="paragraph" w:styleId="Lijstalinea">
    <w:name w:val="List Paragraph"/>
    <w:basedOn w:val="Standaard"/>
    <w:uiPriority w:val="34"/>
    <w:qFormat/>
    <w:rsid w:val="009E1E36"/>
    <w:pPr>
      <w:ind w:left="720"/>
      <w:contextualSpacing/>
    </w:pPr>
  </w:style>
  <w:style w:type="paragraph" w:styleId="Revisie">
    <w:name w:val="Revision"/>
    <w:hidden/>
    <w:uiPriority w:val="99"/>
    <w:semiHidden/>
    <w:rsid w:val="009F1DE7"/>
    <w:pPr>
      <w:spacing w:after="0" w:line="240" w:lineRule="auto"/>
    </w:pPr>
    <w:rPr>
      <w:rFonts w:ascii="Verdana" w:eastAsia="Verdana" w:hAnsi="Verdana" w:cs="Verdana"/>
      <w:color w:val="000000"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F1DE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F1DE7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F1DE7"/>
    <w:rPr>
      <w:rFonts w:ascii="Verdana" w:eastAsia="Verdana" w:hAnsi="Verdana" w:cs="Verdana"/>
      <w:color w:val="000000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F1DE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F1DE7"/>
    <w:rPr>
      <w:rFonts w:ascii="Verdana" w:eastAsia="Verdana" w:hAnsi="Verdana" w:cs="Verdana"/>
      <w:b/>
      <w:bCs/>
      <w:color w:val="000000"/>
      <w:sz w:val="20"/>
      <w:szCs w:val="20"/>
    </w:rPr>
  </w:style>
  <w:style w:type="character" w:styleId="Voetnootmarkering">
    <w:name w:val="footnote reference"/>
    <w:aliases w:val="sobrescrito,Footnote Refernece,Voetnootmarkering Openbaar Ministerie"/>
    <w:basedOn w:val="Standaardalinea-lettertype"/>
    <w:uiPriority w:val="99"/>
    <w:semiHidden/>
    <w:unhideWhenUsed/>
    <w:rsid w:val="00197B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743</ap:Words>
  <ap:Characters>4091</ap:Characters>
  <ap:DocSecurity>0</ap:DocSecurity>
  <ap:Lines>34</ap:Lines>
  <ap:Paragraphs>9</ap:Paragraphs>
  <ap:ScaleCrop>false</ap:ScaleCrop>
  <ap:LinksUpToDate>false</ap:LinksUpToDate>
  <ap:CharactersWithSpaces>4825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2026-11-04T15:44:00.0000000Z</dcterms:created>
  <dcterms:modified xsi:type="dcterms:W3CDTF">2026-11-04T15:44:00.0000000Z</dcterms:modified>
  <dc:description>------------------------</dc:description>
  <version/>
  <category/>
</coreProperties>
</file>