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44F9A" w:rsidR="003C0825" w:rsidP="003C0825" w:rsidRDefault="003C0825" w14:paraId="27314F06" w14:textId="77777777">
      <w:pPr>
        <w:rPr>
          <w:b/>
          <w:bCs/>
          <w:szCs w:val="18"/>
        </w:rPr>
      </w:pPr>
      <w:r w:rsidRPr="00644F9A">
        <w:rPr>
          <w:b/>
          <w:bCs/>
          <w:szCs w:val="18"/>
        </w:rPr>
        <w:t>Wijziging van de Wet werkelijk rendement box 3 en de Wet inkomstenbelasting 2001 (Novelle uitbreiding vermogenswinstbelasting box 3)</w:t>
      </w:r>
    </w:p>
    <w:p w:rsidRPr="0088604D" w:rsidR="003E1991" w:rsidP="002751D9" w:rsidRDefault="003E1991" w14:paraId="0826D83F" w14:textId="77777777">
      <w:pPr>
        <w:rPr>
          <w:b/>
          <w:bCs/>
          <w:szCs w:val="18"/>
        </w:rPr>
      </w:pPr>
    </w:p>
    <w:p w:rsidR="008B0CBA" w:rsidP="002751D9" w:rsidRDefault="003E1991" w14:paraId="280AE63A" w14:textId="5C0FBE9D">
      <w:pPr>
        <w:rPr>
          <w:rFonts w:eastAsiaTheme="majorEastAsia" w:cstheme="majorBidi"/>
          <w:b/>
          <w:bCs/>
          <w:szCs w:val="18"/>
          <w:lang w:eastAsia="nl-NL"/>
        </w:rPr>
      </w:pPr>
      <w:r w:rsidRPr="0088604D">
        <w:rPr>
          <w:b/>
          <w:bCs/>
          <w:szCs w:val="18"/>
        </w:rPr>
        <w:t>Memorie van toelichting</w:t>
      </w:r>
      <w:bookmarkStart w:name="_Toc114042133" w:id="0"/>
    </w:p>
    <w:p w:rsidR="007641EB" w:rsidP="002751D9" w:rsidRDefault="007641EB" w14:paraId="63106E5D" w14:textId="44D572EC">
      <w:pPr>
        <w:rPr>
          <w:rFonts w:eastAsiaTheme="majorEastAsia" w:cstheme="majorBidi"/>
          <w:b/>
          <w:bCs/>
          <w:szCs w:val="18"/>
          <w:lang w:eastAsia="nl-NL"/>
        </w:rPr>
      </w:pPr>
    </w:p>
    <w:p w:rsidR="008B0CBA" w:rsidP="002751D9" w:rsidRDefault="007641EB" w14:paraId="3D1C9B33" w14:textId="0413AAC5">
      <w:pPr>
        <w:rPr>
          <w:rFonts w:eastAsiaTheme="majorEastAsia" w:cstheme="majorBidi"/>
          <w:b/>
          <w:bCs/>
          <w:szCs w:val="18"/>
          <w:lang w:eastAsia="nl-NL"/>
        </w:rPr>
      </w:pPr>
      <w:r>
        <w:rPr>
          <w:rFonts w:eastAsiaTheme="majorEastAsia" w:cstheme="majorBidi"/>
          <w:b/>
          <w:bCs/>
          <w:szCs w:val="18"/>
          <w:lang w:eastAsia="nl-NL"/>
        </w:rPr>
        <w:t>Inhoudsopgave</w:t>
      </w:r>
    </w:p>
    <w:sdt>
      <w:sdtPr>
        <w:rPr>
          <w:rFonts w:ascii="Verdana" w:hAnsi="Verdana" w:eastAsiaTheme="minorHAnsi" w:cstheme="minorBidi"/>
          <w:color w:val="auto"/>
          <w:sz w:val="18"/>
          <w:szCs w:val="22"/>
          <w:lang w:eastAsia="en-US"/>
        </w:rPr>
        <w:id w:val="-200252195"/>
        <w:docPartObj>
          <w:docPartGallery w:val="Table of Contents"/>
          <w:docPartUnique/>
        </w:docPartObj>
      </w:sdtPr>
      <w:sdtEndPr>
        <w:rPr>
          <w:b/>
          <w:bCs/>
        </w:rPr>
      </w:sdtEndPr>
      <w:sdtContent>
        <w:p w:rsidR="00CD6899" w:rsidRDefault="00CD6899" w14:paraId="2A834A6B" w14:textId="6343F72D">
          <w:pPr>
            <w:pStyle w:val="Kopvaninhoudsopgave"/>
          </w:pPr>
        </w:p>
        <w:p w:rsidR="00091C8F" w:rsidRDefault="00CD6899" w14:paraId="2CF6E05E" w14:textId="4C5B407D">
          <w:pPr>
            <w:pStyle w:val="Inhopg1"/>
            <w:rPr>
              <w:rFonts w:asciiTheme="minorHAnsi" w:hAnsiTheme="minorHAnsi" w:eastAsiaTheme="minorEastAsia"/>
              <w:noProof/>
              <w:kern w:val="2"/>
              <w:sz w:val="24"/>
              <w:szCs w:val="24"/>
              <w:lang w:eastAsia="nl-NL"/>
              <w14:ligatures w14:val="standardContextual"/>
            </w:rPr>
          </w:pPr>
          <w:r>
            <w:fldChar w:fldCharType="begin"/>
          </w:r>
          <w:r>
            <w:instrText xml:space="preserve"> TOC \o "1-3" \h \z \u </w:instrText>
          </w:r>
          <w:r>
            <w:fldChar w:fldCharType="separate"/>
          </w:r>
          <w:hyperlink w:history="1" w:anchor="_Toc244590624">
            <w:r w:rsidRPr="00D85D67" w:rsidR="00091C8F">
              <w:rPr>
                <w:rStyle w:val="Hyperlink"/>
                <w:rFonts w:eastAsia="Calibri"/>
                <w:noProof/>
              </w:rPr>
              <w:t xml:space="preserve">I. </w:t>
            </w:r>
            <w:r w:rsidR="00091C8F">
              <w:rPr>
                <w:rFonts w:asciiTheme="minorHAnsi" w:hAnsiTheme="minorHAnsi" w:eastAsiaTheme="minorEastAsia"/>
                <w:noProof/>
                <w:kern w:val="2"/>
                <w:sz w:val="24"/>
                <w:szCs w:val="24"/>
                <w:lang w:eastAsia="nl-NL"/>
                <w14:ligatures w14:val="standardContextual"/>
              </w:rPr>
              <w:tab/>
            </w:r>
            <w:r w:rsidRPr="00D85D67" w:rsidR="00091C8F">
              <w:rPr>
                <w:rStyle w:val="Hyperlink"/>
                <w:rFonts w:eastAsia="Calibri"/>
                <w:noProof/>
              </w:rPr>
              <w:t>ALGEMEEN</w:t>
            </w:r>
            <w:r w:rsidR="00091C8F">
              <w:rPr>
                <w:noProof/>
                <w:webHidden/>
              </w:rPr>
              <w:tab/>
            </w:r>
            <w:r w:rsidR="00091C8F">
              <w:rPr>
                <w:noProof/>
                <w:webHidden/>
              </w:rPr>
              <w:fldChar w:fldCharType="begin"/>
            </w:r>
            <w:r w:rsidR="00091C8F">
              <w:rPr>
                <w:noProof/>
                <w:webHidden/>
              </w:rPr>
              <w:instrText xml:space="preserve"> PAGEREF _Toc244590624 \h </w:instrText>
            </w:r>
            <w:r w:rsidR="00091C8F">
              <w:rPr>
                <w:noProof/>
                <w:webHidden/>
              </w:rPr>
            </w:r>
            <w:r w:rsidR="00091C8F">
              <w:rPr>
                <w:noProof/>
                <w:webHidden/>
              </w:rPr>
              <w:fldChar w:fldCharType="separate"/>
            </w:r>
            <w:r w:rsidR="00091C8F">
              <w:rPr>
                <w:noProof/>
                <w:webHidden/>
              </w:rPr>
              <w:t>2</w:t>
            </w:r>
            <w:r w:rsidR="00091C8F">
              <w:rPr>
                <w:noProof/>
                <w:webHidden/>
              </w:rPr>
              <w:fldChar w:fldCharType="end"/>
            </w:r>
          </w:hyperlink>
        </w:p>
        <w:p w:rsidR="00091C8F" w:rsidRDefault="00091C8F" w14:paraId="160A5409" w14:textId="39FCCE1E">
          <w:pPr>
            <w:pStyle w:val="Inhopg2"/>
            <w:rPr>
              <w:rFonts w:asciiTheme="minorHAnsi" w:hAnsiTheme="minorHAnsi" w:eastAsiaTheme="minorEastAsia"/>
              <w:noProof/>
              <w:kern w:val="2"/>
              <w:sz w:val="24"/>
              <w:szCs w:val="24"/>
              <w:lang w:eastAsia="nl-NL"/>
              <w14:ligatures w14:val="standardContextual"/>
            </w:rPr>
          </w:pPr>
          <w:hyperlink w:history="1" w:anchor="_Toc244590625">
            <w:r w:rsidRPr="00D85D67">
              <w:rPr>
                <w:rStyle w:val="Hyperlink"/>
                <w:noProof/>
              </w:rPr>
              <w:t>1.</w:t>
            </w:r>
            <w:r>
              <w:rPr>
                <w:rFonts w:asciiTheme="minorHAnsi" w:hAnsiTheme="minorHAnsi" w:eastAsiaTheme="minorEastAsia"/>
                <w:noProof/>
                <w:kern w:val="2"/>
                <w:sz w:val="24"/>
                <w:szCs w:val="24"/>
                <w:lang w:eastAsia="nl-NL"/>
                <w14:ligatures w14:val="standardContextual"/>
              </w:rPr>
              <w:tab/>
            </w:r>
            <w:r w:rsidRPr="00D85D67">
              <w:rPr>
                <w:rStyle w:val="Hyperlink"/>
                <w:noProof/>
              </w:rPr>
              <w:t>Inleiding</w:t>
            </w:r>
            <w:r>
              <w:rPr>
                <w:noProof/>
                <w:webHidden/>
              </w:rPr>
              <w:tab/>
            </w:r>
            <w:r>
              <w:rPr>
                <w:noProof/>
                <w:webHidden/>
              </w:rPr>
              <w:fldChar w:fldCharType="begin"/>
            </w:r>
            <w:r>
              <w:rPr>
                <w:noProof/>
                <w:webHidden/>
              </w:rPr>
              <w:instrText xml:space="preserve"> PAGEREF _Toc244590625 \h </w:instrText>
            </w:r>
            <w:r>
              <w:rPr>
                <w:noProof/>
                <w:webHidden/>
              </w:rPr>
            </w:r>
            <w:r>
              <w:rPr>
                <w:noProof/>
                <w:webHidden/>
              </w:rPr>
              <w:fldChar w:fldCharType="separate"/>
            </w:r>
            <w:r>
              <w:rPr>
                <w:noProof/>
                <w:webHidden/>
              </w:rPr>
              <w:t>2</w:t>
            </w:r>
            <w:r>
              <w:rPr>
                <w:noProof/>
                <w:webHidden/>
              </w:rPr>
              <w:fldChar w:fldCharType="end"/>
            </w:r>
          </w:hyperlink>
        </w:p>
        <w:p w:rsidR="00091C8F" w:rsidRDefault="00091C8F" w14:paraId="2546A79A" w14:textId="607BC171">
          <w:pPr>
            <w:pStyle w:val="Inhopg2"/>
            <w:rPr>
              <w:rFonts w:asciiTheme="minorHAnsi" w:hAnsiTheme="minorHAnsi" w:eastAsiaTheme="minorEastAsia"/>
              <w:noProof/>
              <w:kern w:val="2"/>
              <w:sz w:val="24"/>
              <w:szCs w:val="24"/>
              <w:lang w:eastAsia="nl-NL"/>
              <w14:ligatures w14:val="standardContextual"/>
            </w:rPr>
          </w:pPr>
          <w:hyperlink w:history="1" w:anchor="_Toc244590626">
            <w:r w:rsidRPr="00D85D67">
              <w:rPr>
                <w:rStyle w:val="Hyperlink"/>
                <w:noProof/>
              </w:rPr>
              <w:t>2.</w:t>
            </w:r>
            <w:r>
              <w:rPr>
                <w:rFonts w:asciiTheme="minorHAnsi" w:hAnsiTheme="minorHAnsi" w:eastAsiaTheme="minorEastAsia"/>
                <w:noProof/>
                <w:kern w:val="2"/>
                <w:sz w:val="24"/>
                <w:szCs w:val="24"/>
                <w:lang w:eastAsia="nl-NL"/>
                <w14:ligatures w14:val="standardContextual"/>
              </w:rPr>
              <w:tab/>
            </w:r>
            <w:r w:rsidRPr="00D85D67">
              <w:rPr>
                <w:rStyle w:val="Hyperlink"/>
                <w:noProof/>
              </w:rPr>
              <w:t>Hoofdlijnen van het voorstel</w:t>
            </w:r>
            <w:r>
              <w:rPr>
                <w:noProof/>
                <w:webHidden/>
              </w:rPr>
              <w:tab/>
            </w:r>
            <w:r>
              <w:rPr>
                <w:noProof/>
                <w:webHidden/>
              </w:rPr>
              <w:fldChar w:fldCharType="begin"/>
            </w:r>
            <w:r>
              <w:rPr>
                <w:noProof/>
                <w:webHidden/>
              </w:rPr>
              <w:instrText xml:space="preserve"> PAGEREF _Toc244590626 \h </w:instrText>
            </w:r>
            <w:r>
              <w:rPr>
                <w:noProof/>
                <w:webHidden/>
              </w:rPr>
            </w:r>
            <w:r>
              <w:rPr>
                <w:noProof/>
                <w:webHidden/>
              </w:rPr>
              <w:fldChar w:fldCharType="separate"/>
            </w:r>
            <w:r>
              <w:rPr>
                <w:noProof/>
                <w:webHidden/>
              </w:rPr>
              <w:t>3</w:t>
            </w:r>
            <w:r>
              <w:rPr>
                <w:noProof/>
                <w:webHidden/>
              </w:rPr>
              <w:fldChar w:fldCharType="end"/>
            </w:r>
          </w:hyperlink>
        </w:p>
        <w:p w:rsidR="00091C8F" w:rsidRDefault="00091C8F" w14:paraId="2298799E" w14:textId="037F9225">
          <w:pPr>
            <w:pStyle w:val="Inhopg2"/>
            <w:rPr>
              <w:rFonts w:asciiTheme="minorHAnsi" w:hAnsiTheme="minorHAnsi" w:eastAsiaTheme="minorEastAsia"/>
              <w:noProof/>
              <w:kern w:val="2"/>
              <w:sz w:val="24"/>
              <w:szCs w:val="24"/>
              <w:lang w:eastAsia="nl-NL"/>
              <w14:ligatures w14:val="standardContextual"/>
            </w:rPr>
          </w:pPr>
          <w:hyperlink w:history="1" w:anchor="_Toc244590627">
            <w:r w:rsidRPr="00D85D67">
              <w:rPr>
                <w:rStyle w:val="Hyperlink"/>
                <w:noProof/>
              </w:rPr>
              <w:t>2.1</w:t>
            </w:r>
            <w:r>
              <w:rPr>
                <w:rFonts w:asciiTheme="minorHAnsi" w:hAnsiTheme="minorHAnsi" w:eastAsiaTheme="minorEastAsia"/>
                <w:noProof/>
                <w:kern w:val="2"/>
                <w:sz w:val="24"/>
                <w:szCs w:val="24"/>
                <w:lang w:eastAsia="nl-NL"/>
                <w14:ligatures w14:val="standardContextual"/>
              </w:rPr>
              <w:tab/>
            </w:r>
            <w:r w:rsidRPr="00D85D67">
              <w:rPr>
                <w:rStyle w:val="Hyperlink"/>
                <w:noProof/>
              </w:rPr>
              <w:t>Achtergrond en verhouding tot het wetsvoorstel Wet werkelijk rendement box 3</w:t>
            </w:r>
            <w:r>
              <w:rPr>
                <w:noProof/>
                <w:webHidden/>
              </w:rPr>
              <w:tab/>
            </w:r>
            <w:r>
              <w:rPr>
                <w:noProof/>
                <w:webHidden/>
              </w:rPr>
              <w:fldChar w:fldCharType="begin"/>
            </w:r>
            <w:r>
              <w:rPr>
                <w:noProof/>
                <w:webHidden/>
              </w:rPr>
              <w:instrText xml:space="preserve"> PAGEREF _Toc244590627 \h </w:instrText>
            </w:r>
            <w:r>
              <w:rPr>
                <w:noProof/>
                <w:webHidden/>
              </w:rPr>
            </w:r>
            <w:r>
              <w:rPr>
                <w:noProof/>
                <w:webHidden/>
              </w:rPr>
              <w:fldChar w:fldCharType="separate"/>
            </w:r>
            <w:r>
              <w:rPr>
                <w:noProof/>
                <w:webHidden/>
              </w:rPr>
              <w:t>3</w:t>
            </w:r>
            <w:r>
              <w:rPr>
                <w:noProof/>
                <w:webHidden/>
              </w:rPr>
              <w:fldChar w:fldCharType="end"/>
            </w:r>
          </w:hyperlink>
        </w:p>
        <w:p w:rsidR="00091C8F" w:rsidRDefault="00091C8F" w14:paraId="4E7E5E7E" w14:textId="0023A621">
          <w:pPr>
            <w:pStyle w:val="Inhopg2"/>
            <w:rPr>
              <w:rFonts w:asciiTheme="minorHAnsi" w:hAnsiTheme="minorHAnsi" w:eastAsiaTheme="minorEastAsia"/>
              <w:noProof/>
              <w:kern w:val="2"/>
              <w:sz w:val="24"/>
              <w:szCs w:val="24"/>
              <w:lang w:eastAsia="nl-NL"/>
              <w14:ligatures w14:val="standardContextual"/>
            </w:rPr>
          </w:pPr>
          <w:hyperlink w:history="1" w:anchor="_Toc244590628">
            <w:r w:rsidRPr="00D85D67">
              <w:rPr>
                <w:rStyle w:val="Hyperlink"/>
                <w:noProof/>
              </w:rPr>
              <w:t>2.2</w:t>
            </w:r>
            <w:r>
              <w:rPr>
                <w:rFonts w:asciiTheme="minorHAnsi" w:hAnsiTheme="minorHAnsi" w:eastAsiaTheme="minorEastAsia"/>
                <w:noProof/>
                <w:kern w:val="2"/>
                <w:sz w:val="24"/>
                <w:szCs w:val="24"/>
                <w:lang w:eastAsia="nl-NL"/>
                <w14:ligatures w14:val="standardContextual"/>
              </w:rPr>
              <w:tab/>
            </w:r>
            <w:r w:rsidRPr="00D85D67">
              <w:rPr>
                <w:rStyle w:val="Hyperlink"/>
                <w:noProof/>
              </w:rPr>
              <w:t>Definitie financiële instrumenten</w:t>
            </w:r>
            <w:r>
              <w:rPr>
                <w:noProof/>
                <w:webHidden/>
              </w:rPr>
              <w:tab/>
            </w:r>
            <w:r>
              <w:rPr>
                <w:noProof/>
                <w:webHidden/>
              </w:rPr>
              <w:fldChar w:fldCharType="begin"/>
            </w:r>
            <w:r>
              <w:rPr>
                <w:noProof/>
                <w:webHidden/>
              </w:rPr>
              <w:instrText xml:space="preserve"> PAGEREF _Toc244590628 \h </w:instrText>
            </w:r>
            <w:r>
              <w:rPr>
                <w:noProof/>
                <w:webHidden/>
              </w:rPr>
            </w:r>
            <w:r>
              <w:rPr>
                <w:noProof/>
                <w:webHidden/>
              </w:rPr>
              <w:fldChar w:fldCharType="separate"/>
            </w:r>
            <w:r>
              <w:rPr>
                <w:noProof/>
                <w:webHidden/>
              </w:rPr>
              <w:t>5</w:t>
            </w:r>
            <w:r>
              <w:rPr>
                <w:noProof/>
                <w:webHidden/>
              </w:rPr>
              <w:fldChar w:fldCharType="end"/>
            </w:r>
          </w:hyperlink>
        </w:p>
        <w:p w:rsidR="00091C8F" w:rsidRDefault="00091C8F" w14:paraId="60FBD52C" w14:textId="53AE2F24">
          <w:pPr>
            <w:pStyle w:val="Inhopg2"/>
            <w:rPr>
              <w:rFonts w:asciiTheme="minorHAnsi" w:hAnsiTheme="minorHAnsi" w:eastAsiaTheme="minorEastAsia"/>
              <w:noProof/>
              <w:kern w:val="2"/>
              <w:sz w:val="24"/>
              <w:szCs w:val="24"/>
              <w:lang w:eastAsia="nl-NL"/>
              <w14:ligatures w14:val="standardContextual"/>
            </w:rPr>
          </w:pPr>
          <w:hyperlink w:history="1" w:anchor="_Toc244590629">
            <w:r w:rsidRPr="00D85D67">
              <w:rPr>
                <w:rStyle w:val="Hyperlink"/>
                <w:noProof/>
              </w:rPr>
              <w:t>2.3</w:t>
            </w:r>
            <w:r>
              <w:rPr>
                <w:rFonts w:asciiTheme="minorHAnsi" w:hAnsiTheme="minorHAnsi" w:eastAsiaTheme="minorEastAsia"/>
                <w:noProof/>
                <w:kern w:val="2"/>
                <w:sz w:val="24"/>
                <w:szCs w:val="24"/>
                <w:lang w:eastAsia="nl-NL"/>
                <w14:ligatures w14:val="standardContextual"/>
              </w:rPr>
              <w:tab/>
            </w:r>
            <w:r w:rsidRPr="00D85D67">
              <w:rPr>
                <w:rStyle w:val="Hyperlink"/>
                <w:noProof/>
              </w:rPr>
              <w:t>Bepalen van de vermogenswinst</w:t>
            </w:r>
            <w:r>
              <w:rPr>
                <w:noProof/>
                <w:webHidden/>
              </w:rPr>
              <w:tab/>
            </w:r>
            <w:r>
              <w:rPr>
                <w:noProof/>
                <w:webHidden/>
              </w:rPr>
              <w:fldChar w:fldCharType="begin"/>
            </w:r>
            <w:r>
              <w:rPr>
                <w:noProof/>
                <w:webHidden/>
              </w:rPr>
              <w:instrText xml:space="preserve"> PAGEREF _Toc244590629 \h </w:instrText>
            </w:r>
            <w:r>
              <w:rPr>
                <w:noProof/>
                <w:webHidden/>
              </w:rPr>
            </w:r>
            <w:r>
              <w:rPr>
                <w:noProof/>
                <w:webHidden/>
              </w:rPr>
              <w:fldChar w:fldCharType="separate"/>
            </w:r>
            <w:r>
              <w:rPr>
                <w:noProof/>
                <w:webHidden/>
              </w:rPr>
              <w:t>6</w:t>
            </w:r>
            <w:r>
              <w:rPr>
                <w:noProof/>
                <w:webHidden/>
              </w:rPr>
              <w:fldChar w:fldCharType="end"/>
            </w:r>
          </w:hyperlink>
        </w:p>
        <w:p w:rsidR="00091C8F" w:rsidRDefault="00091C8F" w14:paraId="382DEB2D" w14:textId="035237DC">
          <w:pPr>
            <w:pStyle w:val="Inhopg2"/>
            <w:rPr>
              <w:rFonts w:asciiTheme="minorHAnsi" w:hAnsiTheme="minorHAnsi" w:eastAsiaTheme="minorEastAsia"/>
              <w:noProof/>
              <w:kern w:val="2"/>
              <w:sz w:val="24"/>
              <w:szCs w:val="24"/>
              <w:lang w:eastAsia="nl-NL"/>
              <w14:ligatures w14:val="standardContextual"/>
            </w:rPr>
          </w:pPr>
          <w:hyperlink w:history="1" w:anchor="_Toc244590630">
            <w:r w:rsidRPr="00D85D67">
              <w:rPr>
                <w:rStyle w:val="Hyperlink"/>
                <w:noProof/>
              </w:rPr>
              <w:t>2.4</w:t>
            </w:r>
            <w:r>
              <w:rPr>
                <w:rFonts w:asciiTheme="minorHAnsi" w:hAnsiTheme="minorHAnsi" w:eastAsiaTheme="minorEastAsia"/>
                <w:noProof/>
                <w:kern w:val="2"/>
                <w:sz w:val="24"/>
                <w:szCs w:val="24"/>
                <w:lang w:eastAsia="nl-NL"/>
                <w14:ligatures w14:val="standardContextual"/>
              </w:rPr>
              <w:tab/>
            </w:r>
            <w:r w:rsidRPr="00D85D67">
              <w:rPr>
                <w:rStyle w:val="Hyperlink"/>
                <w:noProof/>
              </w:rPr>
              <w:t>Vermogensbestanddelen die tijdelijk onder de vermogensaanwasbelasting blijven</w:t>
            </w:r>
            <w:r>
              <w:rPr>
                <w:noProof/>
                <w:webHidden/>
              </w:rPr>
              <w:tab/>
            </w:r>
            <w:r>
              <w:rPr>
                <w:noProof/>
                <w:webHidden/>
              </w:rPr>
              <w:fldChar w:fldCharType="begin"/>
            </w:r>
            <w:r>
              <w:rPr>
                <w:noProof/>
                <w:webHidden/>
              </w:rPr>
              <w:instrText xml:space="preserve"> PAGEREF _Toc244590630 \h </w:instrText>
            </w:r>
            <w:r>
              <w:rPr>
                <w:noProof/>
                <w:webHidden/>
              </w:rPr>
            </w:r>
            <w:r>
              <w:rPr>
                <w:noProof/>
                <w:webHidden/>
              </w:rPr>
              <w:fldChar w:fldCharType="separate"/>
            </w:r>
            <w:r>
              <w:rPr>
                <w:noProof/>
                <w:webHidden/>
              </w:rPr>
              <w:t>7</w:t>
            </w:r>
            <w:r>
              <w:rPr>
                <w:noProof/>
                <w:webHidden/>
              </w:rPr>
              <w:fldChar w:fldCharType="end"/>
            </w:r>
          </w:hyperlink>
        </w:p>
        <w:p w:rsidR="00091C8F" w:rsidRDefault="00091C8F" w14:paraId="54A3F04B" w14:textId="16520A5B">
          <w:pPr>
            <w:pStyle w:val="Inhopg2"/>
            <w:rPr>
              <w:rFonts w:asciiTheme="minorHAnsi" w:hAnsiTheme="minorHAnsi" w:eastAsiaTheme="minorEastAsia"/>
              <w:noProof/>
              <w:kern w:val="2"/>
              <w:sz w:val="24"/>
              <w:szCs w:val="24"/>
              <w:lang w:eastAsia="nl-NL"/>
              <w14:ligatures w14:val="standardContextual"/>
            </w:rPr>
          </w:pPr>
          <w:hyperlink w:history="1" w:anchor="_Toc244590631">
            <w:r w:rsidRPr="00D85D67">
              <w:rPr>
                <w:rStyle w:val="Hyperlink"/>
                <w:noProof/>
              </w:rPr>
              <w:t>2.5</w:t>
            </w:r>
            <w:r>
              <w:rPr>
                <w:rFonts w:asciiTheme="minorHAnsi" w:hAnsiTheme="minorHAnsi" w:eastAsiaTheme="minorEastAsia"/>
                <w:noProof/>
                <w:kern w:val="2"/>
                <w:sz w:val="24"/>
                <w:szCs w:val="24"/>
                <w:lang w:eastAsia="nl-NL"/>
                <w14:ligatures w14:val="standardContextual"/>
              </w:rPr>
              <w:tab/>
            </w:r>
            <w:r w:rsidRPr="00D85D67">
              <w:rPr>
                <w:rStyle w:val="Hyperlink"/>
                <w:noProof/>
              </w:rPr>
              <w:t>Dekkingsmaatregelen</w:t>
            </w:r>
            <w:r>
              <w:rPr>
                <w:noProof/>
                <w:webHidden/>
              </w:rPr>
              <w:tab/>
            </w:r>
            <w:r>
              <w:rPr>
                <w:noProof/>
                <w:webHidden/>
              </w:rPr>
              <w:fldChar w:fldCharType="begin"/>
            </w:r>
            <w:r>
              <w:rPr>
                <w:noProof/>
                <w:webHidden/>
              </w:rPr>
              <w:instrText xml:space="preserve"> PAGEREF _Toc244590631 \h </w:instrText>
            </w:r>
            <w:r>
              <w:rPr>
                <w:noProof/>
                <w:webHidden/>
              </w:rPr>
            </w:r>
            <w:r>
              <w:rPr>
                <w:noProof/>
                <w:webHidden/>
              </w:rPr>
              <w:fldChar w:fldCharType="separate"/>
            </w:r>
            <w:r>
              <w:rPr>
                <w:noProof/>
                <w:webHidden/>
              </w:rPr>
              <w:t>8</w:t>
            </w:r>
            <w:r>
              <w:rPr>
                <w:noProof/>
                <w:webHidden/>
              </w:rPr>
              <w:fldChar w:fldCharType="end"/>
            </w:r>
          </w:hyperlink>
        </w:p>
        <w:p w:rsidR="00091C8F" w:rsidRDefault="00091C8F" w14:paraId="30464A02" w14:textId="6D3BD331">
          <w:pPr>
            <w:pStyle w:val="Inhopg2"/>
            <w:rPr>
              <w:rFonts w:asciiTheme="minorHAnsi" w:hAnsiTheme="minorHAnsi" w:eastAsiaTheme="minorEastAsia"/>
              <w:noProof/>
              <w:kern w:val="2"/>
              <w:sz w:val="24"/>
              <w:szCs w:val="24"/>
              <w:lang w:eastAsia="nl-NL"/>
              <w14:ligatures w14:val="standardContextual"/>
            </w:rPr>
          </w:pPr>
          <w:hyperlink w:history="1" w:anchor="_Toc244590632">
            <w:r w:rsidRPr="00D85D67">
              <w:rPr>
                <w:rStyle w:val="Hyperlink"/>
                <w:noProof/>
              </w:rPr>
              <w:t>2.5.1 Verlagen box 2-tarieven</w:t>
            </w:r>
            <w:r>
              <w:rPr>
                <w:noProof/>
                <w:webHidden/>
              </w:rPr>
              <w:tab/>
            </w:r>
            <w:r>
              <w:rPr>
                <w:noProof/>
                <w:webHidden/>
              </w:rPr>
              <w:fldChar w:fldCharType="begin"/>
            </w:r>
            <w:r>
              <w:rPr>
                <w:noProof/>
                <w:webHidden/>
              </w:rPr>
              <w:instrText xml:space="preserve"> PAGEREF _Toc244590632 \h </w:instrText>
            </w:r>
            <w:r>
              <w:rPr>
                <w:noProof/>
                <w:webHidden/>
              </w:rPr>
            </w:r>
            <w:r>
              <w:rPr>
                <w:noProof/>
                <w:webHidden/>
              </w:rPr>
              <w:fldChar w:fldCharType="separate"/>
            </w:r>
            <w:r>
              <w:rPr>
                <w:noProof/>
                <w:webHidden/>
              </w:rPr>
              <w:t>8</w:t>
            </w:r>
            <w:r>
              <w:rPr>
                <w:noProof/>
                <w:webHidden/>
              </w:rPr>
              <w:fldChar w:fldCharType="end"/>
            </w:r>
          </w:hyperlink>
        </w:p>
        <w:p w:rsidR="00091C8F" w:rsidRDefault="00091C8F" w14:paraId="139203A0" w14:textId="5293F749">
          <w:pPr>
            <w:pStyle w:val="Inhopg2"/>
            <w:rPr>
              <w:rFonts w:asciiTheme="minorHAnsi" w:hAnsiTheme="minorHAnsi" w:eastAsiaTheme="minorEastAsia"/>
              <w:noProof/>
              <w:kern w:val="2"/>
              <w:sz w:val="24"/>
              <w:szCs w:val="24"/>
              <w:lang w:eastAsia="nl-NL"/>
              <w14:ligatures w14:val="standardContextual"/>
            </w:rPr>
          </w:pPr>
          <w:hyperlink w:history="1" w:anchor="_Toc244590633">
            <w:r w:rsidRPr="00D85D67">
              <w:rPr>
                <w:rStyle w:val="Hyperlink"/>
                <w:noProof/>
              </w:rPr>
              <w:t>2.5.2 Verlaging drempel excessief lenen</w:t>
            </w:r>
            <w:r>
              <w:rPr>
                <w:noProof/>
                <w:webHidden/>
              </w:rPr>
              <w:tab/>
            </w:r>
            <w:r>
              <w:rPr>
                <w:noProof/>
                <w:webHidden/>
              </w:rPr>
              <w:fldChar w:fldCharType="begin"/>
            </w:r>
            <w:r>
              <w:rPr>
                <w:noProof/>
                <w:webHidden/>
              </w:rPr>
              <w:instrText xml:space="preserve"> PAGEREF _Toc244590633 \h </w:instrText>
            </w:r>
            <w:r>
              <w:rPr>
                <w:noProof/>
                <w:webHidden/>
              </w:rPr>
            </w:r>
            <w:r>
              <w:rPr>
                <w:noProof/>
                <w:webHidden/>
              </w:rPr>
              <w:fldChar w:fldCharType="separate"/>
            </w:r>
            <w:r>
              <w:rPr>
                <w:noProof/>
                <w:webHidden/>
              </w:rPr>
              <w:t>8</w:t>
            </w:r>
            <w:r>
              <w:rPr>
                <w:noProof/>
                <w:webHidden/>
              </w:rPr>
              <w:fldChar w:fldCharType="end"/>
            </w:r>
          </w:hyperlink>
        </w:p>
        <w:p w:rsidR="00091C8F" w:rsidRDefault="00091C8F" w14:paraId="63A1BCE2" w14:textId="56881480">
          <w:pPr>
            <w:pStyle w:val="Inhopg2"/>
            <w:rPr>
              <w:rFonts w:asciiTheme="minorHAnsi" w:hAnsiTheme="minorHAnsi" w:eastAsiaTheme="minorEastAsia"/>
              <w:noProof/>
              <w:kern w:val="2"/>
              <w:sz w:val="24"/>
              <w:szCs w:val="24"/>
              <w:lang w:eastAsia="nl-NL"/>
              <w14:ligatures w14:val="standardContextual"/>
            </w:rPr>
          </w:pPr>
          <w:hyperlink w:history="1" w:anchor="_Toc244590634">
            <w:r w:rsidRPr="00D85D67">
              <w:rPr>
                <w:rStyle w:val="Hyperlink"/>
                <w:noProof/>
              </w:rPr>
              <w:t>3.</w:t>
            </w:r>
            <w:r>
              <w:rPr>
                <w:rFonts w:asciiTheme="minorHAnsi" w:hAnsiTheme="minorHAnsi" w:eastAsiaTheme="minorEastAsia"/>
                <w:noProof/>
                <w:kern w:val="2"/>
                <w:sz w:val="24"/>
                <w:szCs w:val="24"/>
                <w:lang w:eastAsia="nl-NL"/>
                <w14:ligatures w14:val="standardContextual"/>
              </w:rPr>
              <w:tab/>
            </w:r>
            <w:r w:rsidRPr="00D85D67">
              <w:rPr>
                <w:rStyle w:val="Hyperlink"/>
                <w:noProof/>
              </w:rPr>
              <w:t>Budgettaire aspecten</w:t>
            </w:r>
            <w:r>
              <w:rPr>
                <w:noProof/>
                <w:webHidden/>
              </w:rPr>
              <w:tab/>
            </w:r>
            <w:r>
              <w:rPr>
                <w:noProof/>
                <w:webHidden/>
              </w:rPr>
              <w:fldChar w:fldCharType="begin"/>
            </w:r>
            <w:r>
              <w:rPr>
                <w:noProof/>
                <w:webHidden/>
              </w:rPr>
              <w:instrText xml:space="preserve"> PAGEREF _Toc244590634 \h </w:instrText>
            </w:r>
            <w:r>
              <w:rPr>
                <w:noProof/>
                <w:webHidden/>
              </w:rPr>
            </w:r>
            <w:r>
              <w:rPr>
                <w:noProof/>
                <w:webHidden/>
              </w:rPr>
              <w:fldChar w:fldCharType="separate"/>
            </w:r>
            <w:r>
              <w:rPr>
                <w:noProof/>
                <w:webHidden/>
              </w:rPr>
              <w:t>9</w:t>
            </w:r>
            <w:r>
              <w:rPr>
                <w:noProof/>
                <w:webHidden/>
              </w:rPr>
              <w:fldChar w:fldCharType="end"/>
            </w:r>
          </w:hyperlink>
        </w:p>
        <w:p w:rsidR="00091C8F" w:rsidRDefault="00091C8F" w14:paraId="4ED806F0" w14:textId="0A5D5939">
          <w:pPr>
            <w:pStyle w:val="Inhopg2"/>
            <w:rPr>
              <w:rFonts w:asciiTheme="minorHAnsi" w:hAnsiTheme="minorHAnsi" w:eastAsiaTheme="minorEastAsia"/>
              <w:noProof/>
              <w:kern w:val="2"/>
              <w:sz w:val="24"/>
              <w:szCs w:val="24"/>
              <w:lang w:eastAsia="nl-NL"/>
              <w14:ligatures w14:val="standardContextual"/>
            </w:rPr>
          </w:pPr>
          <w:hyperlink w:history="1" w:anchor="_Toc244590635">
            <w:r w:rsidRPr="00D85D67">
              <w:rPr>
                <w:rStyle w:val="Hyperlink"/>
                <w:noProof/>
              </w:rPr>
              <w:t>4.</w:t>
            </w:r>
            <w:r>
              <w:rPr>
                <w:rFonts w:asciiTheme="minorHAnsi" w:hAnsiTheme="minorHAnsi" w:eastAsiaTheme="minorEastAsia"/>
                <w:noProof/>
                <w:kern w:val="2"/>
                <w:sz w:val="24"/>
                <w:szCs w:val="24"/>
                <w:lang w:eastAsia="nl-NL"/>
                <w14:ligatures w14:val="standardContextual"/>
              </w:rPr>
              <w:tab/>
            </w:r>
            <w:r w:rsidRPr="00D85D67">
              <w:rPr>
                <w:rStyle w:val="Hyperlink"/>
                <w:noProof/>
              </w:rPr>
              <w:t>Uitvoeringsgevolgen</w:t>
            </w:r>
            <w:r>
              <w:rPr>
                <w:noProof/>
                <w:webHidden/>
              </w:rPr>
              <w:tab/>
            </w:r>
            <w:r>
              <w:rPr>
                <w:noProof/>
                <w:webHidden/>
              </w:rPr>
              <w:fldChar w:fldCharType="begin"/>
            </w:r>
            <w:r>
              <w:rPr>
                <w:noProof/>
                <w:webHidden/>
              </w:rPr>
              <w:instrText xml:space="preserve"> PAGEREF _Toc244590635 \h </w:instrText>
            </w:r>
            <w:r>
              <w:rPr>
                <w:noProof/>
                <w:webHidden/>
              </w:rPr>
            </w:r>
            <w:r>
              <w:rPr>
                <w:noProof/>
                <w:webHidden/>
              </w:rPr>
              <w:fldChar w:fldCharType="separate"/>
            </w:r>
            <w:r>
              <w:rPr>
                <w:noProof/>
                <w:webHidden/>
              </w:rPr>
              <w:t>10</w:t>
            </w:r>
            <w:r>
              <w:rPr>
                <w:noProof/>
                <w:webHidden/>
              </w:rPr>
              <w:fldChar w:fldCharType="end"/>
            </w:r>
          </w:hyperlink>
        </w:p>
        <w:p w:rsidR="00091C8F" w:rsidRDefault="00091C8F" w14:paraId="508F010D" w14:textId="0BB1FE43">
          <w:pPr>
            <w:pStyle w:val="Inhopg1"/>
            <w:rPr>
              <w:rFonts w:asciiTheme="minorHAnsi" w:hAnsiTheme="minorHAnsi" w:eastAsiaTheme="minorEastAsia"/>
              <w:noProof/>
              <w:kern w:val="2"/>
              <w:sz w:val="24"/>
              <w:szCs w:val="24"/>
              <w:lang w:eastAsia="nl-NL"/>
              <w14:ligatures w14:val="standardContextual"/>
            </w:rPr>
          </w:pPr>
          <w:hyperlink w:history="1" w:anchor="_Toc244590636">
            <w:r w:rsidRPr="00D85D67">
              <w:rPr>
                <w:rStyle w:val="Hyperlink"/>
                <w:noProof/>
              </w:rPr>
              <w:t>II. ARTIKELSGEWIJZE TOELICHTING</w:t>
            </w:r>
            <w:r>
              <w:rPr>
                <w:noProof/>
                <w:webHidden/>
              </w:rPr>
              <w:tab/>
            </w:r>
            <w:r>
              <w:rPr>
                <w:noProof/>
                <w:webHidden/>
              </w:rPr>
              <w:fldChar w:fldCharType="begin"/>
            </w:r>
            <w:r>
              <w:rPr>
                <w:noProof/>
                <w:webHidden/>
              </w:rPr>
              <w:instrText xml:space="preserve"> PAGEREF _Toc244590636 \h </w:instrText>
            </w:r>
            <w:r>
              <w:rPr>
                <w:noProof/>
                <w:webHidden/>
              </w:rPr>
            </w:r>
            <w:r>
              <w:rPr>
                <w:noProof/>
                <w:webHidden/>
              </w:rPr>
              <w:fldChar w:fldCharType="separate"/>
            </w:r>
            <w:r>
              <w:rPr>
                <w:noProof/>
                <w:webHidden/>
              </w:rPr>
              <w:t>12</w:t>
            </w:r>
            <w:r>
              <w:rPr>
                <w:noProof/>
                <w:webHidden/>
              </w:rPr>
              <w:fldChar w:fldCharType="end"/>
            </w:r>
          </w:hyperlink>
        </w:p>
        <w:p w:rsidR="00CD6899" w:rsidRDefault="00CD6899" w14:paraId="09CAA458" w14:textId="19281DBA">
          <w:r>
            <w:rPr>
              <w:b/>
              <w:bCs/>
            </w:rPr>
            <w:fldChar w:fldCharType="end"/>
          </w:r>
        </w:p>
      </w:sdtContent>
    </w:sdt>
    <w:p w:rsidR="007641EB" w:rsidP="002751D9" w:rsidRDefault="007641EB" w14:paraId="49A89F5E" w14:textId="1BBDDD74">
      <w:pPr>
        <w:rPr>
          <w:rFonts w:eastAsiaTheme="majorEastAsia" w:cstheme="majorBidi"/>
          <w:b/>
          <w:bCs/>
          <w:szCs w:val="18"/>
          <w:lang w:eastAsia="nl-NL"/>
        </w:rPr>
      </w:pPr>
      <w:r>
        <w:rPr>
          <w:rFonts w:eastAsiaTheme="majorEastAsia" w:cstheme="majorBidi"/>
          <w:b/>
          <w:bCs/>
          <w:szCs w:val="18"/>
          <w:lang w:eastAsia="nl-NL"/>
        </w:rPr>
        <w:br w:type="page"/>
      </w:r>
    </w:p>
    <w:p w:rsidRPr="00BF7268" w:rsidR="003E1991" w:rsidP="002751D9" w:rsidRDefault="003E1991" w14:paraId="6CD63557" w14:textId="0D8E8B3C">
      <w:pPr>
        <w:pStyle w:val="Kop1"/>
        <w:spacing w:after="160"/>
        <w:rPr>
          <w:rFonts w:eastAsia="Calibri"/>
          <w:sz w:val="18"/>
          <w:szCs w:val="18"/>
        </w:rPr>
      </w:pPr>
      <w:bookmarkStart w:name="_Toc235707093" w:id="1"/>
      <w:bookmarkStart w:name="_Toc244590624" w:id="2"/>
      <w:r w:rsidRPr="0088604D">
        <w:rPr>
          <w:rFonts w:eastAsia="Calibri"/>
          <w:sz w:val="18"/>
          <w:szCs w:val="18"/>
        </w:rPr>
        <w:lastRenderedPageBreak/>
        <w:t xml:space="preserve">I. </w:t>
      </w:r>
      <w:r w:rsidRPr="0088604D">
        <w:rPr>
          <w:rFonts w:eastAsia="Calibri"/>
          <w:sz w:val="18"/>
          <w:szCs w:val="18"/>
        </w:rPr>
        <w:tab/>
        <w:t>ALGEMEEN</w:t>
      </w:r>
      <w:bookmarkEnd w:id="0"/>
      <w:bookmarkEnd w:id="1"/>
      <w:bookmarkEnd w:id="2"/>
    </w:p>
    <w:p w:rsidRPr="0088604D" w:rsidR="003E1991" w:rsidP="002751D9" w:rsidRDefault="003E1991" w14:paraId="47D5D892" w14:textId="4F79EB6E">
      <w:pPr>
        <w:pStyle w:val="Kop2"/>
        <w:spacing w:after="160"/>
        <w:rPr>
          <w:szCs w:val="18"/>
        </w:rPr>
      </w:pPr>
      <w:bookmarkStart w:name="_Toc114042134" w:id="3"/>
      <w:bookmarkStart w:name="_Toc235707094" w:id="4"/>
      <w:bookmarkStart w:name="_Toc244590625" w:id="5"/>
      <w:r w:rsidRPr="0088604D">
        <w:rPr>
          <w:szCs w:val="18"/>
        </w:rPr>
        <w:t>Inleiding</w:t>
      </w:r>
      <w:bookmarkEnd w:id="3"/>
      <w:bookmarkEnd w:id="4"/>
      <w:bookmarkEnd w:id="5"/>
    </w:p>
    <w:p w:rsidR="00A05D76" w:rsidP="00603B39" w:rsidRDefault="00100AC9" w14:paraId="654F3199" w14:textId="379B5170">
      <w:pPr>
        <w:spacing w:after="160"/>
      </w:pPr>
      <w:r>
        <w:rPr>
          <w:szCs w:val="18"/>
        </w:rPr>
        <w:t xml:space="preserve">Met deze novelle wordt het wetsvoorstel Wet werkelijk rendement box 3 aangepast. </w:t>
      </w:r>
      <w:r w:rsidR="00603B39">
        <w:rPr>
          <w:szCs w:val="18"/>
        </w:rPr>
        <w:t xml:space="preserve">Het kabinet heeft in het coalitieakkoord opgenomen dat om </w:t>
      </w:r>
      <w:r w:rsidRPr="00603B39" w:rsidR="00603B39">
        <w:rPr>
          <w:szCs w:val="18"/>
        </w:rPr>
        <w:t>lange termijn beleggingen</w:t>
      </w:r>
      <w:r w:rsidR="00603B39">
        <w:rPr>
          <w:szCs w:val="18"/>
        </w:rPr>
        <w:t xml:space="preserve"> te stimuleren, h</w:t>
      </w:r>
      <w:r w:rsidRPr="00603B39" w:rsidR="00603B39">
        <w:rPr>
          <w:szCs w:val="18"/>
        </w:rPr>
        <w:t xml:space="preserve">et nieuwe </w:t>
      </w:r>
      <w:r w:rsidR="00603B39">
        <w:rPr>
          <w:szCs w:val="18"/>
        </w:rPr>
        <w:t>box 3-</w:t>
      </w:r>
      <w:r w:rsidRPr="00603B39" w:rsidR="00603B39">
        <w:rPr>
          <w:szCs w:val="18"/>
        </w:rPr>
        <w:t>stelsel op</w:t>
      </w:r>
      <w:r w:rsidR="00603B39">
        <w:rPr>
          <w:szCs w:val="18"/>
        </w:rPr>
        <w:t xml:space="preserve"> basis van</w:t>
      </w:r>
      <w:r w:rsidRPr="00603B39" w:rsidR="00603B39">
        <w:rPr>
          <w:szCs w:val="18"/>
        </w:rPr>
        <w:t xml:space="preserve"> werkelijk rendement </w:t>
      </w:r>
      <w:r w:rsidR="00056A3D">
        <w:rPr>
          <w:szCs w:val="18"/>
        </w:rPr>
        <w:t xml:space="preserve">wordt doorontwikkeld </w:t>
      </w:r>
      <w:r w:rsidRPr="00603B39" w:rsidR="00603B39">
        <w:rPr>
          <w:szCs w:val="18"/>
        </w:rPr>
        <w:t xml:space="preserve">naar een </w:t>
      </w:r>
      <w:r w:rsidR="00603B39">
        <w:rPr>
          <w:szCs w:val="18"/>
        </w:rPr>
        <w:t>v</w:t>
      </w:r>
      <w:r w:rsidRPr="00603B39" w:rsidR="00603B39">
        <w:rPr>
          <w:szCs w:val="18"/>
        </w:rPr>
        <w:t>ermogenswinstsystematiek</w:t>
      </w:r>
      <w:r w:rsidR="00603B39">
        <w:rPr>
          <w:szCs w:val="18"/>
        </w:rPr>
        <w:t>.</w:t>
      </w:r>
      <w:r w:rsidRPr="00603B39" w:rsidR="00603B39">
        <w:rPr>
          <w:szCs w:val="18"/>
        </w:rPr>
        <w:t xml:space="preserve"> </w:t>
      </w:r>
      <w:r w:rsidR="00031334">
        <w:rPr>
          <w:szCs w:val="18"/>
        </w:rPr>
        <w:t xml:space="preserve">Het kabinet heeft bovendien gezocht naar breed draagvlak voor het toekomstige box 3-stelsel. </w:t>
      </w:r>
      <w:r w:rsidR="00424CF6">
        <w:rPr>
          <w:szCs w:val="18"/>
        </w:rPr>
        <w:t>Bij de parlementaire behandeling in de Eerste Kamer</w:t>
      </w:r>
      <w:r w:rsidR="00A05D76">
        <w:rPr>
          <w:szCs w:val="18"/>
        </w:rPr>
        <w:t xml:space="preserve"> is gebleken dat </w:t>
      </w:r>
      <w:r w:rsidR="00A05D76">
        <w:t xml:space="preserve">er onvoldoende draagvlak </w:t>
      </w:r>
      <w:r w:rsidR="00424CF6">
        <w:t xml:space="preserve">bestaat </w:t>
      </w:r>
      <w:r w:rsidR="00A05D76">
        <w:rPr>
          <w:szCs w:val="18"/>
        </w:rPr>
        <w:t>voor het momenteel in de Eerste Kamer</w:t>
      </w:r>
      <w:r w:rsidRPr="00A05D76" w:rsidR="00A05D76">
        <w:t xml:space="preserve"> </w:t>
      </w:r>
      <w:r w:rsidR="00A05D76">
        <w:t>voorliggende wetsvoorstel</w:t>
      </w:r>
      <w:r w:rsidR="00A05D76">
        <w:rPr>
          <w:szCs w:val="18"/>
        </w:rPr>
        <w:t xml:space="preserve"> </w:t>
      </w:r>
      <w:r w:rsidR="00A05D76">
        <w:t xml:space="preserve">met een vermogensaanwasbelasting als hoofdregel en de vermogenswinstbelasting als uitzondering (voor vastgoed en aandelen in start- en </w:t>
      </w:r>
      <w:proofErr w:type="spellStart"/>
      <w:r w:rsidR="00A05D76">
        <w:t>scale</w:t>
      </w:r>
      <w:proofErr w:type="spellEnd"/>
      <w:r w:rsidR="00A05D76">
        <w:t>-ups). Dat draagvlak is er wel voor een</w:t>
      </w:r>
      <w:r w:rsidR="00F95B83">
        <w:t xml:space="preserve"> volledige</w:t>
      </w:r>
      <w:r w:rsidR="00A05D76">
        <w:t xml:space="preserve"> vermogenswinstbelasting. </w:t>
      </w:r>
    </w:p>
    <w:p w:rsidR="005B7166" w:rsidP="00A05D76" w:rsidRDefault="00A05D76" w14:paraId="5D2ADB12" w14:textId="0DF14654">
      <w:r>
        <w:t xml:space="preserve">Om de stap naar een vermogenswinstbelasting </w:t>
      </w:r>
      <w:r w:rsidR="00603B39">
        <w:rPr>
          <w:szCs w:val="18"/>
        </w:rPr>
        <w:t xml:space="preserve">zo snel mogelijk te zetten </w:t>
      </w:r>
      <w:r w:rsidR="00100AC9">
        <w:rPr>
          <w:szCs w:val="18"/>
        </w:rPr>
        <w:t>stelt</w:t>
      </w:r>
      <w:r w:rsidR="00603B39">
        <w:rPr>
          <w:szCs w:val="18"/>
        </w:rPr>
        <w:t xml:space="preserve"> het kabinet</w:t>
      </w:r>
      <w:r w:rsidR="00100AC9">
        <w:rPr>
          <w:szCs w:val="18"/>
        </w:rPr>
        <w:t xml:space="preserve"> voor om de </w:t>
      </w:r>
      <w:r w:rsidR="009378CC">
        <w:rPr>
          <w:szCs w:val="18"/>
        </w:rPr>
        <w:t xml:space="preserve">voorgestelde </w:t>
      </w:r>
      <w:r w:rsidR="00100AC9">
        <w:rPr>
          <w:szCs w:val="18"/>
        </w:rPr>
        <w:t>vermogenswinstbelasting in het nieuwe box 3-stelsel uit te breiden</w:t>
      </w:r>
      <w:r w:rsidR="00603B39">
        <w:rPr>
          <w:szCs w:val="18"/>
        </w:rPr>
        <w:t xml:space="preserve"> van alleen onroerende zaken en </w:t>
      </w:r>
      <w:r w:rsidR="003F0563">
        <w:rPr>
          <w:szCs w:val="18"/>
        </w:rPr>
        <w:t xml:space="preserve">aandelen van en </w:t>
      </w:r>
      <w:r w:rsidR="00603B39">
        <w:rPr>
          <w:szCs w:val="18"/>
        </w:rPr>
        <w:t>winstbewijzen in startende ondernemingen</w:t>
      </w:r>
      <w:r w:rsidR="003F0563">
        <w:rPr>
          <w:szCs w:val="18"/>
        </w:rPr>
        <w:t xml:space="preserve"> </w:t>
      </w:r>
      <w:r w:rsidR="00100AC9">
        <w:rPr>
          <w:szCs w:val="18"/>
        </w:rPr>
        <w:t>naar alle financiële instrumenten (waaronder aandelen</w:t>
      </w:r>
      <w:r w:rsidR="001A3A83">
        <w:rPr>
          <w:szCs w:val="18"/>
        </w:rPr>
        <w:t xml:space="preserve"> en</w:t>
      </w:r>
      <w:r w:rsidR="00100AC9">
        <w:rPr>
          <w:szCs w:val="18"/>
        </w:rPr>
        <w:t xml:space="preserve"> </w:t>
      </w:r>
      <w:r w:rsidR="00517BFF">
        <w:rPr>
          <w:szCs w:val="18"/>
        </w:rPr>
        <w:t>verhandelbare schuldinstrumenten zoals obligaties en opties</w:t>
      </w:r>
      <w:r w:rsidR="00100AC9">
        <w:rPr>
          <w:szCs w:val="18"/>
        </w:rPr>
        <w:t xml:space="preserve">). </w:t>
      </w:r>
      <w:r w:rsidR="005C6094">
        <w:rPr>
          <w:szCs w:val="18"/>
        </w:rPr>
        <w:t xml:space="preserve">Het kabinet heeft hierbij ingezet </w:t>
      </w:r>
      <w:r w:rsidR="00031334">
        <w:rPr>
          <w:szCs w:val="18"/>
        </w:rPr>
        <w:t xml:space="preserve">op invoering </w:t>
      </w:r>
      <w:r w:rsidR="005B7166">
        <w:rPr>
          <w:szCs w:val="18"/>
        </w:rPr>
        <w:t xml:space="preserve">per </w:t>
      </w:r>
      <w:r w:rsidR="00031334">
        <w:rPr>
          <w:szCs w:val="18"/>
        </w:rPr>
        <w:t xml:space="preserve">2028. </w:t>
      </w:r>
      <w:r>
        <w:rPr>
          <w:szCs w:val="18"/>
        </w:rPr>
        <w:t xml:space="preserve">Het kabinet weegt echter zwaar mee dat in de uitvoeringstoets </w:t>
      </w:r>
      <w:r>
        <w:t>van de Belastingdienst een negatief oordeel wordt gegeven over de uitvoerbaarheid per 2028</w:t>
      </w:r>
      <w:r w:rsidR="005B7166">
        <w:t xml:space="preserve">. </w:t>
      </w:r>
      <w:r w:rsidRPr="005B7166" w:rsidR="005B7166">
        <w:t>Voor belastingjaar 2029 verbetert de uitvoerbaarheid</w:t>
      </w:r>
      <w:r w:rsidR="005B7166">
        <w:t>.</w:t>
      </w:r>
      <w:r>
        <w:t xml:space="preserve"> </w:t>
      </w:r>
      <w:r w:rsidR="00EA7AB6">
        <w:t>De</w:t>
      </w:r>
      <w:r w:rsidR="005B7166">
        <w:t xml:space="preserve"> </w:t>
      </w:r>
      <w:r w:rsidR="008C6116">
        <w:t>A</w:t>
      </w:r>
      <w:r w:rsidR="005B7166">
        <w:t xml:space="preserve">fdeling </w:t>
      </w:r>
      <w:r w:rsidR="008C6116">
        <w:t>a</w:t>
      </w:r>
      <w:r w:rsidR="005B7166">
        <w:t>dvisering van de Raad van State geeft aan dat invoering van het voorstel per 2028 op basis van de beschikbare informatie niet verantwoord zou zijn.</w:t>
      </w:r>
      <w:r w:rsidR="00F95B83">
        <w:t xml:space="preserve"> Bovendien geven ook financiële instellingen aan de gegevens voor het belastingjaar 2028 niet tijdig te kunnen leveren aan de Belastingdienst.</w:t>
      </w:r>
      <w:r w:rsidR="005B7166">
        <w:t xml:space="preserve"> </w:t>
      </w:r>
      <w:r w:rsidR="008F3CFB">
        <w:t xml:space="preserve">Voor belastingjaar 2029 verbetert de uitvoerbaarheid. </w:t>
      </w:r>
      <w:r w:rsidR="005B7166">
        <w:t xml:space="preserve">Om voldoende tijd te geven voor </w:t>
      </w:r>
      <w:r w:rsidR="00DA11DF">
        <w:t>de</w:t>
      </w:r>
      <w:r w:rsidR="005B7166">
        <w:t xml:space="preserve"> implementatie </w:t>
      </w:r>
      <w:r w:rsidR="00DA11DF">
        <w:t xml:space="preserve">stelt het kabinet nu voor om het nieuwe box 3-stelsel inclusief de voorstellen in deze novelle in te voeren met ingang van 1 januari 2029. </w:t>
      </w:r>
      <w:r w:rsidR="00F95B83">
        <w:t>Dat betekent dat het huidige forfaitaire box 3-stelsel met tegenbewijs ook in 2028, dus een jaar langer, van toepassing zal zijn.</w:t>
      </w:r>
    </w:p>
    <w:p w:rsidRPr="00DA11DF" w:rsidR="00DA11DF" w:rsidP="00DA11DF" w:rsidRDefault="00DA11DF" w14:paraId="79B840A6" w14:textId="77777777"/>
    <w:p w:rsidR="00100AC9" w:rsidP="00603B39" w:rsidRDefault="005B7166" w14:paraId="562C5B0A" w14:textId="14194DB9">
      <w:pPr>
        <w:spacing w:after="160"/>
        <w:rPr>
          <w:szCs w:val="18"/>
        </w:rPr>
      </w:pPr>
      <w:r>
        <w:rPr>
          <w:szCs w:val="18"/>
        </w:rPr>
        <w:t xml:space="preserve">Door de uitbreiding van de vermogenswinstbelasting </w:t>
      </w:r>
      <w:r w:rsidR="00100AC9">
        <w:rPr>
          <w:szCs w:val="18"/>
        </w:rPr>
        <w:t xml:space="preserve">zal direct bij de start van het nieuwe box 3-stelsel </w:t>
      </w:r>
      <w:r w:rsidR="001B1A48">
        <w:rPr>
          <w:szCs w:val="18"/>
        </w:rPr>
        <w:t xml:space="preserve">voor 90% </w:t>
      </w:r>
      <w:r w:rsidR="009752B6">
        <w:rPr>
          <w:szCs w:val="18"/>
        </w:rPr>
        <w:t xml:space="preserve">het </w:t>
      </w:r>
      <w:r w:rsidR="00100AC9">
        <w:rPr>
          <w:szCs w:val="18"/>
        </w:rPr>
        <w:t>vermogen in box 3</w:t>
      </w:r>
      <w:r w:rsidR="001B1A48">
        <w:rPr>
          <w:szCs w:val="18"/>
        </w:rPr>
        <w:t xml:space="preserve"> met waardeontwikkeling</w:t>
      </w:r>
      <w:r w:rsidR="00100AC9">
        <w:rPr>
          <w:szCs w:val="18"/>
        </w:rPr>
        <w:t>, namelijk onroerende zaken en alle financiële instrumenten, onder de vermogenswinstbelasting vallen.</w:t>
      </w:r>
      <w:r w:rsidR="00603B39">
        <w:rPr>
          <w:szCs w:val="18"/>
        </w:rPr>
        <w:t xml:space="preserve"> </w:t>
      </w:r>
      <w:r w:rsidR="001B1A48">
        <w:rPr>
          <w:szCs w:val="18"/>
        </w:rPr>
        <w:t>Voor de resterende vermogensbestanddelen in de vermogensaanwasbelasting, zoals verzekeringsproducten, banktegoeden en vorderingen en schulden</w:t>
      </w:r>
      <w:r w:rsidR="0067019E">
        <w:rPr>
          <w:rStyle w:val="Voetnootmarkering"/>
          <w:szCs w:val="18"/>
        </w:rPr>
        <w:footnoteReference w:id="1"/>
      </w:r>
      <w:r w:rsidR="001B1A48">
        <w:rPr>
          <w:szCs w:val="18"/>
        </w:rPr>
        <w:t xml:space="preserve">, zal het kabinet voorstellen uitwerken om deze zo snel mogelijk na 2028 eveneens onder de vermogenswinstbelasting te brengen. De huidige verwachting is dat dit per 2030 mogelijk zal zijn. </w:t>
      </w:r>
    </w:p>
    <w:p w:rsidR="003E1991" w:rsidP="002751D9" w:rsidRDefault="009752B6" w14:paraId="202F0B6B" w14:textId="47AFBFFC">
      <w:pPr>
        <w:spacing w:after="160"/>
        <w:rPr>
          <w:szCs w:val="18"/>
        </w:rPr>
      </w:pPr>
      <w:r>
        <w:rPr>
          <w:szCs w:val="18"/>
        </w:rPr>
        <w:t xml:space="preserve">In het nieuwe box 3-stelsel wordt belasting geheven over het werkelijke rendement in plaats van een forfaitair bepaald rendement. Bij een vermogensaanwasbelasting wordt de waardeontwikkeling van </w:t>
      </w:r>
      <w:r w:rsidR="00742E20">
        <w:rPr>
          <w:szCs w:val="18"/>
        </w:rPr>
        <w:t>het vermogen</w:t>
      </w:r>
      <w:r>
        <w:rPr>
          <w:szCs w:val="18"/>
        </w:rPr>
        <w:t xml:space="preserve"> jaarlijks in de heffing betrokken, ongeacht of sprake is van realisatie (zoals bij verkoop van een vermogensbestanddeel). </w:t>
      </w:r>
      <w:r w:rsidR="00742E20">
        <w:rPr>
          <w:szCs w:val="18"/>
        </w:rPr>
        <w:t xml:space="preserve">De waardeontwikkeling van vermogensbestanddelen </w:t>
      </w:r>
      <w:r w:rsidR="001B1A48">
        <w:rPr>
          <w:szCs w:val="18"/>
        </w:rPr>
        <w:t xml:space="preserve">in de vermogensaanwasbelasting </w:t>
      </w:r>
      <w:r w:rsidR="00742E20">
        <w:rPr>
          <w:szCs w:val="18"/>
        </w:rPr>
        <w:t xml:space="preserve">wordt </w:t>
      </w:r>
      <w:r w:rsidRPr="00742E20" w:rsidR="00742E20">
        <w:rPr>
          <w:szCs w:val="18"/>
        </w:rPr>
        <w:t>belast als deze is gerealiseerd</w:t>
      </w:r>
      <w:r w:rsidR="00742E20">
        <w:rPr>
          <w:szCs w:val="18"/>
        </w:rPr>
        <w:t>.</w:t>
      </w:r>
      <w:r w:rsidRPr="00742E20" w:rsidR="00742E20">
        <w:rPr>
          <w:szCs w:val="18"/>
        </w:rPr>
        <w:t xml:space="preserve"> </w:t>
      </w:r>
    </w:p>
    <w:p w:rsidR="00A313B5" w:rsidP="002751D9" w:rsidRDefault="00A313B5" w14:paraId="50E65A35" w14:textId="54BD7447">
      <w:pPr>
        <w:spacing w:after="160"/>
        <w:rPr>
          <w:szCs w:val="18"/>
        </w:rPr>
      </w:pPr>
    </w:p>
    <w:p w:rsidR="002B49F6" w:rsidP="00AD7BF0" w:rsidRDefault="002B49F6" w14:paraId="01270005" w14:textId="3F89DFBA">
      <w:pPr>
        <w:spacing w:after="160"/>
        <w:rPr>
          <w:szCs w:val="18"/>
        </w:rPr>
      </w:pPr>
      <w:r w:rsidRPr="002B49F6">
        <w:rPr>
          <w:szCs w:val="18"/>
        </w:rPr>
        <w:t>Het uitbreiden van de vermogenswinstbelasting gaat gepaard met budgettaire gevolgen.</w:t>
      </w:r>
      <w:r>
        <w:rPr>
          <w:szCs w:val="18"/>
        </w:rPr>
        <w:t xml:space="preserve"> </w:t>
      </w:r>
      <w:r w:rsidR="00D65393">
        <w:rPr>
          <w:szCs w:val="18"/>
        </w:rPr>
        <w:t>Naar aanleiding van de Kamerbrief van 29 september 2026 is het kabinet gebleken dat voor onderdelen van het voorgestelde dekkingspakket nog onvoldoende politiek draagvlak bestaat.</w:t>
      </w:r>
      <w:r w:rsidR="007E1859">
        <w:rPr>
          <w:rStyle w:val="Voetnootmarkering"/>
          <w:szCs w:val="18"/>
        </w:rPr>
        <w:footnoteReference w:id="2"/>
      </w:r>
      <w:r w:rsidR="00D65393">
        <w:rPr>
          <w:szCs w:val="18"/>
        </w:rPr>
        <w:t xml:space="preserve"> Daarom </w:t>
      </w:r>
      <w:r w:rsidR="00580F5A">
        <w:rPr>
          <w:szCs w:val="18"/>
        </w:rPr>
        <w:t xml:space="preserve">heeft </w:t>
      </w:r>
      <w:r w:rsidR="00D65393">
        <w:rPr>
          <w:szCs w:val="18"/>
        </w:rPr>
        <w:t xml:space="preserve">het kabinet </w:t>
      </w:r>
      <w:r w:rsidR="00580F5A">
        <w:rPr>
          <w:szCs w:val="18"/>
        </w:rPr>
        <w:t xml:space="preserve">de </w:t>
      </w:r>
      <w:r w:rsidR="00D65393">
        <w:rPr>
          <w:szCs w:val="18"/>
        </w:rPr>
        <w:t xml:space="preserve">dekkingsvoorstellen </w:t>
      </w:r>
      <w:r w:rsidR="00580F5A">
        <w:rPr>
          <w:szCs w:val="18"/>
        </w:rPr>
        <w:t>aangepast</w:t>
      </w:r>
      <w:r w:rsidR="00D65393">
        <w:rPr>
          <w:szCs w:val="18"/>
        </w:rPr>
        <w:t xml:space="preserve"> om kleine spaarders te ontzien.</w:t>
      </w:r>
      <w:r w:rsidR="007E1859">
        <w:rPr>
          <w:szCs w:val="18"/>
        </w:rPr>
        <w:t xml:space="preserve"> </w:t>
      </w:r>
      <w:r>
        <w:rPr>
          <w:szCs w:val="18"/>
        </w:rPr>
        <w:t xml:space="preserve">In </w:t>
      </w:r>
      <w:r>
        <w:t>b</w:t>
      </w:r>
      <w:r w:rsidRPr="00AD3198">
        <w:t>ox 2</w:t>
      </w:r>
      <w:r>
        <w:t xml:space="preserve"> wordt</w:t>
      </w:r>
      <w:r w:rsidRPr="00AD3198">
        <w:t xml:space="preserve"> </w:t>
      </w:r>
      <w:r>
        <w:t xml:space="preserve">de mogelijkheid </w:t>
      </w:r>
      <w:r w:rsidR="00071931">
        <w:t>om bovenmatig te lenen bij de eigen vennootschap (</w:t>
      </w:r>
      <w:r w:rsidRPr="00AD3198">
        <w:t>excessief lenen</w:t>
      </w:r>
      <w:r w:rsidR="00071931">
        <w:t xml:space="preserve">) </w:t>
      </w:r>
      <w:r w:rsidR="00B346BB">
        <w:t xml:space="preserve">vanaf 2027 </w:t>
      </w:r>
      <w:r w:rsidR="00071931">
        <w:t xml:space="preserve">versoberd. Daartoe wordt het zogenoemde maximumbedrag </w:t>
      </w:r>
      <w:r w:rsidR="00B346BB">
        <w:t>in de komende vijf jaar in jaarlijkse stappen van € 80.000 verlaagd van € 500.000 naar € 100.000</w:t>
      </w:r>
      <w:r>
        <w:t>.</w:t>
      </w:r>
      <w:r>
        <w:rPr>
          <w:rFonts w:cs="Calibri"/>
        </w:rPr>
        <w:t xml:space="preserve"> </w:t>
      </w:r>
      <w:r>
        <w:t xml:space="preserve">Om de gevolgen hiervan te verzachten wordt voor de duur van 4 jaar tijdelijk het tarief van de </w:t>
      </w:r>
      <w:r w:rsidRPr="00580F5A" w:rsidR="00580F5A">
        <w:t xml:space="preserve">eerste schijf in box 2 verlaagd met 1,0%-punt naar 23,5% en het tarief in de tweede schijf in box 2 met 2,0%-punt verlaagd naar 29%. </w:t>
      </w:r>
    </w:p>
    <w:p w:rsidR="003F0563" w:rsidP="00AD7BF0" w:rsidRDefault="007641EB" w14:paraId="312D0980" w14:textId="11638A6A">
      <w:pPr>
        <w:spacing w:after="160"/>
        <w:rPr>
          <w:szCs w:val="18"/>
        </w:rPr>
      </w:pPr>
      <w:r w:rsidRPr="007641EB">
        <w:rPr>
          <w:szCs w:val="18"/>
        </w:rPr>
        <w:t>In paragraaf 2 word</w:t>
      </w:r>
      <w:r>
        <w:rPr>
          <w:szCs w:val="18"/>
        </w:rPr>
        <w:t>en de voorgestelde aanpassingen nader toegelicht, waaronder de verhouding met het wetsvoorstel Wet werkelijk rendement box 3</w:t>
      </w:r>
      <w:r w:rsidR="002B49F6">
        <w:rPr>
          <w:szCs w:val="18"/>
        </w:rPr>
        <w:t>,</w:t>
      </w:r>
      <w:r>
        <w:rPr>
          <w:szCs w:val="18"/>
        </w:rPr>
        <w:t xml:space="preserve"> de definitie van financiële instrumenten</w:t>
      </w:r>
      <w:r w:rsidR="002B49F6">
        <w:rPr>
          <w:szCs w:val="18"/>
        </w:rPr>
        <w:t xml:space="preserve"> en de voorgestelde dekkingsmaatregelen</w:t>
      </w:r>
      <w:r>
        <w:rPr>
          <w:szCs w:val="18"/>
        </w:rPr>
        <w:t xml:space="preserve">. </w:t>
      </w:r>
      <w:r w:rsidRPr="007641EB">
        <w:rPr>
          <w:szCs w:val="18"/>
        </w:rPr>
        <w:t xml:space="preserve">De paragrafen </w:t>
      </w:r>
      <w:r>
        <w:rPr>
          <w:szCs w:val="18"/>
        </w:rPr>
        <w:t>3</w:t>
      </w:r>
      <w:r w:rsidR="002751D9">
        <w:rPr>
          <w:szCs w:val="18"/>
        </w:rPr>
        <w:t xml:space="preserve"> en </w:t>
      </w:r>
      <w:r w:rsidR="0035216F">
        <w:rPr>
          <w:szCs w:val="18"/>
        </w:rPr>
        <w:t xml:space="preserve">4 </w:t>
      </w:r>
      <w:r w:rsidRPr="007641EB">
        <w:rPr>
          <w:szCs w:val="18"/>
        </w:rPr>
        <w:t>bevatten de budgettaire gevolgen</w:t>
      </w:r>
      <w:r w:rsidR="002751D9">
        <w:rPr>
          <w:szCs w:val="18"/>
        </w:rPr>
        <w:t xml:space="preserve"> en de </w:t>
      </w:r>
      <w:r w:rsidRPr="007641EB">
        <w:rPr>
          <w:szCs w:val="18"/>
        </w:rPr>
        <w:t>gevolgen voor de uitvoering.</w:t>
      </w:r>
    </w:p>
    <w:p w:rsidR="00517BFF" w:rsidP="003F0563" w:rsidRDefault="00BF7268" w14:paraId="1155D1F8" w14:textId="573FFDBF">
      <w:pPr>
        <w:pStyle w:val="Kop2"/>
        <w:spacing w:after="160"/>
        <w:ind w:left="357" w:hanging="357"/>
      </w:pPr>
      <w:bookmarkStart w:name="_Toc244590626" w:id="6"/>
      <w:r>
        <w:t>Hoofdlijnen van het voorstel</w:t>
      </w:r>
      <w:bookmarkEnd w:id="6"/>
    </w:p>
    <w:p w:rsidRPr="008B628C" w:rsidR="00813B2E" w:rsidP="002751D9" w:rsidRDefault="009378CC" w14:paraId="3CDD7047" w14:textId="30B0B636">
      <w:pPr>
        <w:pStyle w:val="Kop2"/>
        <w:numPr>
          <w:ilvl w:val="1"/>
          <w:numId w:val="1"/>
        </w:numPr>
        <w:spacing w:after="160"/>
        <w:ind w:left="391" w:hanging="391"/>
      </w:pPr>
      <w:bookmarkStart w:name="_Toc244590627" w:id="7"/>
      <w:r w:rsidRPr="009378CC">
        <w:t xml:space="preserve">Achtergrond en verhouding </w:t>
      </w:r>
      <w:r w:rsidR="008C6931">
        <w:t xml:space="preserve">tot het </w:t>
      </w:r>
      <w:r w:rsidRPr="009378CC">
        <w:t>wetsvoorstel Wet werkelijk rendement box 3</w:t>
      </w:r>
      <w:bookmarkEnd w:id="7"/>
    </w:p>
    <w:p w:rsidR="00BC2BEB" w:rsidP="002751D9" w:rsidRDefault="008B628C" w14:paraId="2B0EF64E" w14:textId="1769F737">
      <w:r>
        <w:t xml:space="preserve">In het huidige box 3-stelsel wordt belasting geheven op </w:t>
      </w:r>
      <w:r w:rsidR="00A04EFC">
        <w:t xml:space="preserve">basis van een forfaitair bepaald rendement met een tegenbewijsregeling. </w:t>
      </w:r>
      <w:r w:rsidR="00BC2BEB">
        <w:t>Op basis van de tegenbewijsregeling worden b</w:t>
      </w:r>
      <w:r w:rsidR="00A04EFC">
        <w:t>elastingplichtigen met een</w:t>
      </w:r>
      <w:r w:rsidR="00BC2BEB">
        <w:t xml:space="preserve"> werkelijk rendement dat lager is dan het forfaitair bepaalde rendement belast op basis van het lagere werkelijke rendement. De belastingplichtige kan nu dus jaarlijks de meest gunstige systematiek kiezen. </w:t>
      </w:r>
      <w:r w:rsidRPr="008C6931" w:rsidR="008C6931">
        <w:t>Bovendien werkt de tegenbewijsregeling niet neutraal uit voor de lastendruk van belastingplichtigen met verschillende vormen van vermoge</w:t>
      </w:r>
      <w:r w:rsidR="008C6931">
        <w:t xml:space="preserve">n en </w:t>
      </w:r>
      <w:r w:rsidRPr="008C6931" w:rsidR="008C6931">
        <w:t>wordt op basis van de arresten van de Hoge Raad in de tegenbewijsregeling een definitie van werkelijk rendement gehanteerd waar met name beleggers in onroerende zaken onvrede over hebben geuit.</w:t>
      </w:r>
      <w:r w:rsidR="008C6931">
        <w:t xml:space="preserve"> Daarom blijft het kabinet </w:t>
      </w:r>
      <w:r w:rsidR="00F92A32">
        <w:t xml:space="preserve">inzetten op het </w:t>
      </w:r>
      <w:r w:rsidR="00270C7B">
        <w:t>zo spoedig mogelijk invoeren van een nieuw stelsel in box 3 op basis van werkelijk rendement.</w:t>
      </w:r>
    </w:p>
    <w:p w:rsidR="000C713D" w:rsidP="002751D9" w:rsidRDefault="00BC2BEB" w14:paraId="78E7BBCE" w14:textId="1C3BC880">
      <w:r>
        <w:br/>
        <w:t xml:space="preserve">Met het wetsvoorstel Wet werkelijk rendement box 3 wordt de stap gezet naar een stelsel op basis van werkelijk rendement voor alle belastingplichtigen. </w:t>
      </w:r>
      <w:r w:rsidRPr="00BC2BEB">
        <w:t>Daardoor sluit de belastingheffing beter aan bij de feitelijke draagkracht van belastingplichtige</w:t>
      </w:r>
      <w:r>
        <w:t>n</w:t>
      </w:r>
      <w:r w:rsidRPr="00BC2BEB">
        <w:t>.</w:t>
      </w:r>
      <w:r>
        <w:t xml:space="preserve"> Daarnaast worden bij het bepalen van het werkelijk rendement – in tegenstelling tot </w:t>
      </w:r>
      <w:r w:rsidR="000E696E">
        <w:t xml:space="preserve">de regels </w:t>
      </w:r>
      <w:r w:rsidR="001E5218">
        <w:t xml:space="preserve">in </w:t>
      </w:r>
      <w:r>
        <w:t>de</w:t>
      </w:r>
      <w:r w:rsidR="001E5218">
        <w:t xml:space="preserve"> huidige</w:t>
      </w:r>
      <w:r>
        <w:t xml:space="preserve"> tegenbewijsregeling – kostenaftrek en verliesverrekening mogelijk.</w:t>
      </w:r>
      <w:r w:rsidR="008C6931">
        <w:t xml:space="preserve"> </w:t>
      </w:r>
      <w:r w:rsidR="001044A2">
        <w:t xml:space="preserve">Bij </w:t>
      </w:r>
      <w:r w:rsidR="001A3A83">
        <w:t>K</w:t>
      </w:r>
      <w:r w:rsidR="001044A2">
        <w:t>amerbrief van 6 maart 2026 heeft het kabinet aangekondigd verbeteringen aan het wetsvoorstel te onderzoeken met het oog op het realiseren van breed politiek en maatschappelijk draagvlak.</w:t>
      </w:r>
      <w:r w:rsidR="001044A2">
        <w:rPr>
          <w:rStyle w:val="Voetnootmarkering"/>
        </w:rPr>
        <w:footnoteReference w:id="3"/>
      </w:r>
      <w:r w:rsidR="001044A2">
        <w:t xml:space="preserve"> Bij </w:t>
      </w:r>
      <w:r w:rsidR="001A3A83">
        <w:t>K</w:t>
      </w:r>
      <w:r w:rsidR="001044A2">
        <w:t>amerbrief van 19 juni 2026 heeft het kabinet verschillende opties voor verbeteringen gepresenteerd.</w:t>
      </w:r>
      <w:r w:rsidR="001044A2">
        <w:rPr>
          <w:rStyle w:val="Voetnootmarkering"/>
        </w:rPr>
        <w:footnoteReference w:id="4"/>
      </w:r>
      <w:r w:rsidR="005B0E1A">
        <w:t xml:space="preserve"> </w:t>
      </w:r>
      <w:r w:rsidRPr="005B0E1A" w:rsidR="005B0E1A">
        <w:t>Deze opties zijn niet opgenomen in deze novelle omdat het kabinet voorrang geeft aan invoeren van een vermogenswinstbelasting voor financiële instrumenten.</w:t>
      </w:r>
      <w:r w:rsidRPr="00900340" w:rsidR="00900340">
        <w:t xml:space="preserve"> </w:t>
      </w:r>
      <w:r w:rsidR="00900340">
        <w:t xml:space="preserve">Het kabinet zal deze opties opnieuw wegen en betrekken bij het </w:t>
      </w:r>
      <w:r w:rsidR="00900340">
        <w:lastRenderedPageBreak/>
        <w:t>wetsvoorstel voor de doorontwikkeling naar een volledige vermogenswinstbelasting.</w:t>
      </w:r>
      <w:r w:rsidR="00900340">
        <w:br/>
      </w:r>
    </w:p>
    <w:p w:rsidR="000C713D" w:rsidP="002751D9" w:rsidRDefault="000E696E" w14:paraId="030B1EFA" w14:textId="011776E6">
      <w:r w:rsidRPr="000E696E">
        <w:t xml:space="preserve">Bij een belasting </w:t>
      </w:r>
      <w:r>
        <w:t>op basis van</w:t>
      </w:r>
      <w:r w:rsidRPr="000E696E">
        <w:t xml:space="preserve"> het werkelijke rendement moet worden bepaald op welk moment de waardeontwikkeling van vermogensbestandde</w:t>
      </w:r>
      <w:r>
        <w:t>len</w:t>
      </w:r>
      <w:r w:rsidRPr="000E696E">
        <w:t xml:space="preserve"> in de heffing wordt betrokken.</w:t>
      </w:r>
      <w:r>
        <w:t xml:space="preserve"> </w:t>
      </w:r>
      <w:r w:rsidRPr="000E696E">
        <w:t xml:space="preserve">Daarbij kunnen </w:t>
      </w:r>
      <w:r>
        <w:t>op hoofdlijnen</w:t>
      </w:r>
      <w:r w:rsidRPr="000E696E">
        <w:t xml:space="preserve"> twee systemen worden onderscheiden: een vermogensaanwasbelasting en een vermogenswinstbelasting. Bij een vermogensaanwasbelasting wordt de waardeontwikkeling jaarlijks in aanmerking genomen, ongeacht of deze is gerealiseerd. Bij een vermogenswinstbelasting wordt de waardeontwikkeling in aanmerking genomen op het moment waarop deze wordt gerealiseerd</w:t>
      </w:r>
      <w:r>
        <w:t>, zoals bij verkoop</w:t>
      </w:r>
      <w:r w:rsidRPr="000E696E">
        <w:t>.</w:t>
      </w:r>
      <w:r>
        <w:t xml:space="preserve"> </w:t>
      </w:r>
      <w:r w:rsidR="00270C7B">
        <w:t>In beide stelsel</w:t>
      </w:r>
      <w:r w:rsidR="001A3A83">
        <w:t>s</w:t>
      </w:r>
      <w:r w:rsidR="00270C7B">
        <w:t xml:space="preserve"> worden de reguliere voordelen zoals rente en dividend jaarlijks belast. </w:t>
      </w:r>
      <w:r>
        <w:t xml:space="preserve">In het oorspronkelijke wetsvoorstel is gekozen voor een hybride stelsel. </w:t>
      </w:r>
      <w:r w:rsidRPr="000E696E">
        <w:t xml:space="preserve">Als hoofdregel geldt een vermogensaanwasbelasting. Voor onroerende zaken en aandelen of winstbewijzen van startende ondernemingen </w:t>
      </w:r>
      <w:r>
        <w:t xml:space="preserve">geldt </w:t>
      </w:r>
      <w:r w:rsidRPr="000E696E">
        <w:t>een vermogenswinstbelasting.</w:t>
      </w:r>
      <w:r>
        <w:t xml:space="preserve"> </w:t>
      </w:r>
      <w:r w:rsidR="00E37D85">
        <w:t>Het kabinet kiest er nu voor om met deze novelle de vermogenswinstbelasting uit te breiden tot alle financiële instrumenten, en daarmee zo snel mogelijk zo veel mogelijk vermogensbestanddelen onder de vermogenswinstbelasting te brengen.</w:t>
      </w:r>
    </w:p>
    <w:p w:rsidR="000E696E" w:rsidP="002751D9" w:rsidRDefault="000E696E" w14:paraId="15975B93" w14:textId="77777777"/>
    <w:p w:rsidR="000E696E" w:rsidP="002751D9" w:rsidRDefault="000E696E" w14:paraId="393922B3" w14:textId="55EFBF2B">
      <w:r>
        <w:t>De voor- en nadelen van een vermogensaanwasbelasting en een vermogenswinstbelasting zijn voorafgaand en tijdens de parlementaire behandeling van het wetsvoorstel Wet werkelijk rendement box 3 uitgebreid toegelicht en bediscussieerd.</w:t>
      </w:r>
      <w:r w:rsidR="00427332">
        <w:t xml:space="preserve"> </w:t>
      </w:r>
      <w:r w:rsidRPr="00427332" w:rsidR="00427332">
        <w:t xml:space="preserve">Het kabinet maakt </w:t>
      </w:r>
      <w:r w:rsidR="00427332">
        <w:t xml:space="preserve">hierin </w:t>
      </w:r>
      <w:r w:rsidRPr="00427332" w:rsidR="00427332">
        <w:t>een andere weging dan het geval was bij indiening van het wetsvoorstel</w:t>
      </w:r>
      <w:r w:rsidR="00427332">
        <w:t xml:space="preserve"> Werkelijk rendement box 3</w:t>
      </w:r>
      <w:r w:rsidR="00B346BB">
        <w:t xml:space="preserve"> door het voorgaande kabinet</w:t>
      </w:r>
      <w:r w:rsidRPr="00427332" w:rsidR="00427332">
        <w:t xml:space="preserve">. Het kabinet heeft in het coalitieakkoord afgesproken om het stelsel door te ontwikkelen tot een volledige vermogenswinstbelasting. </w:t>
      </w:r>
      <w:r w:rsidR="00B83C73">
        <w:t>Een belangrijke overweging</w:t>
      </w:r>
      <w:r>
        <w:t xml:space="preserve"> </w:t>
      </w:r>
      <w:r w:rsidR="00E37D85">
        <w:t>voor het kabinet om te kiezen voor een vermogenswinstbelasting is</w:t>
      </w:r>
      <w:r>
        <w:t xml:space="preserve"> dat een vermogenswinstbelasting </w:t>
      </w:r>
      <w:r w:rsidR="00E37D85">
        <w:t xml:space="preserve">aansluit bij het realisatiebeginsel. </w:t>
      </w:r>
      <w:r w:rsidRPr="00E37D85" w:rsidR="00E37D85">
        <w:t>Bij een vermogenswinstbelasting wordt de waardeontwikkeling pas belast bij realisatie, waardoor de belastingheffing</w:t>
      </w:r>
      <w:r w:rsidR="00E37D85">
        <w:t xml:space="preserve"> in beginsel</w:t>
      </w:r>
      <w:r w:rsidRPr="00E37D85" w:rsidR="00E37D85">
        <w:t xml:space="preserve"> betaal</w:t>
      </w:r>
      <w:r w:rsidR="00E37D85">
        <w:t>d</w:t>
      </w:r>
      <w:r w:rsidRPr="00E37D85" w:rsidR="00E37D85">
        <w:t xml:space="preserve"> kan worden uit de (gerealiseerde) opbrengst. Dit sluit naar verwachting beter aan bij het gepercipieerde inkomensbegrip door burgers</w:t>
      </w:r>
      <w:r w:rsidR="00E37D85">
        <w:t>.</w:t>
      </w:r>
    </w:p>
    <w:p w:rsidR="00E37D85" w:rsidP="002751D9" w:rsidRDefault="00E37D85" w14:paraId="22CC2D65" w14:textId="77777777"/>
    <w:p w:rsidR="000C713D" w:rsidP="002751D9" w:rsidRDefault="00E37D85" w14:paraId="6482233E" w14:textId="48BF9212">
      <w:r w:rsidRPr="00E37D85">
        <w:t>Een vermogenswinstbelasting sluit daarnaast beter aan bij de wijze waarop waardeontwikkelingen in box 1 en box 2</w:t>
      </w:r>
      <w:r w:rsidR="00E4142F">
        <w:t xml:space="preserve"> van de inkomstenbelasting en in de vennootschapsbelasting</w:t>
      </w:r>
      <w:r w:rsidRPr="00E37D85">
        <w:t xml:space="preserve"> in de belastingheffing worden betrokken.</w:t>
      </w:r>
      <w:r>
        <w:t xml:space="preserve"> Door de vermogenswinstbelasting uit te breiden worden de verschillen tussen de boxen verkleind en wordt de prikkel tot </w:t>
      </w:r>
      <w:proofErr w:type="spellStart"/>
      <w:r>
        <w:t>boxarbitrage</w:t>
      </w:r>
      <w:proofErr w:type="spellEnd"/>
      <w:r>
        <w:t xml:space="preserve"> verder verminderd. D</w:t>
      </w:r>
      <w:r w:rsidRPr="00E37D85">
        <w:t xml:space="preserve">it draagt bij aan een meer samenhangende belastingheffing </w:t>
      </w:r>
      <w:r w:rsidRPr="00E37D85" w:rsidR="001E5218">
        <w:t>over vermogensinkomsten</w:t>
      </w:r>
      <w:r w:rsidR="001E5218">
        <w:t xml:space="preserve"> </w:t>
      </w:r>
      <w:r w:rsidR="00B83C73">
        <w:t>in de inkomstenbelasting</w:t>
      </w:r>
      <w:r w:rsidRPr="00E37D85">
        <w:t>. Ook internationaal is belastingheffing over gerealiseerde vermogenswinsten gebruikelijk. Een vermogenswinstbelasting sluit daardoor</w:t>
      </w:r>
      <w:r w:rsidR="00DC2E84">
        <w:t xml:space="preserve"> ook</w:t>
      </w:r>
      <w:r w:rsidRPr="00E37D85">
        <w:t xml:space="preserve"> beter aan bij de wijze waarop de waardeontwikkeling </w:t>
      </w:r>
      <w:r>
        <w:t xml:space="preserve">van </w:t>
      </w:r>
      <w:r w:rsidRPr="00E37D85">
        <w:t>vermogensbestanddelen in veel andere landen in de belastingheffing wordt betrokken.</w:t>
      </w:r>
    </w:p>
    <w:p w:rsidR="00E37D85" w:rsidP="002751D9" w:rsidRDefault="00E37D85" w14:paraId="67C5EB51" w14:textId="77777777"/>
    <w:p w:rsidR="00270C7B" w:rsidP="002751D9" w:rsidRDefault="00B83C73" w14:paraId="50D8E9D3" w14:textId="3B20FC17">
      <w:r>
        <w:t xml:space="preserve">Bij de uitbreiding van de vermogenswinstbelasting </w:t>
      </w:r>
      <w:r w:rsidR="00DC2E84">
        <w:t>naar alle</w:t>
      </w:r>
      <w:r>
        <w:t xml:space="preserve"> financiële instrumenten </w:t>
      </w:r>
      <w:r w:rsidRPr="00DC2E84" w:rsidR="00DC2E84">
        <w:t xml:space="preserve">wordt de </w:t>
      </w:r>
      <w:r w:rsidR="00DC2E84">
        <w:t>vermogenswinst</w:t>
      </w:r>
      <w:r w:rsidRPr="00DC2E84" w:rsidR="00DC2E84">
        <w:t xml:space="preserve">systematiek die </w:t>
      </w:r>
      <w:r w:rsidR="00DC2E84">
        <w:t>al</w:t>
      </w:r>
      <w:r w:rsidRPr="00DC2E84" w:rsidR="00DC2E84">
        <w:t xml:space="preserve"> in het wetsvoorstel Wet werkelijk rendement box 3 is </w:t>
      </w:r>
      <w:r w:rsidR="00DC2E84">
        <w:t xml:space="preserve">opgenomen </w:t>
      </w:r>
      <w:r w:rsidRPr="00DC2E84" w:rsidR="00DC2E84">
        <w:t xml:space="preserve">voor aandelen </w:t>
      </w:r>
      <w:r w:rsidR="00DC2E84">
        <w:t xml:space="preserve">en </w:t>
      </w:r>
      <w:r w:rsidRPr="00DC2E84" w:rsidR="00DC2E84">
        <w:t>winstbewijzen van startende ondernemingen</w:t>
      </w:r>
      <w:r w:rsidR="00DC2E84">
        <w:t xml:space="preserve"> als </w:t>
      </w:r>
      <w:r w:rsidR="00270C7B">
        <w:t xml:space="preserve">uitgangspunt </w:t>
      </w:r>
      <w:r w:rsidR="00DC2E84">
        <w:t>genomen. Dit wordt nader toegelicht in paragraaf 2.3.</w:t>
      </w:r>
      <w:r w:rsidR="00270C7B">
        <w:t xml:space="preserve"> </w:t>
      </w:r>
    </w:p>
    <w:p w:rsidR="00270C7B" w:rsidP="002751D9" w:rsidRDefault="00270C7B" w14:paraId="09937AA3" w14:textId="77777777"/>
    <w:p w:rsidR="001E5218" w:rsidP="002751D9" w:rsidRDefault="00270C7B" w14:paraId="2D4259B5" w14:textId="26FC7C91">
      <w:r>
        <w:lastRenderedPageBreak/>
        <w:t>De belangrijkste wijziging die met dit wetsvoorstel wordt aangebracht betreft h</w:t>
      </w:r>
      <w:r w:rsidRPr="00270C7B">
        <w:t xml:space="preserve">et moment waarop de waardeontwikkeling van financiële instrumenten in de heffing wordt betrokken. Waar deze waardeontwikkeling op grond van </w:t>
      </w:r>
      <w:r>
        <w:t>het wetsvoorstel</w:t>
      </w:r>
      <w:r w:rsidRPr="00270C7B">
        <w:t xml:space="preserve"> Wet werkelijk rendement box </w:t>
      </w:r>
      <w:proofErr w:type="gramStart"/>
      <w:r w:rsidRPr="00270C7B">
        <w:t>3 jaarlijks</w:t>
      </w:r>
      <w:proofErr w:type="gramEnd"/>
      <w:r w:rsidRPr="00270C7B">
        <w:t xml:space="preserve"> volgens de vermogensaanwassystematiek wordt belast, wordt deze als gevolg van dit wetsvoorstel belast op het moment van realisatie.</w:t>
      </w:r>
      <w:r w:rsidR="001044A2">
        <w:t xml:space="preserve"> Deze wijzigingen worden toegelicht in paragraaf 2.2 tot en met 2.4.</w:t>
      </w:r>
      <w:r w:rsidR="001E5218">
        <w:t xml:space="preserve"> </w:t>
      </w:r>
    </w:p>
    <w:p w:rsidR="001E5218" w:rsidP="002751D9" w:rsidRDefault="001E5218" w14:paraId="4E6708B3" w14:textId="77777777"/>
    <w:p w:rsidR="00270C7B" w:rsidP="002751D9" w:rsidRDefault="00270C7B" w14:paraId="02B4B2D1" w14:textId="13A5D3AD">
      <w:r>
        <w:t xml:space="preserve">Dit wetsvoorstel brengt geen </w:t>
      </w:r>
      <w:r w:rsidR="00E82C1B">
        <w:t xml:space="preserve">inhoudelijke </w:t>
      </w:r>
      <w:r>
        <w:t>wijziging aan in de overige onderdelen van het wetsvoorstel Wet werkelijk rendement</w:t>
      </w:r>
      <w:r w:rsidR="00B346BB">
        <w:t xml:space="preserve"> box 3</w:t>
      </w:r>
      <w:r>
        <w:t>. D</w:t>
      </w:r>
      <w:r w:rsidRPr="00270C7B">
        <w:t>e systematiek voor</w:t>
      </w:r>
      <w:r>
        <w:t xml:space="preserve"> bijvoorbeeld de</w:t>
      </w:r>
      <w:r w:rsidRPr="00270C7B">
        <w:t xml:space="preserve"> reguliere voordelen</w:t>
      </w:r>
      <w:r w:rsidR="00E82C1B">
        <w:t>, de voorwaartse verliesverrekening</w:t>
      </w:r>
      <w:r>
        <w:t xml:space="preserve"> en kostenaftrek blij</w:t>
      </w:r>
      <w:r w:rsidR="0035216F">
        <w:t>ft</w:t>
      </w:r>
      <w:r>
        <w:t xml:space="preserve"> in stand</w:t>
      </w:r>
      <w:r w:rsidRPr="00270C7B">
        <w:t xml:space="preserve">. Voor onroerende zaken blijft de </w:t>
      </w:r>
      <w:proofErr w:type="gramStart"/>
      <w:r w:rsidRPr="00270C7B">
        <w:t>reeds</w:t>
      </w:r>
      <w:proofErr w:type="gramEnd"/>
      <w:r w:rsidRPr="00270C7B">
        <w:t xml:space="preserve"> voorgestelde vermogenswinstsystematiek gelden.</w:t>
      </w:r>
    </w:p>
    <w:p w:rsidRPr="00813B2E" w:rsidR="00B83C73" w:rsidP="002751D9" w:rsidRDefault="00B83C73" w14:paraId="15CA0B3F" w14:textId="77777777"/>
    <w:p w:rsidR="009378CC" w:rsidP="002751D9" w:rsidRDefault="009378CC" w14:paraId="0CC41FC7" w14:textId="3ED4D3A5">
      <w:pPr>
        <w:pStyle w:val="Kop2"/>
        <w:numPr>
          <w:ilvl w:val="1"/>
          <w:numId w:val="1"/>
        </w:numPr>
        <w:spacing w:before="0" w:after="160"/>
        <w:ind w:left="391" w:hanging="391"/>
      </w:pPr>
      <w:bookmarkStart w:name="_Toc244590628" w:id="8"/>
      <w:r w:rsidRPr="009378CC">
        <w:t>Definitie financiële instrumenten</w:t>
      </w:r>
      <w:bookmarkEnd w:id="8"/>
      <w:r w:rsidRPr="009378CC">
        <w:t xml:space="preserve"> </w:t>
      </w:r>
    </w:p>
    <w:p w:rsidR="00270C7B" w:rsidP="002751D9" w:rsidRDefault="00270C7B" w14:paraId="1E092E96" w14:textId="521ED00F">
      <w:r>
        <w:t xml:space="preserve">De Belastingdienst heeft aangegeven dat het </w:t>
      </w:r>
      <w:r w:rsidR="00900340">
        <w:t>technisch maakbaar is</w:t>
      </w:r>
      <w:r>
        <w:t xml:space="preserve"> om de beoogde vermogenswinstbelasting voor aandelen en winstbewijzen in startende ondernemingen uit te breiden. Bij de uitbreiding moet worden aangesloten bij de huidige categorisering van vermogensbestanddelen in de aangifteprogrammatuur van de Belastingdienst. Het is mogelijk om de vermogenswinstbelasting uit te breiden naar de huidige categorie “beleggingen”. Deze categorie omvat volgens de toelichting op de aangifteprogrammatuur </w:t>
      </w:r>
      <w:r w:rsidRPr="00270C7B">
        <w:t>aandelen, obligaties, opties, winstbewijzen die niet tot een aanmerkelijk belang horen en beleggingsportefeuilles</w:t>
      </w:r>
      <w:r>
        <w:t>. In dit wetsvoorstel wordt deze categorisering juridisch afgebakend. Hierbij wordt aangesloten bij de definitie van financiële instrumenten uit de Wet op het financieel toezicht</w:t>
      </w:r>
      <w:r w:rsidR="001E5218">
        <w:t xml:space="preserve"> (</w:t>
      </w:r>
      <w:proofErr w:type="spellStart"/>
      <w:r w:rsidR="001E5218">
        <w:t>Wft</w:t>
      </w:r>
      <w:proofErr w:type="spellEnd"/>
      <w:r w:rsidR="001E5218">
        <w:t>)</w:t>
      </w:r>
      <w:r>
        <w:t xml:space="preserve">, met enkele aanvullingen specifiek voor box 3. Het is niet mogelijk om andere categorieën vermogensbestanddelen samen te voegen met de categorie </w:t>
      </w:r>
      <w:r w:rsidR="002751D9">
        <w:t>“</w:t>
      </w:r>
      <w:r>
        <w:t>beleggingen</w:t>
      </w:r>
      <w:r w:rsidR="002751D9">
        <w:t>”</w:t>
      </w:r>
      <w:r>
        <w:t>.</w:t>
      </w:r>
      <w:r w:rsidR="008720B5">
        <w:t xml:space="preserve"> Voor deze categorie zal tijdelijk een vermogensaanwasbelasting blijven gelden.</w:t>
      </w:r>
      <w:r>
        <w:t xml:space="preserve"> De andere categorieën vermogensbestanddelen worden toegelicht in paragraaf 2.4.</w:t>
      </w:r>
    </w:p>
    <w:p w:rsidR="004F2772" w:rsidP="002751D9" w:rsidRDefault="004F2772" w14:paraId="4E208D5B" w14:textId="77777777"/>
    <w:p w:rsidR="000C713D" w:rsidP="002751D9" w:rsidRDefault="004F2772" w14:paraId="62416D09" w14:textId="155B2B35">
      <w:r>
        <w:t xml:space="preserve">Voor de uitbreiding van de vermogenswinstbelasting wordt aansluiting gezocht bij het begrip financieel instrument uit de </w:t>
      </w:r>
      <w:proofErr w:type="spellStart"/>
      <w:r w:rsidR="00C0400C">
        <w:t>Wft</w:t>
      </w:r>
      <w:proofErr w:type="spellEnd"/>
      <w:r>
        <w:t xml:space="preserve">. </w:t>
      </w:r>
      <w:r w:rsidR="008720B5">
        <w:t xml:space="preserve">Hiermee worden vermogensbestanddelen die worden aangehouden in een beleggingsportefeuille bij een financiële instelling in principe onder het uitgebreide vermogenswinstregime gebracht. Door de aansluiting bij de </w:t>
      </w:r>
      <w:proofErr w:type="spellStart"/>
      <w:r w:rsidR="001E5218">
        <w:t>Wft</w:t>
      </w:r>
      <w:proofErr w:type="spellEnd"/>
      <w:r w:rsidR="001E5218">
        <w:t xml:space="preserve"> wordt</w:t>
      </w:r>
      <w:r w:rsidRPr="004F2772">
        <w:t xml:space="preserve"> gebruikgemaakt van een bestaand en in de financiële wetgeving ingebed begrip</w:t>
      </w:r>
      <w:r w:rsidR="00F92A32">
        <w:t xml:space="preserve"> dat ook bekend is bij ketenpartners zoals banken. </w:t>
      </w:r>
    </w:p>
    <w:p w:rsidR="00F92A32" w:rsidP="002751D9" w:rsidRDefault="00F92A32" w14:paraId="56FABF03" w14:textId="77777777"/>
    <w:p w:rsidR="00F92A32" w:rsidP="002751D9" w:rsidRDefault="00F92A32" w14:paraId="0E1348E2" w14:textId="05113628">
      <w:r w:rsidRPr="00F92A32">
        <w:t xml:space="preserve">Tot de financiële instrumenten in de zin van de </w:t>
      </w:r>
      <w:proofErr w:type="spellStart"/>
      <w:r w:rsidR="00C0400C">
        <w:t>Wft</w:t>
      </w:r>
      <w:proofErr w:type="spellEnd"/>
      <w:r w:rsidRPr="00F92A32">
        <w:t xml:space="preserve"> behoren onder meer effecten, rechten van deelneming in beleggingsinstellingen en instellingen voor collectieve belegging in effecten </w:t>
      </w:r>
      <w:r>
        <w:t>(</w:t>
      </w:r>
      <w:proofErr w:type="spellStart"/>
      <w:r>
        <w:t>icbe’s</w:t>
      </w:r>
      <w:proofErr w:type="spellEnd"/>
      <w:r>
        <w:t xml:space="preserve">) </w:t>
      </w:r>
      <w:r w:rsidRPr="00F92A32">
        <w:t>en verschillende soorten derivaten</w:t>
      </w:r>
      <w:r>
        <w:t xml:space="preserve"> zoals opties,</w:t>
      </w:r>
      <w:r w:rsidRPr="00F92A32">
        <w:t xml:space="preserve"> </w:t>
      </w:r>
      <w:proofErr w:type="spellStart"/>
      <w:r w:rsidRPr="00F92A32">
        <w:t>futures</w:t>
      </w:r>
      <w:proofErr w:type="spellEnd"/>
      <w:r>
        <w:t xml:space="preserve"> en swaps. Een belangrijke categorie financiële instrumenten wordt gevormd door effecten. </w:t>
      </w:r>
      <w:r w:rsidRPr="008720B5" w:rsidR="008720B5">
        <w:t xml:space="preserve">In de eerste plaats gaat het </w:t>
      </w:r>
      <w:r w:rsidR="001A3A83">
        <w:t xml:space="preserve">daarbij </w:t>
      </w:r>
      <w:r w:rsidRPr="008720B5" w:rsidR="008720B5">
        <w:t xml:space="preserve">om een verhandelbaar aandeel of een ander daarmee gelijk te stellen verhandelbaar </w:t>
      </w:r>
      <w:proofErr w:type="spellStart"/>
      <w:r w:rsidRPr="008720B5" w:rsidR="008720B5">
        <w:t>waardebewijs</w:t>
      </w:r>
      <w:proofErr w:type="spellEnd"/>
      <w:r w:rsidRPr="008720B5" w:rsidR="008720B5">
        <w:t xml:space="preserve"> of recht. </w:t>
      </w:r>
      <w:r w:rsidR="00A41F76">
        <w:t xml:space="preserve">Bij de beoordeling van verhandelbaarheid wordt onder andere gekeken naar de overdraagbaarheid </w:t>
      </w:r>
      <w:r w:rsidRPr="00A41F76" w:rsidR="00A41F76">
        <w:t xml:space="preserve">aan derden en de mate waarin het </w:t>
      </w:r>
      <w:r w:rsidR="00A41F76">
        <w:t>effect</w:t>
      </w:r>
      <w:r w:rsidRPr="00A41F76" w:rsidR="00A41F76">
        <w:t>, mede door standaardisatie en uitwisselbaarheid, geschikt is om te worden verhandeld.</w:t>
      </w:r>
      <w:r w:rsidR="00A41F76">
        <w:t xml:space="preserve"> </w:t>
      </w:r>
      <w:r w:rsidRPr="008720B5" w:rsidR="008720B5">
        <w:t xml:space="preserve">In de tweede plaats vallen verhandelbare obligaties en andere verhandelbare schuldinstrumenten onder het </w:t>
      </w:r>
      <w:r w:rsidR="00A41F76">
        <w:t>begrip effecten</w:t>
      </w:r>
      <w:r w:rsidRPr="008720B5" w:rsidR="008720B5">
        <w:t xml:space="preserve">. In de derde plaats omvat het </w:t>
      </w:r>
      <w:r w:rsidR="00A41F76">
        <w:t xml:space="preserve">begrip </w:t>
      </w:r>
      <w:r w:rsidR="00A41F76">
        <w:lastRenderedPageBreak/>
        <w:t>effecten</w:t>
      </w:r>
      <w:r w:rsidRPr="008720B5" w:rsidR="008720B5">
        <w:t xml:space="preserve"> andere door een rechtspersoon, vennootschap of instelling uitgegeven verhandelbare </w:t>
      </w:r>
      <w:proofErr w:type="spellStart"/>
      <w:r w:rsidRPr="008720B5" w:rsidR="008720B5">
        <w:t>waardebewijzen</w:t>
      </w:r>
      <w:proofErr w:type="spellEnd"/>
      <w:r w:rsidRPr="008720B5" w:rsidR="008720B5">
        <w:t xml:space="preserve"> waarmee door uitoefening of conversie aandelen, obligaties of daarmee gelijk te stellen effecten kunnen worden verkregen, of die in geld worden afgewikkeld. Tot deze categorie </w:t>
      </w:r>
      <w:r w:rsidR="008720B5">
        <w:t xml:space="preserve">behoren </w:t>
      </w:r>
      <w:r w:rsidRPr="008720B5" w:rsidR="008720B5">
        <w:t>bijvoorbeeld converteerbare obligaties en warrants.</w:t>
      </w:r>
      <w:r w:rsidR="00A41F76">
        <w:t xml:space="preserve"> </w:t>
      </w:r>
    </w:p>
    <w:p w:rsidR="00A41F76" w:rsidP="002751D9" w:rsidRDefault="00A41F76" w14:paraId="6B194208" w14:textId="0B2C64C4"/>
    <w:p w:rsidRPr="000C713D" w:rsidR="00A41F76" w:rsidP="002751D9" w:rsidRDefault="00A41F76" w14:paraId="61A9FD49" w14:textId="4B526EE3">
      <w:r>
        <w:t>Het kabinet vindt het ook wenselijk dat niet-verhandelbare aandelen en winstbewijzen onder de vermogenswinstbelasting worden gebracht. Dit sluit ook aan bij de categorisering beleggingen in de aangifteprogrammatuur van de Belastingdienst. Daarom word</w:t>
      </w:r>
      <w:r w:rsidR="007D6F68">
        <w:t>t</w:t>
      </w:r>
      <w:r>
        <w:t xml:space="preserve"> voor de bepalingen in box 3 voorgesteld een ruimere definitie van financieel instrument te hanteren dan in de </w:t>
      </w:r>
      <w:proofErr w:type="spellStart"/>
      <w:r>
        <w:t>Wft</w:t>
      </w:r>
      <w:proofErr w:type="spellEnd"/>
      <w:r>
        <w:t xml:space="preserve">. De voorgestelde definitie van financieel instrument voor box 3 omvat ook aandelen en winstbewijzen in vennootschappen </w:t>
      </w:r>
      <w:proofErr w:type="gramStart"/>
      <w:r>
        <w:t>indien</w:t>
      </w:r>
      <w:proofErr w:type="gramEnd"/>
      <w:r>
        <w:t xml:space="preserve"> deze niet verhandelbaar zijn. Daarbij worden enkele </w:t>
      </w:r>
      <w:r w:rsidR="00C0400C">
        <w:t xml:space="preserve">rechtspersonen zoals coöperaties en </w:t>
      </w:r>
      <w:r w:rsidRPr="00EE1E56" w:rsidR="00C0400C">
        <w:t>vereniging</w:t>
      </w:r>
      <w:r w:rsidR="00C0400C">
        <w:t>en</w:t>
      </w:r>
      <w:r w:rsidRPr="00EE1E56" w:rsidR="00C0400C">
        <w:t xml:space="preserve"> op coöperatieve grondslag</w:t>
      </w:r>
      <w:r w:rsidR="00C0400C">
        <w:t xml:space="preserve"> gelijkgesteld met vennootschappen</w:t>
      </w:r>
      <w:r w:rsidR="001A3A83">
        <w:t>, en de participaties daarin gelijkgesteld met aandelen</w:t>
      </w:r>
      <w:r w:rsidR="00C0400C">
        <w:t xml:space="preserve">. Deze gelijkstelling is ontleend aan gelijkstellingen die ook gelden in box 2. </w:t>
      </w:r>
    </w:p>
    <w:p w:rsidR="009378CC" w:rsidP="002751D9" w:rsidRDefault="009378CC" w14:paraId="3B182965" w14:textId="77777777"/>
    <w:p w:rsidRPr="000C713D" w:rsidR="009378CC" w:rsidP="002751D9" w:rsidRDefault="009378CC" w14:paraId="4A6E53F0" w14:textId="31116FD1">
      <w:pPr>
        <w:pStyle w:val="Kop2"/>
        <w:numPr>
          <w:ilvl w:val="1"/>
          <w:numId w:val="1"/>
        </w:numPr>
      </w:pPr>
      <w:bookmarkStart w:name="_Toc244590629" w:id="9"/>
      <w:r w:rsidRPr="000C713D">
        <w:t>Bepalen van de vermogenswinst</w:t>
      </w:r>
      <w:bookmarkEnd w:id="9"/>
    </w:p>
    <w:p w:rsidR="000C713D" w:rsidP="002751D9" w:rsidRDefault="000C713D" w14:paraId="5296A07B" w14:textId="77777777">
      <w:pPr>
        <w:rPr>
          <w:b/>
          <w:bCs/>
        </w:rPr>
      </w:pPr>
    </w:p>
    <w:p w:rsidR="00B5559E" w:rsidP="002751D9" w:rsidRDefault="00B5559E" w14:paraId="3AD9880B" w14:textId="77777777">
      <w:r>
        <w:t xml:space="preserve">Bij de uitbreiding van de vermogenswinstbelasting naar alle financiële instrumenten </w:t>
      </w:r>
      <w:r w:rsidRPr="00DC2E84">
        <w:t xml:space="preserve">wordt de </w:t>
      </w:r>
      <w:r>
        <w:t>vermogenswinst</w:t>
      </w:r>
      <w:r w:rsidRPr="00DC2E84">
        <w:t xml:space="preserve">systematiek die </w:t>
      </w:r>
      <w:r>
        <w:t>al</w:t>
      </w:r>
      <w:r w:rsidRPr="00DC2E84">
        <w:t xml:space="preserve"> in het wetsvoorstel Wet werkelijk rendement box 3 is </w:t>
      </w:r>
      <w:r>
        <w:t xml:space="preserve">opgenomen </w:t>
      </w:r>
      <w:r w:rsidRPr="00DC2E84">
        <w:t xml:space="preserve">voor aandelen </w:t>
      </w:r>
      <w:r>
        <w:t xml:space="preserve">en </w:t>
      </w:r>
      <w:r w:rsidRPr="00DC2E84">
        <w:t>winstbewijzen van startende ondernemingen</w:t>
      </w:r>
      <w:r>
        <w:t xml:space="preserve"> als uitgangspunt genomen. </w:t>
      </w:r>
    </w:p>
    <w:p w:rsidR="00B5559E" w:rsidP="002751D9" w:rsidRDefault="00B5559E" w14:paraId="5D17278F" w14:textId="77777777"/>
    <w:p w:rsidR="00B5559E" w:rsidP="002751D9" w:rsidRDefault="00B5559E" w14:paraId="6BCED629" w14:textId="65E6896A">
      <w:r w:rsidRPr="00B5559E">
        <w:t xml:space="preserve">Het resultaat dat met </w:t>
      </w:r>
      <w:r>
        <w:t>vermogensbestanddelen in de vermogenswinstbelasting</w:t>
      </w:r>
      <w:r w:rsidRPr="00B5559E">
        <w:t xml:space="preserve"> wordt behaald, bestaat uit reguliere voordelen en vervreemdingsvoordelen</w:t>
      </w:r>
      <w:r>
        <w:t>, minus kosten</w:t>
      </w:r>
      <w:r w:rsidRPr="00B5559E">
        <w:t xml:space="preserve">. Reguliere voordelen zijn de voordelen die uit het </w:t>
      </w:r>
      <w:r>
        <w:t>vermogensbestanddeel</w:t>
      </w:r>
      <w:r w:rsidRPr="00B5559E">
        <w:t xml:space="preserve"> worden getrokken</w:t>
      </w:r>
      <w:r>
        <w:t>, zoals dividend</w:t>
      </w:r>
      <w:r w:rsidRPr="00B5559E">
        <w:t xml:space="preserve">. Het vervreemdingsvoordeel wordt bepaald door de </w:t>
      </w:r>
      <w:r w:rsidR="00325726">
        <w:t>verkrijgingsprijs af te trekken van de overdrachtsprijs.</w:t>
      </w:r>
      <w:r w:rsidRPr="00325726" w:rsidR="00325726">
        <w:t xml:space="preserve"> </w:t>
      </w:r>
    </w:p>
    <w:p w:rsidR="000C6C6C" w:rsidP="002751D9" w:rsidRDefault="000C6C6C" w14:paraId="17024406" w14:textId="77777777"/>
    <w:p w:rsidR="0035216F" w:rsidP="002751D9" w:rsidRDefault="005106D0" w14:paraId="04454296" w14:textId="16CC1067">
      <w:r>
        <w:t xml:space="preserve">Voor aandelen en winstbewijzen </w:t>
      </w:r>
      <w:r w:rsidRPr="005106D0">
        <w:t xml:space="preserve">die bij de inwerkingtreding van de Wet werkelijk rendement box 3 </w:t>
      </w:r>
      <w:proofErr w:type="gramStart"/>
      <w:r w:rsidRPr="005106D0">
        <w:t>reeds</w:t>
      </w:r>
      <w:proofErr w:type="gramEnd"/>
      <w:r w:rsidRPr="005106D0">
        <w:t xml:space="preserve"> tot het vermogen van de belastingplichtige behoren, wordt de verkrijgingsprijs gesteld op de waarde in het economische verkeer </w:t>
      </w:r>
      <w:r w:rsidR="00900340">
        <w:t>bij aanvang van het nieuwe box 3-stelsel op 1 januari 2029</w:t>
      </w:r>
      <w:r w:rsidRPr="005106D0">
        <w:t>.</w:t>
      </w:r>
      <w:r>
        <w:t xml:space="preserve"> Deze bepaling wordt uitgebreid naar alle financiële instrumenten. </w:t>
      </w:r>
      <w:r w:rsidRPr="00AD7BF0" w:rsidR="00AD7BF0">
        <w:t>Daarmee blijven waardeontwikkelingen die zich vóór 1 januari 202</w:t>
      </w:r>
      <w:r w:rsidR="00900340">
        <w:t>9</w:t>
      </w:r>
      <w:r w:rsidRPr="00AD7BF0" w:rsidR="00AD7BF0">
        <w:t xml:space="preserve"> hebben voorgedaan buiten de vermogenswinstbelasting.</w:t>
      </w:r>
    </w:p>
    <w:p w:rsidR="0035216F" w:rsidP="002751D9" w:rsidRDefault="0035216F" w14:paraId="6B0F97C3" w14:textId="77777777"/>
    <w:p w:rsidR="000C6C6C" w:rsidP="002751D9" w:rsidRDefault="000C6C6C" w14:paraId="6C801AEF" w14:textId="26C66724">
      <w:r w:rsidRPr="000C6C6C">
        <w:t xml:space="preserve">Voor </w:t>
      </w:r>
      <w:r>
        <w:t xml:space="preserve">aandelen of winstbewijzen </w:t>
      </w:r>
      <w:r w:rsidRPr="000C6C6C">
        <w:t xml:space="preserve">van dezelfde soort die tegen verschillende prijzen zijn verkregen, wordt </w:t>
      </w:r>
      <w:r>
        <w:t>de verkrijgingsprijs gesteld op de</w:t>
      </w:r>
      <w:r w:rsidRPr="000C6C6C">
        <w:t xml:space="preserve"> gemiddelde verkrijgingsprijs.</w:t>
      </w:r>
      <w:r>
        <w:t xml:space="preserve"> Deze bepaling gaat door de uitbreiding naar financiële instrumenten gelden voor alle financiële instrumenten van dezelfde soort. </w:t>
      </w:r>
      <w:r w:rsidRPr="000C6C6C">
        <w:t xml:space="preserve">Hierdoor hoeft bij </w:t>
      </w:r>
      <w:r>
        <w:t>vervreemding</w:t>
      </w:r>
      <w:r w:rsidRPr="000C6C6C">
        <w:t xml:space="preserve"> van financiële instrumenten </w:t>
      </w:r>
      <w:r w:rsidR="00C6427A">
        <w:t xml:space="preserve">van dezelfde soort </w:t>
      </w:r>
      <w:r w:rsidRPr="000C6C6C">
        <w:t>niet te worden vastgesteld welk individueel</w:t>
      </w:r>
      <w:r>
        <w:t xml:space="preserve"> financieel instrument is vervreemd</w:t>
      </w:r>
      <w:r w:rsidR="00C6427A">
        <w:t>. Een systematiek op basis van de gemiddelde verkrijgingsprijs heeft volgens de</w:t>
      </w:r>
      <w:r w:rsidR="00CD6899">
        <w:t xml:space="preserve"> Nederlandse </w:t>
      </w:r>
      <w:r w:rsidR="00A33587">
        <w:t>Vereniging</w:t>
      </w:r>
      <w:r w:rsidR="00CD6899">
        <w:t xml:space="preserve"> van Banken</w:t>
      </w:r>
      <w:r w:rsidR="00C6427A">
        <w:t xml:space="preserve"> </w:t>
      </w:r>
      <w:r w:rsidR="00CD6899">
        <w:t>(</w:t>
      </w:r>
      <w:r w:rsidR="00C6427A">
        <w:t>NVB</w:t>
      </w:r>
      <w:r w:rsidR="00CD6899">
        <w:t xml:space="preserve">) vanuit het oogpunt van gegevenslevering aan de </w:t>
      </w:r>
      <w:r w:rsidR="00A33587">
        <w:t>Belastingdienst</w:t>
      </w:r>
      <w:r w:rsidR="00C6427A">
        <w:t xml:space="preserve"> de voorkeur boven </w:t>
      </w:r>
      <w:proofErr w:type="spellStart"/>
      <w:r w:rsidR="00C6427A">
        <w:rPr>
          <w:i/>
          <w:iCs/>
        </w:rPr>
        <w:t>lifo</w:t>
      </w:r>
      <w:proofErr w:type="spellEnd"/>
      <w:r w:rsidR="00C6427A">
        <w:rPr>
          <w:i/>
          <w:iCs/>
        </w:rPr>
        <w:t xml:space="preserve"> (last in </w:t>
      </w:r>
      <w:r w:rsidR="00C6427A">
        <w:rPr>
          <w:i/>
          <w:iCs/>
        </w:rPr>
        <w:lastRenderedPageBreak/>
        <w:t xml:space="preserve">first out) </w:t>
      </w:r>
      <w:r w:rsidR="00C6427A">
        <w:t xml:space="preserve">of </w:t>
      </w:r>
      <w:proofErr w:type="spellStart"/>
      <w:r w:rsidR="00C6427A">
        <w:rPr>
          <w:i/>
          <w:iCs/>
        </w:rPr>
        <w:t>fifo</w:t>
      </w:r>
      <w:proofErr w:type="spellEnd"/>
      <w:r w:rsidR="00C6427A">
        <w:rPr>
          <w:i/>
          <w:iCs/>
        </w:rPr>
        <w:t xml:space="preserve"> (first in first out)</w:t>
      </w:r>
      <w:r>
        <w:t>. Dezelfde systematiek</w:t>
      </w:r>
      <w:r w:rsidR="0013606D">
        <w:t xml:space="preserve"> voor het bepalen van een gemiddelde verkrijgingsprijs</w:t>
      </w:r>
      <w:r>
        <w:t xml:space="preserve"> geldt ook in box 2</w:t>
      </w:r>
      <w:r w:rsidR="0035216F">
        <w:t xml:space="preserve"> en wordt hieronder met een voorbeeld geïllustreerd. </w:t>
      </w:r>
    </w:p>
    <w:p w:rsidR="005106D0" w:rsidP="002751D9" w:rsidRDefault="005106D0" w14:paraId="45BC7230" w14:textId="77777777"/>
    <w:tbl>
      <w:tblPr>
        <w:tblStyle w:val="Tabelraster"/>
        <w:tblW w:w="0" w:type="auto"/>
        <w:tblInd w:w="720" w:type="dxa"/>
        <w:tblBorders>
          <w:top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302"/>
      </w:tblGrid>
      <w:tr w:rsidRPr="00D4683B" w:rsidR="00AD7BF0" w:rsidTr="000030D5" w14:paraId="36D39194" w14:textId="77777777">
        <w:tc>
          <w:tcPr>
            <w:tcW w:w="8302" w:type="dxa"/>
          </w:tcPr>
          <w:p w:rsidRPr="00D4683B" w:rsidR="00AD7BF0" w:rsidP="000030D5" w:rsidRDefault="00AD7BF0" w14:paraId="2F219811" w14:textId="4F6398FC">
            <w:pPr>
              <w:spacing w:line="276" w:lineRule="auto"/>
              <w:rPr>
                <w:b/>
                <w:bCs/>
                <w:sz w:val="16"/>
                <w:szCs w:val="16"/>
              </w:rPr>
            </w:pPr>
            <w:r w:rsidRPr="00D4683B">
              <w:rPr>
                <w:b/>
                <w:bCs/>
                <w:sz w:val="16"/>
                <w:szCs w:val="16"/>
              </w:rPr>
              <w:t xml:space="preserve">Voorbeeld – </w:t>
            </w:r>
            <w:r>
              <w:rPr>
                <w:b/>
                <w:bCs/>
                <w:sz w:val="16"/>
                <w:szCs w:val="16"/>
              </w:rPr>
              <w:t>aandelen</w:t>
            </w:r>
          </w:p>
        </w:tc>
      </w:tr>
      <w:tr w:rsidRPr="00D4683B" w:rsidR="00AD7BF0" w:rsidTr="000030D5" w14:paraId="5DE32494" w14:textId="77777777">
        <w:tc>
          <w:tcPr>
            <w:tcW w:w="8302" w:type="dxa"/>
          </w:tcPr>
          <w:p w:rsidRPr="00AD7BF0" w:rsidR="00AD7BF0" w:rsidP="00AD7BF0" w:rsidRDefault="00AD7BF0" w14:paraId="7A4E50C3" w14:textId="01FB404C">
            <w:pPr>
              <w:spacing w:line="276" w:lineRule="auto"/>
              <w:rPr>
                <w:sz w:val="16"/>
                <w:szCs w:val="16"/>
              </w:rPr>
            </w:pPr>
            <w:r w:rsidRPr="00AD7BF0">
              <w:rPr>
                <w:sz w:val="16"/>
                <w:szCs w:val="16"/>
              </w:rPr>
              <w:t>Henk heeft op 1 januari 202</w:t>
            </w:r>
            <w:r w:rsidR="00EB771B">
              <w:rPr>
                <w:sz w:val="16"/>
                <w:szCs w:val="16"/>
              </w:rPr>
              <w:t>9</w:t>
            </w:r>
            <w:r w:rsidRPr="00AD7BF0">
              <w:rPr>
                <w:sz w:val="16"/>
                <w:szCs w:val="16"/>
              </w:rPr>
              <w:t xml:space="preserve"> 1 aandeel in bv X. De waarde op 1 januari 202</w:t>
            </w:r>
            <w:r w:rsidR="00EB771B">
              <w:rPr>
                <w:sz w:val="16"/>
                <w:szCs w:val="16"/>
              </w:rPr>
              <w:t>9</w:t>
            </w:r>
            <w:r w:rsidRPr="00AD7BF0">
              <w:rPr>
                <w:sz w:val="16"/>
                <w:szCs w:val="16"/>
              </w:rPr>
              <w:t xml:space="preserve"> is € 1.000. In 202</w:t>
            </w:r>
            <w:r w:rsidR="00EB771B">
              <w:rPr>
                <w:sz w:val="16"/>
                <w:szCs w:val="16"/>
              </w:rPr>
              <w:t>9</w:t>
            </w:r>
            <w:r w:rsidRPr="00AD7BF0">
              <w:rPr>
                <w:sz w:val="16"/>
                <w:szCs w:val="16"/>
              </w:rPr>
              <w:t xml:space="preserve"> koopt Henk 2 aandelen in bv X voor € 1.600 per stuk. </w:t>
            </w:r>
          </w:p>
          <w:p w:rsidRPr="00AD7BF0" w:rsidR="00AD7BF0" w:rsidP="00AD7BF0" w:rsidRDefault="00AD7BF0" w14:paraId="297D3E2E" w14:textId="77777777">
            <w:pPr>
              <w:spacing w:line="276" w:lineRule="auto"/>
              <w:rPr>
                <w:sz w:val="16"/>
                <w:szCs w:val="16"/>
              </w:rPr>
            </w:pPr>
          </w:p>
          <w:p w:rsidR="00AD7BF0" w:rsidP="00AD7BF0" w:rsidRDefault="00AD7BF0" w14:paraId="14F7E82B" w14:textId="033EA0FD">
            <w:pPr>
              <w:spacing w:line="276" w:lineRule="auto"/>
              <w:rPr>
                <w:sz w:val="16"/>
                <w:szCs w:val="16"/>
              </w:rPr>
            </w:pPr>
            <w:r w:rsidRPr="00AD7BF0">
              <w:rPr>
                <w:sz w:val="16"/>
                <w:szCs w:val="16"/>
              </w:rPr>
              <w:t xml:space="preserve">De gemiddelde verkrijgingsprijs van de 3 aandelen </w:t>
            </w:r>
            <w:r>
              <w:rPr>
                <w:sz w:val="16"/>
                <w:szCs w:val="16"/>
              </w:rPr>
              <w:t xml:space="preserve">in bv X </w:t>
            </w:r>
            <w:r w:rsidRPr="00AD7BF0">
              <w:rPr>
                <w:sz w:val="16"/>
                <w:szCs w:val="16"/>
              </w:rPr>
              <w:t>bedraagt € 1.400. In 202</w:t>
            </w:r>
            <w:r w:rsidR="00EB771B">
              <w:rPr>
                <w:sz w:val="16"/>
                <w:szCs w:val="16"/>
              </w:rPr>
              <w:t>9</w:t>
            </w:r>
            <w:r w:rsidRPr="00AD7BF0">
              <w:rPr>
                <w:sz w:val="16"/>
                <w:szCs w:val="16"/>
              </w:rPr>
              <w:t xml:space="preserve"> wordt € 50 dividend uitgekeerd. In 20</w:t>
            </w:r>
            <w:r w:rsidR="00EB771B">
              <w:rPr>
                <w:sz w:val="16"/>
                <w:szCs w:val="16"/>
              </w:rPr>
              <w:t>30</w:t>
            </w:r>
            <w:r w:rsidRPr="00AD7BF0">
              <w:rPr>
                <w:sz w:val="16"/>
                <w:szCs w:val="16"/>
              </w:rPr>
              <w:t xml:space="preserve"> verkoopt Henk 1 aandeel voor € 1.700. Daarnaast wordt in 20</w:t>
            </w:r>
            <w:r w:rsidR="00EB771B">
              <w:rPr>
                <w:sz w:val="16"/>
                <w:szCs w:val="16"/>
              </w:rPr>
              <w:t>30</w:t>
            </w:r>
            <w:r w:rsidRPr="00AD7BF0">
              <w:rPr>
                <w:sz w:val="16"/>
                <w:szCs w:val="16"/>
              </w:rPr>
              <w:t xml:space="preserve"> € 40 dividend uitgekeerd.</w:t>
            </w:r>
            <w:r>
              <w:rPr>
                <w:sz w:val="16"/>
                <w:szCs w:val="16"/>
              </w:rPr>
              <w:t xml:space="preserve"> Er zijn geen kosten in dit voorbeeld. Na de verkoop in 20</w:t>
            </w:r>
            <w:r w:rsidR="00EB771B">
              <w:rPr>
                <w:sz w:val="16"/>
                <w:szCs w:val="16"/>
              </w:rPr>
              <w:t>30</w:t>
            </w:r>
            <w:r>
              <w:rPr>
                <w:sz w:val="16"/>
                <w:szCs w:val="16"/>
              </w:rPr>
              <w:t xml:space="preserve"> heeft Henk 2 aandelen in bv X met </w:t>
            </w:r>
            <w:r w:rsidR="009C3B91">
              <w:rPr>
                <w:sz w:val="16"/>
                <w:szCs w:val="16"/>
              </w:rPr>
              <w:t xml:space="preserve">een gemiddelde verkrijgingsprijs van </w:t>
            </w:r>
            <w:r w:rsidRPr="00AD7BF0" w:rsidR="009C3B91">
              <w:rPr>
                <w:sz w:val="16"/>
                <w:szCs w:val="16"/>
              </w:rPr>
              <w:t>€</w:t>
            </w:r>
            <w:r w:rsidR="009C3B91">
              <w:rPr>
                <w:sz w:val="16"/>
                <w:szCs w:val="16"/>
              </w:rPr>
              <w:t xml:space="preserve"> 1.400.</w:t>
            </w:r>
          </w:p>
          <w:p w:rsidRPr="00D4683B" w:rsidR="00AD7BF0" w:rsidP="00AD7BF0" w:rsidRDefault="00AD7BF0" w14:paraId="3D14A732" w14:textId="77777777">
            <w:pPr>
              <w:spacing w:line="276" w:lineRule="auto"/>
              <w:rPr>
                <w:sz w:val="16"/>
                <w:szCs w:val="16"/>
              </w:rPr>
            </w:pPr>
          </w:p>
          <w:p w:rsidRPr="00D4683B" w:rsidR="00AD7BF0" w:rsidP="000030D5" w:rsidRDefault="00AD7BF0" w14:paraId="05927019" w14:textId="2990DFB3">
            <w:pPr>
              <w:spacing w:line="276" w:lineRule="auto"/>
              <w:rPr>
                <w:sz w:val="16"/>
                <w:szCs w:val="16"/>
              </w:rPr>
            </w:pPr>
            <w:r>
              <w:rPr>
                <w:sz w:val="16"/>
                <w:szCs w:val="16"/>
              </w:rPr>
              <w:t>Het belastbare voordeel in 202</w:t>
            </w:r>
            <w:r w:rsidR="00EB771B">
              <w:rPr>
                <w:sz w:val="16"/>
                <w:szCs w:val="16"/>
              </w:rPr>
              <w:t>9</w:t>
            </w:r>
            <w:r>
              <w:rPr>
                <w:sz w:val="16"/>
                <w:szCs w:val="16"/>
              </w:rPr>
              <w:t xml:space="preserve"> bedraagt</w:t>
            </w:r>
            <w:r w:rsidR="009C3B91">
              <w:rPr>
                <w:sz w:val="16"/>
                <w:szCs w:val="16"/>
              </w:rPr>
              <w:t xml:space="preserve"> </w:t>
            </w:r>
            <w:r w:rsidRPr="00AD7BF0" w:rsidR="009C3B91">
              <w:rPr>
                <w:sz w:val="16"/>
                <w:szCs w:val="16"/>
              </w:rPr>
              <w:t>€</w:t>
            </w:r>
            <w:r w:rsidR="009C3B91">
              <w:rPr>
                <w:sz w:val="16"/>
                <w:szCs w:val="16"/>
              </w:rPr>
              <w:t xml:space="preserve"> 50 en in 20</w:t>
            </w:r>
            <w:r w:rsidR="00EB771B">
              <w:rPr>
                <w:sz w:val="16"/>
                <w:szCs w:val="16"/>
              </w:rPr>
              <w:t>30</w:t>
            </w:r>
            <w:r w:rsidR="009C3B91">
              <w:rPr>
                <w:sz w:val="16"/>
                <w:szCs w:val="16"/>
              </w:rPr>
              <w:t xml:space="preserve"> </w:t>
            </w:r>
            <w:r w:rsidRPr="00AD7BF0" w:rsidR="009C3B91">
              <w:rPr>
                <w:sz w:val="16"/>
                <w:szCs w:val="16"/>
              </w:rPr>
              <w:t>€</w:t>
            </w:r>
            <w:r w:rsidR="009C3B91">
              <w:rPr>
                <w:sz w:val="16"/>
                <w:szCs w:val="16"/>
              </w:rPr>
              <w:t xml:space="preserve"> 340.</w:t>
            </w:r>
          </w:p>
        </w:tc>
      </w:tr>
      <w:tr w:rsidRPr="00D4683B" w:rsidR="00AD7BF0" w:rsidTr="000030D5" w14:paraId="72CC6D32" w14:textId="77777777">
        <w:tc>
          <w:tcPr>
            <w:tcW w:w="8302" w:type="dxa"/>
          </w:tcPr>
          <w:p w:rsidRPr="00D4683B" w:rsidR="00AD7BF0" w:rsidP="000030D5" w:rsidRDefault="00AD7BF0" w14:paraId="6DFF3620" w14:textId="77777777">
            <w:pPr>
              <w:spacing w:line="276" w:lineRule="auto"/>
              <w:rPr>
                <w:sz w:val="16"/>
                <w:szCs w:val="16"/>
              </w:rPr>
            </w:pPr>
          </w:p>
        </w:tc>
      </w:tr>
      <w:tr w:rsidRPr="00D4683B" w:rsidR="00AD7BF0" w:rsidTr="000030D5" w14:paraId="379A96BE" w14:textId="77777777">
        <w:tc>
          <w:tcPr>
            <w:tcW w:w="8302" w:type="dxa"/>
          </w:tcPr>
          <w:tbl>
            <w:tblPr>
              <w:tblStyle w:val="Rastertabel5donker-Accent5"/>
              <w:tblW w:w="0" w:type="auto"/>
              <w:tblLook w:val="04A0" w:firstRow="1" w:lastRow="0" w:firstColumn="1" w:lastColumn="0" w:noHBand="0" w:noVBand="1"/>
            </w:tblPr>
            <w:tblGrid>
              <w:gridCol w:w="3134"/>
              <w:gridCol w:w="1635"/>
              <w:gridCol w:w="1519"/>
              <w:gridCol w:w="1650"/>
            </w:tblGrid>
            <w:tr w:rsidRPr="00D4683B" w:rsidR="009C3B91" w:rsidTr="009C3B91" w14:paraId="0C303C46" w14:textId="77777777">
              <w:trPr>
                <w:cnfStyle w:val="100000000000" w:firstRow="1" w:lastRow="0" w:firstColumn="0" w:lastColumn="0" w:oddVBand="0" w:evenVBand="0" w:oddHBand="0"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3134" w:type="dxa"/>
                </w:tcPr>
                <w:p w:rsidRPr="00D4683B" w:rsidR="009C3B91" w:rsidP="000030D5" w:rsidRDefault="009C3B91" w14:paraId="278615DF" w14:textId="77777777">
                  <w:pPr>
                    <w:spacing w:line="276" w:lineRule="auto"/>
                    <w:rPr>
                      <w:sz w:val="16"/>
                      <w:szCs w:val="16"/>
                      <w:lang w:val="nl-NL"/>
                    </w:rPr>
                  </w:pPr>
                </w:p>
              </w:tc>
              <w:tc>
                <w:tcPr>
                  <w:tcW w:w="1635" w:type="dxa"/>
                </w:tcPr>
                <w:p w:rsidRPr="00D4683B" w:rsidR="009C3B91" w:rsidP="000030D5" w:rsidRDefault="009C3B91" w14:paraId="0501E5BD" w14:textId="35E29D49">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nl-NL"/>
                    </w:rPr>
                  </w:pPr>
                  <w:r>
                    <w:rPr>
                      <w:sz w:val="16"/>
                      <w:szCs w:val="16"/>
                      <w:lang w:val="nl-NL"/>
                    </w:rPr>
                    <w:t>202</w:t>
                  </w:r>
                  <w:r w:rsidR="00EB771B">
                    <w:rPr>
                      <w:sz w:val="16"/>
                      <w:szCs w:val="16"/>
                      <w:lang w:val="nl-NL"/>
                    </w:rPr>
                    <w:t>9</w:t>
                  </w:r>
                </w:p>
              </w:tc>
              <w:tc>
                <w:tcPr>
                  <w:tcW w:w="1519" w:type="dxa"/>
                </w:tcPr>
                <w:p w:rsidRPr="00D4683B" w:rsidR="009C3B91" w:rsidP="000030D5" w:rsidRDefault="009C3B91" w14:paraId="34D74646" w14:textId="51B8C964">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nl-NL"/>
                    </w:rPr>
                  </w:pPr>
                  <w:r>
                    <w:rPr>
                      <w:sz w:val="16"/>
                      <w:szCs w:val="16"/>
                      <w:lang w:val="nl-NL"/>
                    </w:rPr>
                    <w:t>20</w:t>
                  </w:r>
                  <w:r w:rsidR="00EB771B">
                    <w:rPr>
                      <w:sz w:val="16"/>
                      <w:szCs w:val="16"/>
                      <w:lang w:val="nl-NL"/>
                    </w:rPr>
                    <w:t>30</w:t>
                  </w:r>
                </w:p>
              </w:tc>
              <w:tc>
                <w:tcPr>
                  <w:tcW w:w="1650" w:type="dxa"/>
                </w:tcPr>
                <w:p w:rsidRPr="00D4683B" w:rsidR="009C3B91" w:rsidP="000030D5" w:rsidRDefault="009C3B91" w14:paraId="41AFB143" w14:textId="77777777">
                  <w:pPr>
                    <w:spacing w:line="276" w:lineRule="auto"/>
                    <w:cnfStyle w:val="100000000000" w:firstRow="1" w:lastRow="0" w:firstColumn="0" w:lastColumn="0" w:oddVBand="0" w:evenVBand="0" w:oddHBand="0" w:evenHBand="0" w:firstRowFirstColumn="0" w:firstRowLastColumn="0" w:lastRowFirstColumn="0" w:lastRowLastColumn="0"/>
                    <w:rPr>
                      <w:sz w:val="16"/>
                      <w:szCs w:val="16"/>
                      <w:lang w:val="nl-NL"/>
                    </w:rPr>
                  </w:pPr>
                  <w:r w:rsidRPr="00D4683B">
                    <w:rPr>
                      <w:sz w:val="16"/>
                      <w:szCs w:val="16"/>
                      <w:lang w:val="nl-NL"/>
                    </w:rPr>
                    <w:t>Totaal</w:t>
                  </w:r>
                </w:p>
              </w:tc>
            </w:tr>
            <w:tr w:rsidRPr="00D4683B" w:rsidR="009C3B91" w:rsidTr="009C3B91" w14:paraId="61624C98" w14:textId="7777777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134" w:type="dxa"/>
                </w:tcPr>
                <w:p w:rsidRPr="00D4683B" w:rsidR="009C3B91" w:rsidP="000030D5" w:rsidRDefault="009C3B91" w14:paraId="3184F03E" w14:textId="77777777">
                  <w:pPr>
                    <w:spacing w:line="276" w:lineRule="auto"/>
                    <w:rPr>
                      <w:sz w:val="16"/>
                      <w:szCs w:val="16"/>
                      <w:lang w:val="nl-NL"/>
                    </w:rPr>
                  </w:pPr>
                  <w:r w:rsidRPr="00D4683B">
                    <w:rPr>
                      <w:sz w:val="16"/>
                      <w:szCs w:val="16"/>
                      <w:lang w:val="nl-NL"/>
                    </w:rPr>
                    <w:t>Belaste vermogenswinst</w:t>
                  </w:r>
                </w:p>
              </w:tc>
              <w:tc>
                <w:tcPr>
                  <w:tcW w:w="1635" w:type="dxa"/>
                </w:tcPr>
                <w:p w:rsidRPr="00D4683B" w:rsidR="009C3B91" w:rsidP="000030D5" w:rsidRDefault="009C3B91" w14:paraId="52927F82" w14:textId="77777777">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FFFFFF" w:themeColor="background1"/>
                      <w:sz w:val="16"/>
                      <w:szCs w:val="16"/>
                      <w:lang w:val="nl-NL"/>
                    </w:rPr>
                  </w:pPr>
                  <w:r w:rsidRPr="00D4683B">
                    <w:rPr>
                      <w:sz w:val="16"/>
                      <w:szCs w:val="16"/>
                      <w:lang w:val="nl-NL"/>
                    </w:rPr>
                    <w:t>€ 0</w:t>
                  </w:r>
                </w:p>
              </w:tc>
              <w:tc>
                <w:tcPr>
                  <w:tcW w:w="1519" w:type="dxa"/>
                </w:tcPr>
                <w:p w:rsidRPr="00D4683B" w:rsidR="009C3B91" w:rsidP="000030D5" w:rsidRDefault="009C3B91" w14:paraId="593279DD" w14:textId="5CFF7FCF">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FFFFFF" w:themeColor="background1"/>
                      <w:sz w:val="16"/>
                      <w:szCs w:val="16"/>
                      <w:lang w:val="nl-NL"/>
                    </w:rPr>
                  </w:pPr>
                  <w:r w:rsidRPr="00D4683B">
                    <w:rPr>
                      <w:sz w:val="16"/>
                      <w:szCs w:val="16"/>
                      <w:lang w:val="nl-NL"/>
                    </w:rPr>
                    <w:t>€ </w:t>
                  </w:r>
                  <w:r>
                    <w:rPr>
                      <w:sz w:val="16"/>
                      <w:szCs w:val="16"/>
                      <w:lang w:val="nl-NL"/>
                    </w:rPr>
                    <w:t>300</w:t>
                  </w:r>
                </w:p>
              </w:tc>
              <w:tc>
                <w:tcPr>
                  <w:tcW w:w="1650" w:type="dxa"/>
                </w:tcPr>
                <w:p w:rsidRPr="00D4683B" w:rsidR="009C3B91" w:rsidP="000030D5" w:rsidRDefault="009C3B91" w14:paraId="0079F2BF" w14:textId="6E161F5B">
                  <w:pPr>
                    <w:spacing w:line="276" w:lineRule="auto"/>
                    <w:jc w:val="right"/>
                    <w:cnfStyle w:val="000000100000" w:firstRow="0" w:lastRow="0" w:firstColumn="0" w:lastColumn="0" w:oddVBand="0" w:evenVBand="0" w:oddHBand="1" w:evenHBand="0" w:firstRowFirstColumn="0" w:firstRowLastColumn="0" w:lastRowFirstColumn="0" w:lastRowLastColumn="0"/>
                    <w:rPr>
                      <w:sz w:val="16"/>
                      <w:szCs w:val="16"/>
                      <w:lang w:val="nl-NL"/>
                    </w:rPr>
                  </w:pPr>
                  <w:r w:rsidRPr="00D4683B">
                    <w:rPr>
                      <w:sz w:val="16"/>
                      <w:szCs w:val="16"/>
                      <w:lang w:val="nl-NL"/>
                    </w:rPr>
                    <w:t>€ </w:t>
                  </w:r>
                  <w:r>
                    <w:rPr>
                      <w:sz w:val="16"/>
                      <w:szCs w:val="16"/>
                      <w:lang w:val="nl-NL"/>
                    </w:rPr>
                    <w:t>300</w:t>
                  </w:r>
                </w:p>
              </w:tc>
            </w:tr>
            <w:tr w:rsidRPr="00D4683B" w:rsidR="009C3B91" w:rsidTr="009C3B91" w14:paraId="2B485A05" w14:textId="77777777">
              <w:trPr>
                <w:trHeight w:val="285"/>
              </w:trPr>
              <w:tc>
                <w:tcPr>
                  <w:cnfStyle w:val="001000000000" w:firstRow="0" w:lastRow="0" w:firstColumn="1" w:lastColumn="0" w:oddVBand="0" w:evenVBand="0" w:oddHBand="0" w:evenHBand="0" w:firstRowFirstColumn="0" w:firstRowLastColumn="0" w:lastRowFirstColumn="0" w:lastRowLastColumn="0"/>
                  <w:tcW w:w="3134" w:type="dxa"/>
                </w:tcPr>
                <w:p w:rsidRPr="00D4683B" w:rsidR="009C3B91" w:rsidP="000030D5" w:rsidRDefault="009C3B91" w14:paraId="132160CE" w14:textId="77777777">
                  <w:pPr>
                    <w:spacing w:line="276" w:lineRule="auto"/>
                    <w:rPr>
                      <w:sz w:val="16"/>
                      <w:szCs w:val="16"/>
                      <w:lang w:val="nl-NL"/>
                    </w:rPr>
                  </w:pPr>
                  <w:r w:rsidRPr="00D4683B">
                    <w:rPr>
                      <w:sz w:val="16"/>
                      <w:szCs w:val="16"/>
                      <w:lang w:val="nl-NL"/>
                    </w:rPr>
                    <w:t>Reguliere voordelen</w:t>
                  </w:r>
                </w:p>
              </w:tc>
              <w:tc>
                <w:tcPr>
                  <w:tcW w:w="1635" w:type="dxa"/>
                </w:tcPr>
                <w:p w:rsidRPr="00D4683B" w:rsidR="009C3B91" w:rsidP="000030D5" w:rsidRDefault="009C3B91" w14:paraId="391DAAB6" w14:textId="53DA7E90">
                  <w:pPr>
                    <w:spacing w:line="276" w:lineRule="auto"/>
                    <w:jc w:val="right"/>
                    <w:cnfStyle w:val="000000000000" w:firstRow="0" w:lastRow="0" w:firstColumn="0" w:lastColumn="0" w:oddVBand="0" w:evenVBand="0" w:oddHBand="0" w:evenHBand="0" w:firstRowFirstColumn="0" w:firstRowLastColumn="0" w:lastRowFirstColumn="0" w:lastRowLastColumn="0"/>
                    <w:rPr>
                      <w:sz w:val="16"/>
                      <w:szCs w:val="16"/>
                      <w:lang w:val="nl-NL"/>
                    </w:rPr>
                  </w:pPr>
                  <w:r w:rsidRPr="00D4683B">
                    <w:rPr>
                      <w:sz w:val="16"/>
                      <w:szCs w:val="16"/>
                      <w:lang w:val="nl-NL"/>
                    </w:rPr>
                    <w:t>€ </w:t>
                  </w:r>
                  <w:r>
                    <w:rPr>
                      <w:sz w:val="16"/>
                      <w:szCs w:val="16"/>
                      <w:lang w:val="nl-NL"/>
                    </w:rPr>
                    <w:t>50</w:t>
                  </w:r>
                </w:p>
              </w:tc>
              <w:tc>
                <w:tcPr>
                  <w:tcW w:w="1519" w:type="dxa"/>
                </w:tcPr>
                <w:p w:rsidRPr="00D4683B" w:rsidR="009C3B91" w:rsidP="000030D5" w:rsidRDefault="009C3B91" w14:paraId="422ADEE3" w14:textId="5231008E">
                  <w:pPr>
                    <w:spacing w:line="276" w:lineRule="auto"/>
                    <w:jc w:val="right"/>
                    <w:cnfStyle w:val="000000000000" w:firstRow="0" w:lastRow="0" w:firstColumn="0" w:lastColumn="0" w:oddVBand="0" w:evenVBand="0" w:oddHBand="0" w:evenHBand="0" w:firstRowFirstColumn="0" w:firstRowLastColumn="0" w:lastRowFirstColumn="0" w:lastRowLastColumn="0"/>
                    <w:rPr>
                      <w:sz w:val="16"/>
                      <w:szCs w:val="16"/>
                      <w:lang w:val="nl-NL"/>
                    </w:rPr>
                  </w:pPr>
                  <w:r w:rsidRPr="00D4683B">
                    <w:rPr>
                      <w:sz w:val="16"/>
                      <w:szCs w:val="16"/>
                      <w:lang w:val="nl-NL"/>
                    </w:rPr>
                    <w:t>€ </w:t>
                  </w:r>
                  <w:r>
                    <w:rPr>
                      <w:sz w:val="16"/>
                      <w:szCs w:val="16"/>
                      <w:lang w:val="nl-NL"/>
                    </w:rPr>
                    <w:t>40</w:t>
                  </w:r>
                </w:p>
              </w:tc>
              <w:tc>
                <w:tcPr>
                  <w:tcW w:w="1650" w:type="dxa"/>
                </w:tcPr>
                <w:p w:rsidRPr="00D4683B" w:rsidR="009C3B91" w:rsidP="000030D5" w:rsidRDefault="009C3B91" w14:paraId="01B581FC" w14:textId="4CF58162">
                  <w:pPr>
                    <w:spacing w:line="276" w:lineRule="auto"/>
                    <w:jc w:val="right"/>
                    <w:cnfStyle w:val="000000000000" w:firstRow="0" w:lastRow="0" w:firstColumn="0" w:lastColumn="0" w:oddVBand="0" w:evenVBand="0" w:oddHBand="0" w:evenHBand="0" w:firstRowFirstColumn="0" w:firstRowLastColumn="0" w:lastRowFirstColumn="0" w:lastRowLastColumn="0"/>
                    <w:rPr>
                      <w:sz w:val="16"/>
                      <w:szCs w:val="16"/>
                      <w:lang w:val="nl-NL"/>
                    </w:rPr>
                  </w:pPr>
                  <w:r w:rsidRPr="00D4683B">
                    <w:rPr>
                      <w:sz w:val="16"/>
                      <w:szCs w:val="16"/>
                      <w:lang w:val="nl-NL"/>
                    </w:rPr>
                    <w:t>€ </w:t>
                  </w:r>
                  <w:r>
                    <w:rPr>
                      <w:sz w:val="16"/>
                      <w:szCs w:val="16"/>
                      <w:lang w:val="nl-NL"/>
                    </w:rPr>
                    <w:t>90</w:t>
                  </w:r>
                </w:p>
              </w:tc>
            </w:tr>
            <w:tr w:rsidRPr="00D4683B" w:rsidR="009C3B91" w:rsidTr="009C3B91" w14:paraId="70EAD982"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3134" w:type="dxa"/>
                </w:tcPr>
                <w:p w:rsidRPr="00D4683B" w:rsidR="009C3B91" w:rsidP="000030D5" w:rsidRDefault="009C3B91" w14:paraId="11B23183" w14:textId="77777777">
                  <w:pPr>
                    <w:spacing w:line="276" w:lineRule="auto"/>
                    <w:rPr>
                      <w:sz w:val="16"/>
                      <w:szCs w:val="16"/>
                      <w:lang w:val="nl-NL"/>
                    </w:rPr>
                  </w:pPr>
                  <w:r w:rsidRPr="00D4683B">
                    <w:rPr>
                      <w:sz w:val="16"/>
                      <w:szCs w:val="16"/>
                      <w:lang w:val="nl-NL"/>
                    </w:rPr>
                    <w:t>Belastbaar voordeel</w:t>
                  </w:r>
                </w:p>
              </w:tc>
              <w:tc>
                <w:tcPr>
                  <w:tcW w:w="1635" w:type="dxa"/>
                </w:tcPr>
                <w:p w:rsidRPr="00D4683B" w:rsidR="009C3B91" w:rsidP="000030D5" w:rsidRDefault="009C3B91" w14:paraId="4479183C" w14:textId="7434F7E9">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FFFFFF" w:themeColor="background1"/>
                      <w:sz w:val="16"/>
                      <w:szCs w:val="16"/>
                      <w:lang w:val="nl-NL"/>
                    </w:rPr>
                  </w:pPr>
                  <w:r w:rsidRPr="00D4683B">
                    <w:rPr>
                      <w:sz w:val="16"/>
                      <w:szCs w:val="16"/>
                      <w:lang w:val="nl-NL"/>
                    </w:rPr>
                    <w:t>€ </w:t>
                  </w:r>
                  <w:r>
                    <w:rPr>
                      <w:sz w:val="16"/>
                      <w:szCs w:val="16"/>
                      <w:lang w:val="nl-NL"/>
                    </w:rPr>
                    <w:t>50</w:t>
                  </w:r>
                </w:p>
              </w:tc>
              <w:tc>
                <w:tcPr>
                  <w:tcW w:w="1519" w:type="dxa"/>
                </w:tcPr>
                <w:p w:rsidRPr="00D4683B" w:rsidR="009C3B91" w:rsidP="000030D5" w:rsidRDefault="009C3B91" w14:paraId="74A39B9F" w14:textId="04D58B1A">
                  <w:pPr>
                    <w:spacing w:line="276" w:lineRule="auto"/>
                    <w:jc w:val="right"/>
                    <w:cnfStyle w:val="000000100000" w:firstRow="0" w:lastRow="0" w:firstColumn="0" w:lastColumn="0" w:oddVBand="0" w:evenVBand="0" w:oddHBand="1" w:evenHBand="0" w:firstRowFirstColumn="0" w:firstRowLastColumn="0" w:lastRowFirstColumn="0" w:lastRowLastColumn="0"/>
                    <w:rPr>
                      <w:b/>
                      <w:bCs/>
                      <w:color w:val="FFFFFF" w:themeColor="background1"/>
                      <w:sz w:val="16"/>
                      <w:szCs w:val="16"/>
                      <w:lang w:val="nl-NL"/>
                    </w:rPr>
                  </w:pPr>
                  <w:r w:rsidRPr="00D4683B">
                    <w:rPr>
                      <w:sz w:val="16"/>
                      <w:szCs w:val="16"/>
                      <w:lang w:val="nl-NL"/>
                    </w:rPr>
                    <w:t>€ </w:t>
                  </w:r>
                  <w:r>
                    <w:rPr>
                      <w:sz w:val="16"/>
                      <w:szCs w:val="16"/>
                      <w:lang w:val="nl-NL"/>
                    </w:rPr>
                    <w:t>340</w:t>
                  </w:r>
                </w:p>
              </w:tc>
              <w:tc>
                <w:tcPr>
                  <w:tcW w:w="1650" w:type="dxa"/>
                </w:tcPr>
                <w:p w:rsidRPr="00D4683B" w:rsidR="009C3B91" w:rsidP="000030D5" w:rsidRDefault="009C3B91" w14:paraId="43961D32" w14:textId="655492AA">
                  <w:pPr>
                    <w:spacing w:line="276" w:lineRule="auto"/>
                    <w:jc w:val="right"/>
                    <w:cnfStyle w:val="000000100000" w:firstRow="0" w:lastRow="0" w:firstColumn="0" w:lastColumn="0" w:oddVBand="0" w:evenVBand="0" w:oddHBand="1" w:evenHBand="0" w:firstRowFirstColumn="0" w:firstRowLastColumn="0" w:lastRowFirstColumn="0" w:lastRowLastColumn="0"/>
                    <w:rPr>
                      <w:sz w:val="16"/>
                      <w:szCs w:val="16"/>
                      <w:lang w:val="nl-NL"/>
                    </w:rPr>
                  </w:pPr>
                  <w:r w:rsidRPr="00D4683B">
                    <w:rPr>
                      <w:sz w:val="16"/>
                      <w:szCs w:val="16"/>
                      <w:lang w:val="nl-NL"/>
                    </w:rPr>
                    <w:t>€ </w:t>
                  </w:r>
                  <w:r>
                    <w:rPr>
                      <w:sz w:val="16"/>
                      <w:szCs w:val="16"/>
                      <w:lang w:val="nl-NL"/>
                    </w:rPr>
                    <w:t>390</w:t>
                  </w:r>
                </w:p>
              </w:tc>
            </w:tr>
          </w:tbl>
          <w:p w:rsidRPr="00D4683B" w:rsidR="00AD7BF0" w:rsidP="000030D5" w:rsidRDefault="00AD7BF0" w14:paraId="7CA741F7" w14:textId="77777777">
            <w:pPr>
              <w:spacing w:line="276" w:lineRule="auto"/>
              <w:rPr>
                <w:sz w:val="16"/>
                <w:szCs w:val="16"/>
              </w:rPr>
            </w:pPr>
          </w:p>
        </w:tc>
      </w:tr>
    </w:tbl>
    <w:p w:rsidR="005106D0" w:rsidP="002751D9" w:rsidRDefault="005106D0" w14:paraId="5B9535C1" w14:textId="77777777"/>
    <w:p w:rsidR="005106D0" w:rsidP="002751D9" w:rsidRDefault="005106D0" w14:paraId="48DAC531" w14:textId="77777777"/>
    <w:p w:rsidR="000C713D" w:rsidP="002751D9" w:rsidRDefault="0035216F" w14:paraId="384D55A1" w14:textId="033CF82B">
      <w:r>
        <w:t xml:space="preserve">Het wetsvoorstel </w:t>
      </w:r>
      <w:r w:rsidR="00F0274D">
        <w:t>W</w:t>
      </w:r>
      <w:r>
        <w:t xml:space="preserve">et </w:t>
      </w:r>
      <w:r w:rsidR="00F0274D">
        <w:t>w</w:t>
      </w:r>
      <w:r>
        <w:t xml:space="preserve">erkelijk rendement box 3 kent </w:t>
      </w:r>
      <w:proofErr w:type="gramStart"/>
      <w:r>
        <w:t>reeds</w:t>
      </w:r>
      <w:proofErr w:type="gramEnd"/>
      <w:r>
        <w:t xml:space="preserve"> specifieke bepalingen voor het vaststellen van het vervreemdingsvoordeel van koopopties en verkoopopties. Gelet op de uitbreiding van de vermogenswinstbelasting naar alle financiële instrumenten worden ook enkele gelijksoortige bepalingen voorgesteld voor termijncontracten</w:t>
      </w:r>
      <w:r w:rsidR="00F0274D">
        <w:t xml:space="preserve"> met betrekking tot koop en verkoop</w:t>
      </w:r>
      <w:r>
        <w:t xml:space="preserve">. Deze technische aanpassingen worden nader toegelicht in de artikelsgewijze toelichting. </w:t>
      </w:r>
    </w:p>
    <w:p w:rsidR="0035216F" w:rsidP="002751D9" w:rsidRDefault="0035216F" w14:paraId="2B3A1350" w14:textId="77777777"/>
    <w:p w:rsidR="00AD7BF0" w:rsidP="00AD7BF0" w:rsidRDefault="000C713D" w14:paraId="5453C2B2" w14:textId="3084C9D7">
      <w:pPr>
        <w:pStyle w:val="Kop2"/>
        <w:numPr>
          <w:ilvl w:val="1"/>
          <w:numId w:val="1"/>
        </w:numPr>
      </w:pPr>
      <w:bookmarkStart w:name="_Toc244590630" w:id="10"/>
      <w:r w:rsidRPr="000C713D">
        <w:t>Vermogensbestanddelen die</w:t>
      </w:r>
      <w:r w:rsidR="00AD7BF0">
        <w:t xml:space="preserve"> tijdelijk</w:t>
      </w:r>
      <w:r w:rsidRPr="000C713D">
        <w:t xml:space="preserve"> onder de vermogensaanwasbelasting blijven</w:t>
      </w:r>
      <w:bookmarkEnd w:id="10"/>
    </w:p>
    <w:p w:rsidRPr="00AD7BF0" w:rsidR="00AD7BF0" w:rsidP="00AD7BF0" w:rsidRDefault="00AD7BF0" w14:paraId="40C8EA17" w14:textId="77777777"/>
    <w:p w:rsidR="008F7F60" w:rsidP="00AD7BF0" w:rsidRDefault="00AD7BF0" w14:paraId="04E101A5" w14:textId="3912F34B">
      <w:r>
        <w:t>Voor een aantal vermogensbestanddelen in box 3 zal met ingang van 1 januari 202</w:t>
      </w:r>
      <w:r w:rsidR="00EB771B">
        <w:t>9</w:t>
      </w:r>
      <w:r>
        <w:t xml:space="preserve"> tijdelijk een vermogensaanwasbelasting gelden. </w:t>
      </w:r>
      <w:r w:rsidR="00587165">
        <w:t xml:space="preserve">Deze vermogensbestanddelen kunnen naar verwachting vanaf 2030 ook onder het bereik van de vermogenswinstbelasting worden gebracht. </w:t>
      </w:r>
      <w:r w:rsidR="008F7F60">
        <w:t>Het gaat om het box 3-vermogen dat niet kwalificeert als financieel instrument of onroerende zaak. Concreet gaat het om directe cryptobeleggingen</w:t>
      </w:r>
      <w:r w:rsidR="00265A43">
        <w:t xml:space="preserve"> (crypto </w:t>
      </w:r>
      <w:proofErr w:type="spellStart"/>
      <w:r w:rsidR="00265A43">
        <w:t>wallets</w:t>
      </w:r>
      <w:proofErr w:type="spellEnd"/>
      <w:r w:rsidR="00265A43">
        <w:t>)</w:t>
      </w:r>
      <w:r w:rsidR="008F7F60">
        <w:t>, verzekeringsproducten</w:t>
      </w:r>
      <w:r w:rsidR="00265A43">
        <w:t>,</w:t>
      </w:r>
      <w:r w:rsidR="008F7F60">
        <w:t xml:space="preserve"> lijfrentes</w:t>
      </w:r>
      <w:r w:rsidR="00265A43">
        <w:t xml:space="preserve"> en periodieke uitkeringen (voor zover deze niet in box 1 zijn betrokken)</w:t>
      </w:r>
      <w:r w:rsidR="008F7F60">
        <w:t xml:space="preserve">, vorderingen en schulden (voor </w:t>
      </w:r>
      <w:r w:rsidR="00265A43">
        <w:t xml:space="preserve">zover </w:t>
      </w:r>
      <w:r w:rsidR="008F7F60">
        <w:t>deze niet kwalificeren als financieel instrument), banktegoeden</w:t>
      </w:r>
      <w:r w:rsidR="00265A43">
        <w:t>, vreemde valuta</w:t>
      </w:r>
      <w:r w:rsidR="008F7F60">
        <w:t xml:space="preserve"> en overige vermogensbestanddelen zoals roerende zaken ter belegging. </w:t>
      </w:r>
    </w:p>
    <w:p w:rsidR="00BB3B55" w:rsidP="008F7F60" w:rsidRDefault="00BB3B55" w14:paraId="4AAE0DA2" w14:textId="77777777"/>
    <w:p w:rsidR="008B4356" w:rsidP="008F7F60" w:rsidRDefault="00BB3B55" w14:paraId="323A0253" w14:textId="7D32FCBA">
      <w:pPr>
        <w:rPr>
          <w:szCs w:val="18"/>
        </w:rPr>
      </w:pPr>
      <w:r>
        <w:rPr>
          <w:szCs w:val="18"/>
        </w:rPr>
        <w:t xml:space="preserve">Het is niet mogelijk om </w:t>
      </w:r>
      <w:r w:rsidR="000D1A3F">
        <w:rPr>
          <w:szCs w:val="18"/>
        </w:rPr>
        <w:t>voor de</w:t>
      </w:r>
      <w:r w:rsidR="003E225F">
        <w:rPr>
          <w:szCs w:val="18"/>
        </w:rPr>
        <w:t xml:space="preserve">ze </w:t>
      </w:r>
      <w:r w:rsidR="000D1A3F">
        <w:rPr>
          <w:szCs w:val="18"/>
        </w:rPr>
        <w:t>vermogensbestanddelen al</w:t>
      </w:r>
      <w:r w:rsidRPr="000D1A3F" w:rsidR="000D1A3F">
        <w:t xml:space="preserve"> </w:t>
      </w:r>
      <w:r w:rsidRPr="000D1A3F" w:rsidR="000D1A3F">
        <w:rPr>
          <w:szCs w:val="18"/>
        </w:rPr>
        <w:t>per 1 januari 202</w:t>
      </w:r>
      <w:r w:rsidR="00EB771B">
        <w:rPr>
          <w:szCs w:val="18"/>
        </w:rPr>
        <w:t>9</w:t>
      </w:r>
      <w:r w:rsidRPr="000D1A3F" w:rsidR="000D1A3F">
        <w:rPr>
          <w:szCs w:val="18"/>
        </w:rPr>
        <w:t xml:space="preserve"> over te gaan op een vermogenswinstbelasting</w:t>
      </w:r>
      <w:r w:rsidR="000D1A3F">
        <w:rPr>
          <w:szCs w:val="18"/>
        </w:rPr>
        <w:t xml:space="preserve">. </w:t>
      </w:r>
      <w:r w:rsidR="008B4356">
        <w:rPr>
          <w:szCs w:val="18"/>
        </w:rPr>
        <w:t xml:space="preserve">Zoals hierboven aangegeven vindt het kabinet het wenselijk om af te stappen van het huidige stelsel en voor alle vermogensbestanddelen </w:t>
      </w:r>
      <w:r w:rsidRPr="008B4356" w:rsidR="008B4356">
        <w:rPr>
          <w:szCs w:val="18"/>
        </w:rPr>
        <w:t>belasting te heffen op basis van het werkelijk behaalde rendement.</w:t>
      </w:r>
      <w:r w:rsidR="008B4356">
        <w:rPr>
          <w:szCs w:val="18"/>
        </w:rPr>
        <w:t xml:space="preserve"> Het gewenste eindbeeld is een vermogenswinstbelasting voor alle vermogensbestanddelen. Het kabinet vindt het wenselijk om voor zoveel mogelijk vermogensbestanddelen </w:t>
      </w:r>
      <w:r w:rsidR="00DF5856">
        <w:rPr>
          <w:szCs w:val="18"/>
        </w:rPr>
        <w:t xml:space="preserve">in box 3 </w:t>
      </w:r>
      <w:r w:rsidR="00261D52">
        <w:rPr>
          <w:szCs w:val="18"/>
        </w:rPr>
        <w:t>zo snel mogelijk over te gaan naar een vermogenswinstbelasting.</w:t>
      </w:r>
    </w:p>
    <w:p w:rsidR="008B4356" w:rsidP="008F7F60" w:rsidRDefault="008B4356" w14:paraId="327B3F9C" w14:textId="77777777">
      <w:pPr>
        <w:rPr>
          <w:szCs w:val="18"/>
        </w:rPr>
      </w:pPr>
    </w:p>
    <w:p w:rsidR="008B4356" w:rsidP="008F7F60" w:rsidRDefault="008B4356" w14:paraId="75F9C11E" w14:textId="0230F10E">
      <w:pPr>
        <w:rPr>
          <w:szCs w:val="18"/>
        </w:rPr>
      </w:pPr>
      <w:r w:rsidRPr="008B4356">
        <w:rPr>
          <w:szCs w:val="18"/>
        </w:rPr>
        <w:t>De gekozen fasering maakt het mogelijk om per 202</w:t>
      </w:r>
      <w:r w:rsidR="00AB41C6">
        <w:rPr>
          <w:szCs w:val="18"/>
        </w:rPr>
        <w:t>9</w:t>
      </w:r>
      <w:r w:rsidRPr="008B4356">
        <w:rPr>
          <w:szCs w:val="18"/>
        </w:rPr>
        <w:t xml:space="preserve"> zoveel mogelijk </w:t>
      </w:r>
      <w:r>
        <w:rPr>
          <w:szCs w:val="18"/>
        </w:rPr>
        <w:t>vermogensbestanddelen onder de vermogenswinstbelasting te brengen</w:t>
      </w:r>
      <w:r w:rsidR="00AB41C6">
        <w:rPr>
          <w:szCs w:val="18"/>
        </w:rPr>
        <w:t>.</w:t>
      </w:r>
      <w:r>
        <w:rPr>
          <w:szCs w:val="18"/>
        </w:rPr>
        <w:t xml:space="preserve"> Het kabinet acht de verschillende behandeling voor </w:t>
      </w:r>
      <w:r>
        <w:rPr>
          <w:szCs w:val="18"/>
        </w:rPr>
        <w:lastRenderedPageBreak/>
        <w:t xml:space="preserve">vermogensbestanddelen die onder de vermogensaanwasbelasting </w:t>
      </w:r>
      <w:r w:rsidR="003E225F">
        <w:rPr>
          <w:szCs w:val="18"/>
        </w:rPr>
        <w:t>blijven voor een beperkte overgangsperiode gerechtvaardigd. O</w:t>
      </w:r>
      <w:r w:rsidRPr="003E225F" w:rsidR="003E225F">
        <w:rPr>
          <w:szCs w:val="18"/>
        </w:rPr>
        <w:t xml:space="preserve">ok </w:t>
      </w:r>
      <w:r w:rsidR="003E225F">
        <w:rPr>
          <w:szCs w:val="18"/>
        </w:rPr>
        <w:t xml:space="preserve">bij </w:t>
      </w:r>
      <w:r w:rsidRPr="003E225F" w:rsidR="003E225F">
        <w:rPr>
          <w:szCs w:val="18"/>
        </w:rPr>
        <w:t xml:space="preserve">deze vermogensbestanddelen wordt het werkelijke rendement belast. Het verschil met de vermogenswinstsystematiek betreft </w:t>
      </w:r>
      <w:r w:rsidR="003E225F">
        <w:rPr>
          <w:szCs w:val="18"/>
        </w:rPr>
        <w:t>enkel</w:t>
      </w:r>
      <w:r w:rsidRPr="003E225F" w:rsidR="003E225F">
        <w:rPr>
          <w:szCs w:val="18"/>
        </w:rPr>
        <w:t xml:space="preserve"> het moment waarop de waardeontwikkeling in de heffing wordt betrokken</w:t>
      </w:r>
      <w:r w:rsidR="003E225F">
        <w:rPr>
          <w:szCs w:val="18"/>
        </w:rPr>
        <w:t>. Dit onderscheid is uitdrukkelijk tijdelijk van aard.</w:t>
      </w:r>
    </w:p>
    <w:p w:rsidR="003E225F" w:rsidP="008F7F60" w:rsidRDefault="003E225F" w14:paraId="2EAD3D74" w14:textId="77777777">
      <w:pPr>
        <w:rPr>
          <w:szCs w:val="18"/>
        </w:rPr>
      </w:pPr>
    </w:p>
    <w:p w:rsidR="003E225F" w:rsidP="003E225F" w:rsidRDefault="003E225F" w14:paraId="2A02EF6B" w14:textId="6378F1A3">
      <w:r>
        <w:t xml:space="preserve">Bij een aantal vermogensbestanddelen heeft het onderscheid tussen een vermogensaanwasbelasting en een vermogenswinstbelasting bovendien in de praktijk weinig belang. Een grote categorie vermogen in de vermogensaanwasbelasting betreft banktegoeden, maar doorgaans zal het rendement op banktegoeden alleen bestaan uit de ontvangen rente minus kosten. </w:t>
      </w:r>
      <w:r w:rsidRPr="00057CBB">
        <w:t>Van vermogensaanwas is geen sprake bij banktegoeden die in euro’s worden aangehouden.</w:t>
      </w:r>
      <w:r>
        <w:t xml:space="preserve"> Een vermogensaanwasbelasting of vermogenswinstbelasting leidt daardoor voor banktegoeden in euro’s niet tot een andere belastingheffing. Voor geldleningen tussen natuurlijke personen is bepaald dat de vordering of schuld op de nominale waarde gesteld wordt, in plaats van de waardering op waarde in het economische verkeer die voor de meeste vermogensbestanddelen in box 3 geld. Bij vorderingen of schulden die jaarlijks op de nominale waarde worden gewaardeerd treedt geen vermogensontwikkeling op. Ook in die gevallen leidt een vermogensaanwasbelasting of vermogenswinstbelasting dus niet tot een andere belastingheffing. </w:t>
      </w:r>
    </w:p>
    <w:p w:rsidRPr="008B4356" w:rsidR="003E225F" w:rsidP="008F7F60" w:rsidRDefault="003E225F" w14:paraId="2C38A835" w14:textId="77777777">
      <w:pPr>
        <w:rPr>
          <w:szCs w:val="18"/>
        </w:rPr>
      </w:pPr>
    </w:p>
    <w:p w:rsidR="00057CBB" w:rsidP="00057CBB" w:rsidRDefault="003E225F" w14:paraId="32F9FDB4" w14:textId="2A9C5811">
      <w:pPr>
        <w:rPr>
          <w:szCs w:val="18"/>
        </w:rPr>
      </w:pPr>
      <w:r>
        <w:rPr>
          <w:szCs w:val="18"/>
        </w:rPr>
        <w:t>Het kabinet zal voorstellen uitwerken om de vermogensbestanddelen die tijdelijk onder de vermogensaanwasbelasting blijven zo snel mogelijk na 202</w:t>
      </w:r>
      <w:r w:rsidR="00AB41C6">
        <w:rPr>
          <w:szCs w:val="18"/>
        </w:rPr>
        <w:t>9</w:t>
      </w:r>
      <w:r>
        <w:rPr>
          <w:szCs w:val="18"/>
        </w:rPr>
        <w:t xml:space="preserve"> eveneens onder de vermogenswinstbelasting te brengen. De huidige verwachting is dat dit per 2030 mogelijk zal zijn.</w:t>
      </w:r>
    </w:p>
    <w:p w:rsidR="00C10009" w:rsidP="00057CBB" w:rsidRDefault="00C10009" w14:paraId="107C4E35" w14:textId="77777777">
      <w:pPr>
        <w:rPr>
          <w:szCs w:val="18"/>
        </w:rPr>
      </w:pPr>
    </w:p>
    <w:p w:rsidR="00C10009" w:rsidP="00C10009" w:rsidRDefault="00C10009" w14:paraId="6228C663" w14:textId="13C368C8">
      <w:pPr>
        <w:pStyle w:val="Kop2"/>
        <w:numPr>
          <w:ilvl w:val="1"/>
          <w:numId w:val="1"/>
        </w:numPr>
        <w:rPr>
          <w:szCs w:val="18"/>
        </w:rPr>
      </w:pPr>
      <w:bookmarkStart w:name="_Toc244590631" w:id="11"/>
      <w:r>
        <w:rPr>
          <w:szCs w:val="18"/>
        </w:rPr>
        <w:t>Dekkingsmaatregelen</w:t>
      </w:r>
      <w:bookmarkEnd w:id="11"/>
    </w:p>
    <w:p w:rsidR="00D65393" w:rsidP="00C10009" w:rsidRDefault="00D65393" w14:paraId="3932E26A" w14:textId="0D472441"/>
    <w:p w:rsidRPr="00E27D81" w:rsidR="00E27D81" w:rsidP="00E27D81" w:rsidRDefault="00C10009" w14:paraId="107C39EC" w14:textId="65CFB008">
      <w:pPr>
        <w:pStyle w:val="Kop2"/>
        <w:numPr>
          <w:ilvl w:val="0"/>
          <w:numId w:val="0"/>
        </w:numPr>
        <w:ind w:left="360" w:hanging="360"/>
      </w:pPr>
      <w:bookmarkStart w:name="_Toc244590632" w:id="12"/>
      <w:r w:rsidRPr="00E27D81">
        <w:t xml:space="preserve">2.5.1 </w:t>
      </w:r>
      <w:r w:rsidRPr="00E27D81" w:rsidR="00E27D81">
        <w:t>Verlagen box 2-tarie</w:t>
      </w:r>
      <w:r w:rsidR="0086167C">
        <w:t>ven</w:t>
      </w:r>
      <w:bookmarkEnd w:id="12"/>
    </w:p>
    <w:p w:rsidRPr="009E5283" w:rsidR="00FD4BB4" w:rsidP="00FD4BB4" w:rsidRDefault="00FD4BB4" w14:paraId="2BD52C6D" w14:textId="77777777">
      <w:pPr>
        <w:rPr>
          <w:rFonts w:eastAsia="Calibri"/>
          <w:szCs w:val="18"/>
        </w:rPr>
      </w:pPr>
      <w:r w:rsidRPr="00C96D4D">
        <w:rPr>
          <w:rFonts w:eastAsia="Calibri" w:cs="Times New Roman"/>
          <w:szCs w:val="18"/>
        </w:rPr>
        <w:t>Het kabinet stelt voor om het tarief van de</w:t>
      </w:r>
      <w:r>
        <w:rPr>
          <w:rFonts w:eastAsia="Calibri" w:cs="Times New Roman"/>
          <w:szCs w:val="18"/>
        </w:rPr>
        <w:t xml:space="preserve"> eerste schijf van box 2 tijdelijk met 1,0%-punt te verlagen, van 24,5% naar 23,5%. Vo</w:t>
      </w:r>
      <w:r w:rsidRPr="00EA7AB6">
        <w:rPr>
          <w:rFonts w:eastAsia="Calibri" w:cs="Times New Roman"/>
          <w:szCs w:val="18"/>
        </w:rPr>
        <w:t>or de tweede schijf in box 2 wordt een verlaging voorgesteld van 2</w:t>
      </w:r>
      <w:r>
        <w:rPr>
          <w:rFonts w:eastAsia="Calibri" w:cs="Times New Roman"/>
          <w:szCs w:val="18"/>
        </w:rPr>
        <w:t>,0%-</w:t>
      </w:r>
      <w:r w:rsidRPr="00EA7AB6">
        <w:rPr>
          <w:rFonts w:eastAsia="Calibri" w:cs="Times New Roman"/>
          <w:szCs w:val="18"/>
        </w:rPr>
        <w:t>punt, van 31% naar 29</w:t>
      </w:r>
      <w:r w:rsidRPr="009E5283">
        <w:rPr>
          <w:rFonts w:eastAsia="Calibri"/>
          <w:i/>
          <w:iCs/>
          <w:szCs w:val="18"/>
        </w:rPr>
        <w:t xml:space="preserve">%. </w:t>
      </w:r>
      <w:r w:rsidRPr="00EA7AB6">
        <w:rPr>
          <w:rFonts w:eastAsia="Calibri"/>
          <w:szCs w:val="18"/>
        </w:rPr>
        <w:t>Beide verlagingen gelden voor een periode van vier jaar</w:t>
      </w:r>
      <w:r>
        <w:rPr>
          <w:rFonts w:eastAsia="Calibri"/>
          <w:szCs w:val="18"/>
        </w:rPr>
        <w:t>, van 2027 tot en met 2030</w:t>
      </w:r>
      <w:r w:rsidRPr="00EA7AB6">
        <w:rPr>
          <w:rFonts w:eastAsia="Calibri"/>
          <w:szCs w:val="18"/>
        </w:rPr>
        <w:t>.</w:t>
      </w:r>
    </w:p>
    <w:p w:rsidRPr="00C96D4D" w:rsidR="00E27D81" w:rsidP="00C96D4D" w:rsidRDefault="00B346BB" w14:paraId="4CB49708" w14:textId="72F2C0BF">
      <w:pPr>
        <w:rPr>
          <w:rFonts w:eastAsia="Calibri" w:cs="Times New Roman"/>
          <w:szCs w:val="18"/>
        </w:rPr>
      </w:pPr>
      <w:r w:rsidRPr="00C96D4D">
        <w:rPr>
          <w:rFonts w:eastAsia="Calibri" w:cs="Times New Roman"/>
          <w:szCs w:val="18"/>
        </w:rPr>
        <w:t xml:space="preserve">Deze voorgestelde maatregel hangt samen met de in deze novelle voorgestelde verlaging van het maximumbedrag bij </w:t>
      </w:r>
      <w:r w:rsidR="00071931">
        <w:rPr>
          <w:rFonts w:eastAsia="Calibri" w:cs="Times New Roman"/>
          <w:szCs w:val="18"/>
        </w:rPr>
        <w:t xml:space="preserve">bovenmatige schulden van de eigen vennootschap (excessief lenen) </w:t>
      </w:r>
      <w:r>
        <w:rPr>
          <w:rFonts w:eastAsia="Calibri" w:cs="Times New Roman"/>
          <w:szCs w:val="18"/>
        </w:rPr>
        <w:t xml:space="preserve">van </w:t>
      </w:r>
      <w:r>
        <w:t>€ 500.000 naar € 100.000, de komende</w:t>
      </w:r>
      <w:r w:rsidRPr="00C96D4D">
        <w:rPr>
          <w:rFonts w:eastAsia="Calibri" w:cs="Times New Roman"/>
          <w:szCs w:val="18"/>
        </w:rPr>
        <w:t xml:space="preserve"> vijf </w:t>
      </w:r>
      <w:r>
        <w:rPr>
          <w:rFonts w:eastAsia="Calibri" w:cs="Times New Roman"/>
          <w:szCs w:val="18"/>
        </w:rPr>
        <w:t xml:space="preserve">jaar in </w:t>
      </w:r>
      <w:r w:rsidRPr="00C96D4D">
        <w:rPr>
          <w:rFonts w:eastAsia="Calibri" w:cs="Times New Roman"/>
          <w:szCs w:val="18"/>
        </w:rPr>
        <w:t>stappen van € 80.000</w:t>
      </w:r>
      <w:r>
        <w:rPr>
          <w:rFonts w:eastAsia="Calibri" w:cs="Times New Roman"/>
          <w:szCs w:val="18"/>
        </w:rPr>
        <w:t xml:space="preserve">. </w:t>
      </w:r>
      <w:r w:rsidRPr="00C96D4D" w:rsidR="00E27D81">
        <w:rPr>
          <w:rFonts w:eastAsia="Calibri" w:cs="Times New Roman"/>
          <w:szCs w:val="18"/>
        </w:rPr>
        <w:t xml:space="preserve">Met de voorgestelde verlaging van </w:t>
      </w:r>
      <w:r w:rsidR="004E0991">
        <w:rPr>
          <w:rFonts w:eastAsia="Calibri" w:cs="Times New Roman"/>
          <w:szCs w:val="18"/>
        </w:rPr>
        <w:t>de</w:t>
      </w:r>
      <w:r w:rsidRPr="00C96D4D" w:rsidR="00E27D81">
        <w:rPr>
          <w:rFonts w:eastAsia="Calibri" w:cs="Times New Roman"/>
          <w:szCs w:val="18"/>
        </w:rPr>
        <w:t xml:space="preserve"> box 2-tarie</w:t>
      </w:r>
      <w:r w:rsidR="004E0991">
        <w:rPr>
          <w:rFonts w:eastAsia="Calibri" w:cs="Times New Roman"/>
          <w:szCs w:val="18"/>
        </w:rPr>
        <w:t>ven</w:t>
      </w:r>
      <w:r w:rsidRPr="00C96D4D" w:rsidR="00E27D81">
        <w:rPr>
          <w:rFonts w:eastAsia="Calibri" w:cs="Times New Roman"/>
          <w:szCs w:val="18"/>
        </w:rPr>
        <w:t>wordt het nadeel van de verlaging van het maximumbedrag bij excessief lenen gedeeltelijk gecompenseerd voor aanmerkelijkbelanghouders.</w:t>
      </w:r>
    </w:p>
    <w:p w:rsidR="00E27D81" w:rsidP="00E27D81" w:rsidRDefault="00E27D81" w14:paraId="77D28927" w14:textId="77777777">
      <w:pPr>
        <w:pStyle w:val="Geenafstand"/>
        <w:spacing w:line="360" w:lineRule="auto"/>
      </w:pPr>
    </w:p>
    <w:p w:rsidRPr="00E27D81" w:rsidR="00E27D81" w:rsidP="00E27D81" w:rsidRDefault="00E27D81" w14:paraId="64712794" w14:textId="697A0129">
      <w:pPr>
        <w:pStyle w:val="Kop2"/>
        <w:numPr>
          <w:ilvl w:val="0"/>
          <w:numId w:val="0"/>
        </w:numPr>
        <w:ind w:left="360" w:hanging="360"/>
      </w:pPr>
      <w:bookmarkStart w:name="_Toc244590633" w:id="13"/>
      <w:r w:rsidRPr="00E27D81">
        <w:t>2.5.2 Verlaging drempel excessief lenen</w:t>
      </w:r>
      <w:bookmarkEnd w:id="13"/>
    </w:p>
    <w:p w:rsidR="00E27D81" w:rsidP="00C96D4D" w:rsidRDefault="00E27D81" w14:paraId="3772F80E" w14:textId="7165DD04">
      <w:pPr>
        <w:rPr>
          <w:rFonts w:eastAsia="Calibri" w:cs="Times New Roman"/>
          <w:szCs w:val="18"/>
        </w:rPr>
      </w:pPr>
      <w:r w:rsidRPr="00C96D4D">
        <w:rPr>
          <w:rFonts w:eastAsia="Calibri" w:cs="Times New Roman"/>
          <w:szCs w:val="18"/>
        </w:rPr>
        <w:t xml:space="preserve">De Wet excessief lenen bij eigen vennootschap regelt kort gezegd dat ingeval een aanmerkelijkbelanghouder meer dan € 500.000 (maximumbedrag) leent van de eigen vennootschap, het bovenmatige deel wordt belast als fictief regulier voordeel in box 2. Het maximumbedrag wordt vervolgens verhoogd met het bedrag van dit bovenmatige deel. Deze wet is in werking getreden per 1 januari 2023. Voorgesteld wordt om het maximumbedrag voor excessief </w:t>
      </w:r>
      <w:r w:rsidRPr="00C96D4D">
        <w:rPr>
          <w:rFonts w:eastAsia="Calibri" w:cs="Times New Roman"/>
          <w:szCs w:val="18"/>
        </w:rPr>
        <w:lastRenderedPageBreak/>
        <w:t>lenen bij de eigen vennootschap in vijf</w:t>
      </w:r>
      <w:r w:rsidR="00B346BB">
        <w:rPr>
          <w:rFonts w:eastAsia="Calibri" w:cs="Times New Roman"/>
          <w:szCs w:val="18"/>
        </w:rPr>
        <w:t xml:space="preserve"> jaarlijkse</w:t>
      </w:r>
      <w:r w:rsidRPr="00C96D4D">
        <w:rPr>
          <w:rFonts w:eastAsia="Calibri" w:cs="Times New Roman"/>
          <w:szCs w:val="18"/>
        </w:rPr>
        <w:t xml:space="preserve"> stappen van € 80.000 te verlagen van € 500.000 naar € 100.000. </w:t>
      </w:r>
      <w:r w:rsidR="00B346BB">
        <w:rPr>
          <w:rFonts w:eastAsia="Calibri" w:cs="Times New Roman"/>
          <w:szCs w:val="18"/>
        </w:rPr>
        <w:t xml:space="preserve">Het gevolg daarvan is dat </w:t>
      </w:r>
      <w:proofErr w:type="gramStart"/>
      <w:r w:rsidR="00B346BB">
        <w:rPr>
          <w:rFonts w:eastAsia="Calibri" w:cs="Times New Roman"/>
          <w:szCs w:val="18"/>
        </w:rPr>
        <w:t>indien</w:t>
      </w:r>
      <w:proofErr w:type="gramEnd"/>
      <w:r w:rsidR="00B346BB">
        <w:rPr>
          <w:rFonts w:eastAsia="Calibri" w:cs="Times New Roman"/>
          <w:szCs w:val="18"/>
        </w:rPr>
        <w:t xml:space="preserve"> de aanmerkelijkbelanghouder de schuld aan de vennootschap niet </w:t>
      </w:r>
      <w:r w:rsidR="00507E1E">
        <w:rPr>
          <w:rFonts w:eastAsia="Calibri" w:cs="Times New Roman"/>
          <w:szCs w:val="18"/>
        </w:rPr>
        <w:t xml:space="preserve">ten minste </w:t>
      </w:r>
      <w:r w:rsidR="00B346BB">
        <w:rPr>
          <w:rFonts w:eastAsia="Calibri" w:cs="Times New Roman"/>
          <w:szCs w:val="18"/>
        </w:rPr>
        <w:t xml:space="preserve">aflost tot het maximumbedrag, het boven dit maximumbedrag bestaande deel van de schuld in de heffing wordt betrokken. </w:t>
      </w:r>
      <w:r w:rsidRPr="00C96D4D" w:rsidR="00B346BB">
        <w:rPr>
          <w:rFonts w:eastAsia="Calibri" w:cs="Times New Roman"/>
          <w:szCs w:val="18"/>
        </w:rPr>
        <w:t xml:space="preserve"> </w:t>
      </w:r>
    </w:p>
    <w:p w:rsidRPr="004A5588" w:rsidR="00E27D81" w:rsidP="002751D9" w:rsidRDefault="00E27D81" w14:paraId="56C8736B" w14:textId="77777777"/>
    <w:p w:rsidRPr="0088604D" w:rsidR="006A1091" w:rsidP="002751D9" w:rsidRDefault="006A1091" w14:paraId="6BE62485" w14:textId="7235A0BD">
      <w:pPr>
        <w:pStyle w:val="Kop2"/>
        <w:rPr>
          <w:szCs w:val="18"/>
        </w:rPr>
      </w:pPr>
      <w:bookmarkStart w:name="_Toc235707116" w:id="14"/>
      <w:bookmarkStart w:name="_Toc244590634" w:id="15"/>
      <w:r w:rsidRPr="0088604D">
        <w:rPr>
          <w:szCs w:val="18"/>
        </w:rPr>
        <w:t>Budgettaire aspecten</w:t>
      </w:r>
      <w:bookmarkEnd w:id="14"/>
      <w:bookmarkEnd w:id="15"/>
    </w:p>
    <w:p w:rsidR="00D511D1" w:rsidP="002751D9" w:rsidRDefault="00D511D1" w14:paraId="7C8CE376" w14:textId="25D14656">
      <w:pPr>
        <w:rPr>
          <w:szCs w:val="18"/>
        </w:rPr>
      </w:pPr>
    </w:p>
    <w:p w:rsidR="00F40172" w:rsidP="00F40172" w:rsidRDefault="00F40172" w14:paraId="2135B587" w14:textId="1E1B2710">
      <w:pPr>
        <w:rPr>
          <w:szCs w:val="18"/>
        </w:rPr>
      </w:pPr>
      <w:r>
        <w:rPr>
          <w:szCs w:val="18"/>
        </w:rPr>
        <w:t>In tabel 1 en 2 zijn de budgettaire effecten van de maatregelen in dit wetsvoorstel gegeven. In tabel 1 zijn de voor het inkomstenkader relevante budgettaire effecten weergegeven. Dit zijn reeksen op transactiebasis, behalve voor de maatregel verlagen box</w:t>
      </w:r>
      <w:r w:rsidR="00F73F69">
        <w:rPr>
          <w:szCs w:val="18"/>
        </w:rPr>
        <w:t xml:space="preserve"> </w:t>
      </w:r>
      <w:r>
        <w:rPr>
          <w:szCs w:val="18"/>
        </w:rPr>
        <w:t>2-tarie</w:t>
      </w:r>
      <w:r w:rsidR="005C2646">
        <w:rPr>
          <w:szCs w:val="18"/>
        </w:rPr>
        <w:t>ven</w:t>
      </w:r>
      <w:r>
        <w:rPr>
          <w:szCs w:val="18"/>
        </w:rPr>
        <w:t xml:space="preserve">, waar het (zoals gebruikelijk voor dit type maatregel) de tijdelijke vlakke reeks betreft met dezelfde netto-contante waarde als de reeks op transactiebasis. Vanwege het uitzonderlijke kaspatroon van de derving als gevolg van het invoeren van een vermogenswinstbelasting, heeft het kabinet gekozen voor een pakket maatregelen waarvan het cumulatieve effect op het EMU-saldo tot en met 2031 neutraal is. </w:t>
      </w:r>
      <w:r w:rsidRPr="00082D5D">
        <w:rPr>
          <w:szCs w:val="18"/>
        </w:rPr>
        <w:t xml:space="preserve">Het </w:t>
      </w:r>
      <w:r>
        <w:rPr>
          <w:szCs w:val="18"/>
        </w:rPr>
        <w:t xml:space="preserve">effect op het EMU-saldo verschilt van het effect op het inkomstenkader door onder andere </w:t>
      </w:r>
      <w:r w:rsidRPr="00082D5D">
        <w:rPr>
          <w:szCs w:val="18"/>
        </w:rPr>
        <w:t xml:space="preserve">de anticipatie-effecten bij aanpassingen van </w:t>
      </w:r>
      <w:r w:rsidR="005C2646">
        <w:rPr>
          <w:szCs w:val="18"/>
        </w:rPr>
        <w:t>de tarieven</w:t>
      </w:r>
      <w:r w:rsidRPr="00082D5D">
        <w:rPr>
          <w:szCs w:val="18"/>
        </w:rPr>
        <w:t xml:space="preserve"> in box 2. </w:t>
      </w:r>
      <w:r>
        <w:rPr>
          <w:szCs w:val="18"/>
        </w:rPr>
        <w:t>De budgettaire gevolgen worden weergegeven in</w:t>
      </w:r>
      <w:r>
        <w:t xml:space="preserve"> tabel 2.</w:t>
      </w:r>
    </w:p>
    <w:p w:rsidR="00F40172" w:rsidP="00F40172" w:rsidRDefault="00F40172" w14:paraId="2481B1D8" w14:textId="77777777">
      <w:pPr>
        <w:spacing w:line="240" w:lineRule="auto"/>
        <w:rPr>
          <w:szCs w:val="18"/>
        </w:rPr>
      </w:pPr>
    </w:p>
    <w:p w:rsidRPr="005F3176" w:rsidR="00F40172" w:rsidP="00F40172" w:rsidRDefault="00F40172" w14:paraId="1E906EFB" w14:textId="77777777">
      <w:pPr>
        <w:rPr>
          <w:i/>
          <w:iCs/>
          <w:szCs w:val="18"/>
        </w:rPr>
      </w:pPr>
      <w:r w:rsidRPr="00AE38AE">
        <w:rPr>
          <w:i/>
          <w:iCs/>
          <w:szCs w:val="18"/>
        </w:rPr>
        <w:t>Tabel</w:t>
      </w:r>
      <w:r>
        <w:rPr>
          <w:i/>
          <w:iCs/>
          <w:szCs w:val="18"/>
        </w:rPr>
        <w:t xml:space="preserve"> 1</w:t>
      </w:r>
      <w:r w:rsidRPr="00AE38AE">
        <w:rPr>
          <w:i/>
          <w:iCs/>
          <w:szCs w:val="18"/>
        </w:rPr>
        <w:t>: budgettaire effecten</w:t>
      </w:r>
      <w:r>
        <w:rPr>
          <w:i/>
          <w:iCs/>
          <w:szCs w:val="18"/>
        </w:rPr>
        <w:t xml:space="preserve"> op het inkomstenkader</w:t>
      </w:r>
      <w:r w:rsidRPr="00AE38AE">
        <w:rPr>
          <w:i/>
          <w:iCs/>
          <w:szCs w:val="18"/>
        </w:rPr>
        <w:t xml:space="preserve"> </w:t>
      </w:r>
      <w:r>
        <w:rPr>
          <w:i/>
          <w:iCs/>
          <w:szCs w:val="18"/>
        </w:rPr>
        <w:t xml:space="preserve">(miljoen euro, + is </w:t>
      </w:r>
      <w:proofErr w:type="spellStart"/>
      <w:r>
        <w:rPr>
          <w:i/>
          <w:iCs/>
          <w:szCs w:val="18"/>
        </w:rPr>
        <w:t>saldoverbeterend</w:t>
      </w:r>
      <w:proofErr w:type="spellEnd"/>
      <w:r>
        <w:rPr>
          <w:i/>
          <w:iCs/>
          <w:szCs w:val="18"/>
        </w:rPr>
        <w:t>)</w:t>
      </w:r>
    </w:p>
    <w:tbl>
      <w:tblPr>
        <w:tblW w:w="5000" w:type="pct"/>
        <w:tblLayout w:type="fixed"/>
        <w:tblCellMar>
          <w:left w:w="70" w:type="dxa"/>
          <w:right w:w="70" w:type="dxa"/>
        </w:tblCellMar>
        <w:tblLook w:val="04A0" w:firstRow="1" w:lastRow="0" w:firstColumn="1" w:lastColumn="0" w:noHBand="0" w:noVBand="1"/>
      </w:tblPr>
      <w:tblGrid>
        <w:gridCol w:w="3530"/>
        <w:gridCol w:w="726"/>
        <w:gridCol w:w="727"/>
        <w:gridCol w:w="821"/>
        <w:gridCol w:w="821"/>
        <w:gridCol w:w="758"/>
        <w:gridCol w:w="758"/>
        <w:gridCol w:w="921"/>
      </w:tblGrid>
      <w:tr w:rsidRPr="003257EE" w:rsidR="00B24A92" w:rsidTr="000571AF" w14:paraId="3AA3A211" w14:textId="77777777">
        <w:trPr>
          <w:trHeight w:val="632"/>
        </w:trPr>
        <w:tc>
          <w:tcPr>
            <w:tcW w:w="1948" w:type="pct"/>
            <w:tcBorders>
              <w:top w:val="single" w:color="auto" w:sz="4" w:space="0"/>
              <w:left w:val="single" w:color="auto" w:sz="4" w:space="0"/>
              <w:bottom w:val="nil"/>
              <w:right w:val="nil"/>
            </w:tcBorders>
            <w:shd w:val="clear" w:color="000000" w:fill="0070C0"/>
            <w:vAlign w:val="center"/>
            <w:hideMark/>
          </w:tcPr>
          <w:p w:rsidRPr="003257EE" w:rsidR="00B24A92" w:rsidP="000571AF" w:rsidRDefault="00B24A92" w14:paraId="294318BF" w14:textId="77777777">
            <w:pPr>
              <w:spacing w:line="240" w:lineRule="auto"/>
              <w:rPr>
                <w:rFonts w:eastAsia="Times New Roman" w:cs="Calibri"/>
                <w:color w:val="FFFFFF"/>
                <w:sz w:val="16"/>
                <w:szCs w:val="16"/>
                <w:lang w:eastAsia="nl-NL"/>
              </w:rPr>
            </w:pPr>
            <w:r w:rsidRPr="003257EE">
              <w:rPr>
                <w:rFonts w:eastAsia="Times New Roman" w:cs="Calibri"/>
                <w:color w:val="FFFFFF"/>
                <w:sz w:val="16"/>
                <w:szCs w:val="16"/>
                <w:lang w:eastAsia="nl-NL"/>
              </w:rPr>
              <w:t> </w:t>
            </w:r>
          </w:p>
        </w:tc>
        <w:tc>
          <w:tcPr>
            <w:tcW w:w="401" w:type="pct"/>
            <w:tcBorders>
              <w:top w:val="single" w:color="auto" w:sz="4" w:space="0"/>
              <w:left w:val="nil"/>
              <w:bottom w:val="nil"/>
              <w:right w:val="nil"/>
            </w:tcBorders>
            <w:shd w:val="clear" w:color="000000" w:fill="0070C0"/>
            <w:vAlign w:val="center"/>
          </w:tcPr>
          <w:p w:rsidRPr="003257EE" w:rsidR="00B24A92" w:rsidP="000571AF" w:rsidRDefault="00B24A92" w14:paraId="0E1925FD" w14:textId="77777777">
            <w:pPr>
              <w:spacing w:line="240" w:lineRule="auto"/>
              <w:jc w:val="right"/>
              <w:rPr>
                <w:rFonts w:eastAsia="Times New Roman" w:cs="Calibri"/>
                <w:color w:val="FFFFFF"/>
                <w:sz w:val="16"/>
                <w:szCs w:val="16"/>
                <w:lang w:eastAsia="nl-NL"/>
              </w:rPr>
            </w:pPr>
            <w:r>
              <w:rPr>
                <w:rFonts w:eastAsia="Times New Roman" w:cs="Calibri"/>
                <w:color w:val="FFFFFF"/>
                <w:sz w:val="16"/>
                <w:szCs w:val="16"/>
                <w:lang w:eastAsia="nl-NL"/>
              </w:rPr>
              <w:t>2026</w:t>
            </w:r>
          </w:p>
        </w:tc>
        <w:tc>
          <w:tcPr>
            <w:tcW w:w="401"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75D32323"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2027</w:t>
            </w:r>
          </w:p>
        </w:tc>
        <w:tc>
          <w:tcPr>
            <w:tcW w:w="453"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3FF7F9D0"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2028</w:t>
            </w:r>
          </w:p>
        </w:tc>
        <w:tc>
          <w:tcPr>
            <w:tcW w:w="453"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27378365"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2029</w:t>
            </w:r>
          </w:p>
        </w:tc>
        <w:tc>
          <w:tcPr>
            <w:tcW w:w="418"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17B88393"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2030</w:t>
            </w:r>
          </w:p>
        </w:tc>
        <w:tc>
          <w:tcPr>
            <w:tcW w:w="418"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1C9C55A1"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2031</w:t>
            </w:r>
          </w:p>
        </w:tc>
        <w:tc>
          <w:tcPr>
            <w:tcW w:w="508" w:type="pct"/>
            <w:tcBorders>
              <w:top w:val="single" w:color="auto" w:sz="4" w:space="0"/>
              <w:left w:val="nil"/>
              <w:bottom w:val="nil"/>
              <w:right w:val="single" w:color="auto" w:sz="4" w:space="0"/>
            </w:tcBorders>
            <w:shd w:val="clear" w:color="000000" w:fill="0070C0"/>
            <w:noWrap/>
            <w:vAlign w:val="center"/>
            <w:hideMark/>
          </w:tcPr>
          <w:p w:rsidRPr="003257EE" w:rsidR="00B24A92" w:rsidP="000571AF" w:rsidRDefault="00B24A92" w14:paraId="348DAFF2" w14:textId="77777777">
            <w:pPr>
              <w:spacing w:line="240" w:lineRule="auto"/>
              <w:jc w:val="right"/>
              <w:rPr>
                <w:rFonts w:eastAsia="Times New Roman" w:cs="Calibri"/>
                <w:color w:val="FFFFFF"/>
                <w:sz w:val="16"/>
                <w:szCs w:val="16"/>
                <w:lang w:eastAsia="nl-NL"/>
              </w:rPr>
            </w:pPr>
            <w:proofErr w:type="spellStart"/>
            <w:proofErr w:type="gramStart"/>
            <w:r w:rsidRPr="003257EE">
              <w:rPr>
                <w:rFonts w:eastAsia="Times New Roman" w:cs="Calibri"/>
                <w:color w:val="FFFFFF"/>
                <w:sz w:val="16"/>
                <w:szCs w:val="16"/>
                <w:lang w:eastAsia="nl-NL"/>
              </w:rPr>
              <w:t>struc</w:t>
            </w:r>
            <w:proofErr w:type="spellEnd"/>
            <w:proofErr w:type="gramEnd"/>
          </w:p>
        </w:tc>
      </w:tr>
      <w:tr w:rsidRPr="003257EE" w:rsidR="00B24A92" w:rsidTr="000571AF" w14:paraId="2EC0ADCF" w14:textId="77777777">
        <w:trPr>
          <w:trHeight w:val="421"/>
        </w:trPr>
        <w:tc>
          <w:tcPr>
            <w:tcW w:w="1948" w:type="pct"/>
            <w:tcBorders>
              <w:top w:val="nil"/>
              <w:left w:val="single" w:color="auto" w:sz="4" w:space="0"/>
              <w:bottom w:val="nil"/>
              <w:right w:val="nil"/>
            </w:tcBorders>
            <w:shd w:val="clear" w:color="000000" w:fill="FFFFFF"/>
            <w:vAlign w:val="center"/>
          </w:tcPr>
          <w:p w:rsidR="00B24A92" w:rsidP="000571AF" w:rsidRDefault="00B24A92" w14:paraId="328D4722"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Uitboeken Wet werkelijk rendement box 3</w:t>
            </w:r>
          </w:p>
        </w:tc>
        <w:tc>
          <w:tcPr>
            <w:tcW w:w="401" w:type="pct"/>
            <w:tcBorders>
              <w:top w:val="nil"/>
              <w:left w:val="nil"/>
              <w:bottom w:val="nil"/>
              <w:right w:val="nil"/>
            </w:tcBorders>
            <w:shd w:val="clear" w:color="000000" w:fill="FFFFFF"/>
            <w:vAlign w:val="center"/>
          </w:tcPr>
          <w:p w:rsidRPr="003257EE" w:rsidR="00B24A92" w:rsidP="000571AF" w:rsidRDefault="00B24A92" w14:paraId="70EEBED6" w14:textId="77777777">
            <w:pPr>
              <w:spacing w:line="240" w:lineRule="auto"/>
              <w:jc w:val="right"/>
              <w:rPr>
                <w:rFonts w:eastAsia="Times New Roman" w:cs="Calibri"/>
                <w:color w:val="000000"/>
                <w:sz w:val="16"/>
                <w:szCs w:val="16"/>
                <w:lang w:eastAsia="nl-NL"/>
              </w:rPr>
            </w:pPr>
          </w:p>
        </w:tc>
        <w:tc>
          <w:tcPr>
            <w:tcW w:w="401" w:type="pct"/>
            <w:tcBorders>
              <w:top w:val="nil"/>
              <w:left w:val="nil"/>
              <w:bottom w:val="nil"/>
              <w:right w:val="nil"/>
            </w:tcBorders>
            <w:shd w:val="clear" w:color="000000" w:fill="FFFFFF"/>
            <w:noWrap/>
            <w:vAlign w:val="center"/>
          </w:tcPr>
          <w:p w:rsidRPr="003257EE" w:rsidR="00B24A92" w:rsidP="000571AF" w:rsidRDefault="00B24A92" w14:paraId="121C0FA1"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 </w:t>
            </w:r>
          </w:p>
        </w:tc>
        <w:tc>
          <w:tcPr>
            <w:tcW w:w="453" w:type="pct"/>
            <w:tcBorders>
              <w:top w:val="nil"/>
              <w:left w:val="nil"/>
              <w:bottom w:val="nil"/>
              <w:right w:val="nil"/>
            </w:tcBorders>
            <w:shd w:val="clear" w:color="000000" w:fill="FFFFFF"/>
            <w:noWrap/>
            <w:vAlign w:val="center"/>
          </w:tcPr>
          <w:p w:rsidRPr="003257EE" w:rsidR="00B24A92" w:rsidP="000571AF" w:rsidRDefault="00B24A92" w14:paraId="59905EF1" w14:textId="77777777">
            <w:pPr>
              <w:spacing w:line="240" w:lineRule="auto"/>
              <w:jc w:val="right"/>
              <w:rPr>
                <w:rFonts w:eastAsia="Times New Roman" w:cs="Calibri"/>
                <w:color w:val="000000"/>
                <w:sz w:val="16"/>
                <w:szCs w:val="16"/>
                <w:lang w:eastAsia="nl-NL"/>
              </w:rPr>
            </w:pPr>
            <w:r>
              <w:rPr>
                <w:rFonts w:eastAsia="Times New Roman" w:cs="Calibri"/>
                <w:color w:val="000000"/>
                <w:sz w:val="16"/>
                <w:szCs w:val="16"/>
                <w:lang w:eastAsia="nl-NL"/>
              </w:rPr>
              <w:t>-1.059</w:t>
            </w:r>
          </w:p>
        </w:tc>
        <w:tc>
          <w:tcPr>
            <w:tcW w:w="453" w:type="pct"/>
            <w:tcBorders>
              <w:top w:val="nil"/>
              <w:left w:val="nil"/>
              <w:bottom w:val="nil"/>
              <w:right w:val="nil"/>
            </w:tcBorders>
            <w:shd w:val="clear" w:color="000000" w:fill="FFFFFF"/>
            <w:noWrap/>
            <w:vAlign w:val="center"/>
          </w:tcPr>
          <w:p w:rsidRPr="003257EE" w:rsidR="00B24A92" w:rsidP="000571AF" w:rsidRDefault="00B24A92" w14:paraId="12971A05" w14:textId="77777777">
            <w:pPr>
              <w:spacing w:line="240" w:lineRule="auto"/>
              <w:jc w:val="right"/>
              <w:rPr>
                <w:rFonts w:eastAsia="Times New Roman" w:cs="Calibri"/>
                <w:color w:val="000000"/>
                <w:sz w:val="16"/>
                <w:szCs w:val="16"/>
                <w:lang w:eastAsia="nl-NL"/>
              </w:rPr>
            </w:pPr>
          </w:p>
        </w:tc>
        <w:tc>
          <w:tcPr>
            <w:tcW w:w="418" w:type="pct"/>
            <w:tcBorders>
              <w:top w:val="nil"/>
              <w:left w:val="nil"/>
              <w:bottom w:val="nil"/>
              <w:right w:val="nil"/>
            </w:tcBorders>
            <w:shd w:val="clear" w:color="000000" w:fill="FFFFFF"/>
            <w:noWrap/>
            <w:vAlign w:val="center"/>
          </w:tcPr>
          <w:p w:rsidRPr="003257EE" w:rsidR="00B24A92" w:rsidP="000571AF" w:rsidRDefault="00B24A92" w14:paraId="49CDFCD2" w14:textId="77777777">
            <w:pPr>
              <w:spacing w:line="240" w:lineRule="auto"/>
              <w:jc w:val="right"/>
              <w:rPr>
                <w:rFonts w:eastAsia="Times New Roman" w:cs="Calibri"/>
                <w:color w:val="000000"/>
                <w:sz w:val="16"/>
                <w:szCs w:val="16"/>
                <w:lang w:eastAsia="nl-NL"/>
              </w:rPr>
            </w:pPr>
          </w:p>
        </w:tc>
        <w:tc>
          <w:tcPr>
            <w:tcW w:w="418" w:type="pct"/>
            <w:tcBorders>
              <w:top w:val="nil"/>
              <w:left w:val="nil"/>
              <w:bottom w:val="nil"/>
              <w:right w:val="nil"/>
            </w:tcBorders>
            <w:shd w:val="clear" w:color="000000" w:fill="FFFFFF"/>
            <w:vAlign w:val="center"/>
          </w:tcPr>
          <w:p w:rsidRPr="003257EE" w:rsidR="00B24A92" w:rsidP="000571AF" w:rsidRDefault="00B24A92" w14:paraId="7E68D74E" w14:textId="77777777">
            <w:pPr>
              <w:spacing w:line="240" w:lineRule="auto"/>
              <w:jc w:val="right"/>
              <w:rPr>
                <w:rFonts w:eastAsia="Times New Roman" w:cs="Calibri"/>
                <w:color w:val="000000"/>
                <w:sz w:val="16"/>
                <w:szCs w:val="16"/>
                <w:lang w:eastAsia="nl-NL"/>
              </w:rPr>
            </w:pPr>
          </w:p>
        </w:tc>
        <w:tc>
          <w:tcPr>
            <w:tcW w:w="508" w:type="pct"/>
            <w:tcBorders>
              <w:top w:val="nil"/>
              <w:left w:val="nil"/>
              <w:bottom w:val="nil"/>
              <w:right w:val="single" w:color="auto" w:sz="4" w:space="0"/>
            </w:tcBorders>
            <w:shd w:val="clear" w:color="000000" w:fill="FFFFFF"/>
            <w:noWrap/>
            <w:vAlign w:val="center"/>
          </w:tcPr>
          <w:p w:rsidRPr="003257EE" w:rsidR="00B24A92" w:rsidP="000571AF" w:rsidRDefault="00B24A92" w14:paraId="1718D56E" w14:textId="77777777">
            <w:pPr>
              <w:spacing w:line="240" w:lineRule="auto"/>
              <w:jc w:val="right"/>
              <w:rPr>
                <w:rFonts w:eastAsia="Times New Roman" w:cs="Calibri"/>
                <w:color w:val="000000"/>
                <w:sz w:val="16"/>
                <w:szCs w:val="16"/>
                <w:lang w:eastAsia="nl-NL"/>
              </w:rPr>
            </w:pPr>
          </w:p>
        </w:tc>
      </w:tr>
      <w:tr w:rsidRPr="003257EE" w:rsidR="00B24A92" w:rsidTr="000571AF" w14:paraId="394875BA" w14:textId="77777777">
        <w:trPr>
          <w:trHeight w:val="421"/>
        </w:trPr>
        <w:tc>
          <w:tcPr>
            <w:tcW w:w="1948" w:type="pct"/>
            <w:tcBorders>
              <w:top w:val="nil"/>
              <w:left w:val="single" w:color="auto" w:sz="4" w:space="0"/>
              <w:bottom w:val="nil"/>
              <w:right w:val="nil"/>
            </w:tcBorders>
            <w:shd w:val="clear" w:color="000000" w:fill="FFFFFF"/>
            <w:vAlign w:val="center"/>
          </w:tcPr>
          <w:p w:rsidR="00B24A92" w:rsidP="000571AF" w:rsidRDefault="00B24A92" w14:paraId="30D8B7AA"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Voortzetten tegenbewijsregeling</w:t>
            </w:r>
          </w:p>
        </w:tc>
        <w:tc>
          <w:tcPr>
            <w:tcW w:w="401" w:type="pct"/>
            <w:tcBorders>
              <w:top w:val="nil"/>
              <w:left w:val="nil"/>
              <w:bottom w:val="nil"/>
              <w:right w:val="nil"/>
            </w:tcBorders>
            <w:shd w:val="clear" w:color="000000" w:fill="FFFFFF"/>
            <w:vAlign w:val="center"/>
          </w:tcPr>
          <w:p w:rsidRPr="003257EE" w:rsidR="00B24A92" w:rsidP="000571AF" w:rsidRDefault="00B24A92" w14:paraId="050AC9F5" w14:textId="77777777">
            <w:pPr>
              <w:spacing w:line="240" w:lineRule="auto"/>
              <w:jc w:val="right"/>
              <w:rPr>
                <w:rFonts w:eastAsia="Times New Roman" w:cs="Calibri"/>
                <w:color w:val="000000"/>
                <w:sz w:val="16"/>
                <w:szCs w:val="16"/>
                <w:lang w:eastAsia="nl-NL"/>
              </w:rPr>
            </w:pPr>
          </w:p>
        </w:tc>
        <w:tc>
          <w:tcPr>
            <w:tcW w:w="401" w:type="pct"/>
            <w:tcBorders>
              <w:top w:val="nil"/>
              <w:left w:val="nil"/>
              <w:bottom w:val="nil"/>
              <w:right w:val="nil"/>
            </w:tcBorders>
            <w:shd w:val="clear" w:color="000000" w:fill="FFFFFF"/>
            <w:noWrap/>
            <w:vAlign w:val="center"/>
          </w:tcPr>
          <w:p w:rsidRPr="003257EE" w:rsidR="00B24A92" w:rsidP="000571AF" w:rsidRDefault="00B24A92" w14:paraId="09F25D47" w14:textId="77777777">
            <w:pPr>
              <w:spacing w:line="240" w:lineRule="auto"/>
              <w:jc w:val="right"/>
              <w:rPr>
                <w:rFonts w:eastAsia="Times New Roman" w:cs="Calibri"/>
                <w:color w:val="000000"/>
                <w:sz w:val="16"/>
                <w:szCs w:val="16"/>
                <w:lang w:eastAsia="nl-NL"/>
              </w:rPr>
            </w:pPr>
          </w:p>
        </w:tc>
        <w:tc>
          <w:tcPr>
            <w:tcW w:w="453" w:type="pct"/>
            <w:tcBorders>
              <w:top w:val="nil"/>
              <w:left w:val="nil"/>
              <w:bottom w:val="nil"/>
              <w:right w:val="nil"/>
            </w:tcBorders>
            <w:shd w:val="clear" w:color="000000" w:fill="FFFFFF"/>
            <w:noWrap/>
            <w:vAlign w:val="center"/>
          </w:tcPr>
          <w:p w:rsidRPr="003257EE" w:rsidR="00B24A92" w:rsidP="000571AF" w:rsidRDefault="00B24A92" w14:paraId="31F112C8" w14:textId="77777777">
            <w:pPr>
              <w:spacing w:line="240" w:lineRule="auto"/>
              <w:jc w:val="right"/>
              <w:rPr>
                <w:rFonts w:eastAsia="Times New Roman" w:cs="Calibri"/>
                <w:color w:val="000000"/>
                <w:sz w:val="16"/>
                <w:szCs w:val="16"/>
                <w:lang w:eastAsia="nl-NL"/>
              </w:rPr>
            </w:pPr>
            <w:r>
              <w:rPr>
                <w:rFonts w:eastAsia="Times New Roman" w:cs="Calibri"/>
                <w:color w:val="000000"/>
                <w:sz w:val="16"/>
                <w:szCs w:val="16"/>
                <w:lang w:eastAsia="nl-NL"/>
              </w:rPr>
              <w:t>-2.988</w:t>
            </w:r>
          </w:p>
        </w:tc>
        <w:tc>
          <w:tcPr>
            <w:tcW w:w="453" w:type="pct"/>
            <w:tcBorders>
              <w:top w:val="nil"/>
              <w:left w:val="nil"/>
              <w:bottom w:val="nil"/>
              <w:right w:val="nil"/>
            </w:tcBorders>
            <w:shd w:val="clear" w:color="000000" w:fill="FFFFFF"/>
            <w:noWrap/>
            <w:vAlign w:val="center"/>
          </w:tcPr>
          <w:p w:rsidRPr="003257EE" w:rsidR="00B24A92" w:rsidP="000571AF" w:rsidRDefault="00B24A92" w14:paraId="086A6005" w14:textId="77777777">
            <w:pPr>
              <w:spacing w:line="240" w:lineRule="auto"/>
              <w:jc w:val="right"/>
              <w:rPr>
                <w:rFonts w:eastAsia="Times New Roman" w:cs="Calibri"/>
                <w:color w:val="000000"/>
                <w:sz w:val="16"/>
                <w:szCs w:val="16"/>
                <w:lang w:eastAsia="nl-NL"/>
              </w:rPr>
            </w:pPr>
          </w:p>
        </w:tc>
        <w:tc>
          <w:tcPr>
            <w:tcW w:w="418" w:type="pct"/>
            <w:tcBorders>
              <w:top w:val="nil"/>
              <w:left w:val="nil"/>
              <w:bottom w:val="nil"/>
              <w:right w:val="nil"/>
            </w:tcBorders>
            <w:shd w:val="clear" w:color="000000" w:fill="FFFFFF"/>
            <w:noWrap/>
            <w:vAlign w:val="center"/>
          </w:tcPr>
          <w:p w:rsidRPr="003257EE" w:rsidR="00B24A92" w:rsidP="000571AF" w:rsidRDefault="00B24A92" w14:paraId="73F25FBA" w14:textId="77777777">
            <w:pPr>
              <w:spacing w:line="240" w:lineRule="auto"/>
              <w:jc w:val="right"/>
              <w:rPr>
                <w:rFonts w:eastAsia="Times New Roman" w:cs="Calibri"/>
                <w:color w:val="000000"/>
                <w:sz w:val="16"/>
                <w:szCs w:val="16"/>
                <w:lang w:eastAsia="nl-NL"/>
              </w:rPr>
            </w:pPr>
          </w:p>
        </w:tc>
        <w:tc>
          <w:tcPr>
            <w:tcW w:w="418" w:type="pct"/>
            <w:tcBorders>
              <w:top w:val="nil"/>
              <w:left w:val="nil"/>
              <w:bottom w:val="nil"/>
              <w:right w:val="nil"/>
            </w:tcBorders>
            <w:shd w:val="clear" w:color="000000" w:fill="FFFFFF"/>
            <w:vAlign w:val="center"/>
          </w:tcPr>
          <w:p w:rsidRPr="003257EE" w:rsidR="00B24A92" w:rsidP="000571AF" w:rsidRDefault="00B24A92" w14:paraId="344F6073" w14:textId="77777777">
            <w:pPr>
              <w:spacing w:line="240" w:lineRule="auto"/>
              <w:jc w:val="right"/>
              <w:rPr>
                <w:rFonts w:eastAsia="Times New Roman" w:cs="Calibri"/>
                <w:color w:val="000000"/>
                <w:sz w:val="16"/>
                <w:szCs w:val="16"/>
                <w:lang w:eastAsia="nl-NL"/>
              </w:rPr>
            </w:pPr>
          </w:p>
        </w:tc>
        <w:tc>
          <w:tcPr>
            <w:tcW w:w="508" w:type="pct"/>
            <w:tcBorders>
              <w:top w:val="nil"/>
              <w:left w:val="nil"/>
              <w:bottom w:val="nil"/>
              <w:right w:val="single" w:color="auto" w:sz="4" w:space="0"/>
            </w:tcBorders>
            <w:shd w:val="clear" w:color="000000" w:fill="FFFFFF"/>
            <w:noWrap/>
            <w:vAlign w:val="center"/>
          </w:tcPr>
          <w:p w:rsidRPr="003257EE" w:rsidR="00B24A92" w:rsidP="000571AF" w:rsidRDefault="00B24A92" w14:paraId="6433FB9C" w14:textId="77777777">
            <w:pPr>
              <w:spacing w:line="240" w:lineRule="auto"/>
              <w:jc w:val="right"/>
              <w:rPr>
                <w:rFonts w:eastAsia="Times New Roman" w:cs="Calibri"/>
                <w:color w:val="000000"/>
                <w:sz w:val="16"/>
                <w:szCs w:val="16"/>
                <w:lang w:eastAsia="nl-NL"/>
              </w:rPr>
            </w:pPr>
          </w:p>
        </w:tc>
      </w:tr>
      <w:tr w:rsidRPr="003257EE" w:rsidR="00B24A92" w:rsidTr="000571AF" w14:paraId="53402369" w14:textId="77777777">
        <w:trPr>
          <w:trHeight w:val="421"/>
        </w:trPr>
        <w:tc>
          <w:tcPr>
            <w:tcW w:w="1948" w:type="pct"/>
            <w:tcBorders>
              <w:top w:val="nil"/>
              <w:left w:val="single" w:color="auto" w:sz="4" w:space="0"/>
              <w:bottom w:val="nil"/>
              <w:right w:val="nil"/>
            </w:tcBorders>
            <w:shd w:val="clear" w:color="000000" w:fill="FFFFFF"/>
            <w:vAlign w:val="center"/>
          </w:tcPr>
          <w:p w:rsidR="00B24A92" w:rsidP="000571AF" w:rsidRDefault="00B24A92" w14:paraId="2BD9232F"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Vermogenswinstbelasting voor financiële instrumenten</w:t>
            </w:r>
          </w:p>
        </w:tc>
        <w:tc>
          <w:tcPr>
            <w:tcW w:w="401" w:type="pct"/>
            <w:tcBorders>
              <w:top w:val="nil"/>
              <w:left w:val="nil"/>
              <w:bottom w:val="nil"/>
              <w:right w:val="nil"/>
            </w:tcBorders>
            <w:shd w:val="clear" w:color="000000" w:fill="FFFFFF"/>
            <w:vAlign w:val="center"/>
          </w:tcPr>
          <w:p w:rsidRPr="003257EE" w:rsidR="00B24A92" w:rsidP="000571AF" w:rsidRDefault="00B24A92" w14:paraId="442787E8" w14:textId="77777777">
            <w:pPr>
              <w:spacing w:line="240" w:lineRule="auto"/>
              <w:jc w:val="right"/>
              <w:rPr>
                <w:rFonts w:eastAsia="Times New Roman" w:cs="Calibri"/>
                <w:color w:val="000000"/>
                <w:sz w:val="16"/>
                <w:szCs w:val="16"/>
                <w:lang w:eastAsia="nl-NL"/>
              </w:rPr>
            </w:pPr>
          </w:p>
        </w:tc>
        <w:tc>
          <w:tcPr>
            <w:tcW w:w="401" w:type="pct"/>
            <w:tcBorders>
              <w:top w:val="nil"/>
              <w:left w:val="nil"/>
              <w:bottom w:val="nil"/>
              <w:right w:val="nil"/>
            </w:tcBorders>
            <w:shd w:val="clear" w:color="000000" w:fill="FFFFFF"/>
            <w:noWrap/>
            <w:vAlign w:val="center"/>
          </w:tcPr>
          <w:p w:rsidRPr="003257EE" w:rsidR="00B24A92" w:rsidP="000571AF" w:rsidRDefault="00B24A92" w14:paraId="3B95B436" w14:textId="77777777">
            <w:pPr>
              <w:spacing w:line="240" w:lineRule="auto"/>
              <w:jc w:val="right"/>
              <w:rPr>
                <w:rFonts w:eastAsia="Times New Roman" w:cs="Calibri"/>
                <w:color w:val="000000"/>
                <w:sz w:val="16"/>
                <w:szCs w:val="16"/>
                <w:lang w:eastAsia="nl-NL"/>
              </w:rPr>
            </w:pPr>
            <w:r w:rsidRPr="003257EE">
              <w:rPr>
                <w:rFonts w:eastAsia="Times New Roman" w:cs="Calibri"/>
                <w:color w:val="FFFFFF"/>
                <w:sz w:val="16"/>
                <w:szCs w:val="16"/>
                <w:lang w:eastAsia="nl-NL"/>
              </w:rPr>
              <w:t> </w:t>
            </w:r>
          </w:p>
        </w:tc>
        <w:tc>
          <w:tcPr>
            <w:tcW w:w="453" w:type="pct"/>
            <w:tcBorders>
              <w:top w:val="nil"/>
              <w:left w:val="nil"/>
              <w:bottom w:val="nil"/>
              <w:right w:val="nil"/>
            </w:tcBorders>
            <w:shd w:val="clear" w:color="000000" w:fill="FFFFFF"/>
            <w:noWrap/>
            <w:vAlign w:val="center"/>
          </w:tcPr>
          <w:p w:rsidRPr="003257EE" w:rsidR="00B24A92" w:rsidP="000571AF" w:rsidRDefault="00B24A92" w14:paraId="792F48CA" w14:textId="77777777">
            <w:pPr>
              <w:spacing w:line="240" w:lineRule="auto"/>
              <w:jc w:val="right"/>
              <w:rPr>
                <w:rFonts w:eastAsia="Times New Roman" w:cs="Calibri"/>
                <w:color w:val="000000"/>
                <w:sz w:val="16"/>
                <w:szCs w:val="16"/>
                <w:lang w:eastAsia="nl-NL"/>
              </w:rPr>
            </w:pPr>
          </w:p>
        </w:tc>
        <w:tc>
          <w:tcPr>
            <w:tcW w:w="453" w:type="pct"/>
            <w:tcBorders>
              <w:top w:val="nil"/>
              <w:left w:val="nil"/>
              <w:bottom w:val="nil"/>
              <w:right w:val="nil"/>
            </w:tcBorders>
            <w:shd w:val="clear" w:color="000000" w:fill="FFFFFF"/>
            <w:noWrap/>
            <w:vAlign w:val="center"/>
          </w:tcPr>
          <w:p w:rsidRPr="003257EE" w:rsidR="00B24A92" w:rsidP="000571AF" w:rsidRDefault="00B24A92" w14:paraId="26087109" w14:textId="77777777">
            <w:pPr>
              <w:spacing w:line="240" w:lineRule="auto"/>
              <w:jc w:val="right"/>
              <w:rPr>
                <w:rFonts w:eastAsia="Times New Roman" w:cs="Calibri"/>
                <w:color w:val="000000"/>
                <w:sz w:val="16"/>
                <w:szCs w:val="16"/>
                <w:lang w:eastAsia="nl-NL"/>
              </w:rPr>
            </w:pPr>
            <w:r>
              <w:rPr>
                <w:rFonts w:eastAsia="Times New Roman" w:cs="Calibri"/>
                <w:color w:val="000000"/>
                <w:sz w:val="16"/>
                <w:szCs w:val="16"/>
                <w:lang w:eastAsia="nl-NL"/>
              </w:rPr>
              <w:t>-3.653</w:t>
            </w:r>
          </w:p>
        </w:tc>
        <w:tc>
          <w:tcPr>
            <w:tcW w:w="418" w:type="pct"/>
            <w:tcBorders>
              <w:top w:val="nil"/>
              <w:left w:val="nil"/>
              <w:bottom w:val="nil"/>
              <w:right w:val="nil"/>
            </w:tcBorders>
            <w:shd w:val="clear" w:color="000000" w:fill="FFFFFF"/>
            <w:noWrap/>
            <w:vAlign w:val="center"/>
          </w:tcPr>
          <w:p w:rsidRPr="003257EE" w:rsidR="00B24A92" w:rsidP="000571AF" w:rsidRDefault="00B24A92" w14:paraId="2CE51F4B" w14:textId="77777777">
            <w:pPr>
              <w:spacing w:line="240" w:lineRule="auto"/>
              <w:jc w:val="right"/>
              <w:rPr>
                <w:rFonts w:eastAsia="Times New Roman" w:cs="Calibri"/>
                <w:color w:val="000000"/>
                <w:sz w:val="16"/>
                <w:szCs w:val="16"/>
                <w:lang w:eastAsia="nl-NL"/>
              </w:rPr>
            </w:pPr>
            <w:r>
              <w:rPr>
                <w:rFonts w:eastAsia="Times New Roman" w:cs="Calibri"/>
                <w:color w:val="000000"/>
                <w:sz w:val="16"/>
                <w:szCs w:val="16"/>
                <w:lang w:eastAsia="nl-NL"/>
              </w:rPr>
              <w:t>-2.511</w:t>
            </w:r>
          </w:p>
        </w:tc>
        <w:tc>
          <w:tcPr>
            <w:tcW w:w="418" w:type="pct"/>
            <w:tcBorders>
              <w:top w:val="nil"/>
              <w:left w:val="nil"/>
              <w:bottom w:val="nil"/>
              <w:right w:val="nil"/>
            </w:tcBorders>
            <w:shd w:val="clear" w:color="000000" w:fill="FFFFFF"/>
            <w:vAlign w:val="center"/>
          </w:tcPr>
          <w:p w:rsidRPr="003257EE" w:rsidR="00B24A92" w:rsidP="000571AF" w:rsidRDefault="00B24A92" w14:paraId="6CEE3C7C" w14:textId="77777777">
            <w:pPr>
              <w:spacing w:line="240" w:lineRule="auto"/>
              <w:jc w:val="right"/>
              <w:rPr>
                <w:rFonts w:eastAsia="Times New Roman" w:cs="Calibri"/>
                <w:color w:val="000000"/>
                <w:sz w:val="16"/>
                <w:szCs w:val="16"/>
                <w:lang w:eastAsia="nl-NL"/>
              </w:rPr>
            </w:pPr>
            <w:r>
              <w:rPr>
                <w:rFonts w:eastAsia="Times New Roman" w:cs="Calibri"/>
                <w:color w:val="000000"/>
                <w:sz w:val="16"/>
                <w:szCs w:val="16"/>
                <w:lang w:eastAsia="nl-NL"/>
              </w:rPr>
              <w:t>-1.989</w:t>
            </w:r>
          </w:p>
        </w:tc>
        <w:tc>
          <w:tcPr>
            <w:tcW w:w="508" w:type="pct"/>
            <w:tcBorders>
              <w:top w:val="nil"/>
              <w:left w:val="nil"/>
              <w:bottom w:val="nil"/>
              <w:right w:val="single" w:color="auto" w:sz="4" w:space="0"/>
            </w:tcBorders>
            <w:shd w:val="clear" w:color="000000" w:fill="FFFFFF"/>
            <w:noWrap/>
            <w:vAlign w:val="center"/>
          </w:tcPr>
          <w:p w:rsidRPr="003257EE" w:rsidR="00B24A92" w:rsidP="000571AF" w:rsidRDefault="00B24A92" w14:paraId="0A9362C0" w14:textId="77777777">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w:t>
            </w:r>
            <w:r>
              <w:rPr>
                <w:rFonts w:eastAsia="Times New Roman" w:cs="Calibri"/>
                <w:color w:val="000000"/>
                <w:sz w:val="16"/>
                <w:szCs w:val="16"/>
                <w:lang w:eastAsia="nl-NL"/>
              </w:rPr>
              <w:t>9</w:t>
            </w:r>
            <w:r w:rsidRPr="003257EE">
              <w:rPr>
                <w:rFonts w:eastAsia="Times New Roman" w:cs="Calibri"/>
                <w:color w:val="000000"/>
                <w:sz w:val="16"/>
                <w:szCs w:val="16"/>
                <w:lang w:eastAsia="nl-NL"/>
              </w:rPr>
              <w:t>0</w:t>
            </w:r>
          </w:p>
        </w:tc>
      </w:tr>
      <w:tr w:rsidRPr="003257EE" w:rsidR="00B24A92" w:rsidTr="000571AF" w14:paraId="50E30ED5" w14:textId="77777777">
        <w:trPr>
          <w:trHeight w:val="421"/>
        </w:trPr>
        <w:tc>
          <w:tcPr>
            <w:tcW w:w="1948" w:type="pct"/>
            <w:tcBorders>
              <w:top w:val="nil"/>
              <w:left w:val="single" w:color="auto" w:sz="4" w:space="0"/>
              <w:bottom w:val="nil"/>
              <w:right w:val="nil"/>
            </w:tcBorders>
            <w:shd w:val="clear" w:color="000000" w:fill="FFFFFF"/>
            <w:vAlign w:val="center"/>
          </w:tcPr>
          <w:p w:rsidR="00B24A92" w:rsidP="000571AF" w:rsidRDefault="00B24A92" w14:paraId="5E9B4DCE"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Verlaging box 2-tarieven</w:t>
            </w:r>
          </w:p>
        </w:tc>
        <w:tc>
          <w:tcPr>
            <w:tcW w:w="401" w:type="pct"/>
            <w:tcBorders>
              <w:top w:val="nil"/>
              <w:left w:val="nil"/>
              <w:bottom w:val="nil"/>
              <w:right w:val="nil"/>
            </w:tcBorders>
            <w:shd w:val="clear" w:color="000000" w:fill="FFFFFF"/>
            <w:vAlign w:val="center"/>
          </w:tcPr>
          <w:p w:rsidRPr="003257EE" w:rsidR="00B24A92" w:rsidP="000571AF" w:rsidRDefault="00B24A92" w14:paraId="0704CFCD" w14:textId="77777777">
            <w:pPr>
              <w:spacing w:line="240" w:lineRule="auto"/>
              <w:jc w:val="right"/>
              <w:rPr>
                <w:rFonts w:eastAsia="Times New Roman" w:cs="Calibri"/>
                <w:color w:val="000000"/>
                <w:sz w:val="16"/>
                <w:szCs w:val="16"/>
                <w:lang w:eastAsia="nl-NL"/>
              </w:rPr>
            </w:pPr>
          </w:p>
        </w:tc>
        <w:tc>
          <w:tcPr>
            <w:tcW w:w="401" w:type="pct"/>
            <w:tcBorders>
              <w:top w:val="nil"/>
              <w:left w:val="nil"/>
              <w:bottom w:val="nil"/>
              <w:right w:val="nil"/>
            </w:tcBorders>
            <w:shd w:val="clear" w:color="000000" w:fill="FFFFFF"/>
            <w:noWrap/>
            <w:vAlign w:val="center"/>
          </w:tcPr>
          <w:p w:rsidRPr="003257EE" w:rsidR="00B24A92" w:rsidP="000571AF" w:rsidRDefault="00B24A92" w14:paraId="5EA49787" w14:textId="77777777">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w:t>
            </w:r>
            <w:r>
              <w:rPr>
                <w:rFonts w:eastAsia="Times New Roman" w:cs="Calibri"/>
                <w:color w:val="000000"/>
                <w:sz w:val="16"/>
                <w:szCs w:val="16"/>
                <w:lang w:eastAsia="nl-NL"/>
              </w:rPr>
              <w:t>575</w:t>
            </w:r>
          </w:p>
        </w:tc>
        <w:tc>
          <w:tcPr>
            <w:tcW w:w="453" w:type="pct"/>
            <w:tcBorders>
              <w:top w:val="nil"/>
              <w:left w:val="nil"/>
              <w:bottom w:val="nil"/>
              <w:right w:val="nil"/>
            </w:tcBorders>
            <w:shd w:val="clear" w:color="000000" w:fill="FFFFFF"/>
            <w:noWrap/>
            <w:vAlign w:val="center"/>
          </w:tcPr>
          <w:p w:rsidRPr="003257EE" w:rsidR="00B24A92" w:rsidP="000571AF" w:rsidRDefault="00B24A92" w14:paraId="6B560EC0" w14:textId="77777777">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w:t>
            </w:r>
            <w:r>
              <w:rPr>
                <w:rFonts w:eastAsia="Times New Roman" w:cs="Calibri"/>
                <w:color w:val="000000"/>
                <w:sz w:val="16"/>
                <w:szCs w:val="16"/>
                <w:lang w:eastAsia="nl-NL"/>
              </w:rPr>
              <w:t>575</w:t>
            </w:r>
          </w:p>
        </w:tc>
        <w:tc>
          <w:tcPr>
            <w:tcW w:w="453" w:type="pct"/>
            <w:tcBorders>
              <w:top w:val="nil"/>
              <w:left w:val="nil"/>
              <w:bottom w:val="nil"/>
              <w:right w:val="nil"/>
            </w:tcBorders>
            <w:shd w:val="clear" w:color="000000" w:fill="FFFFFF"/>
            <w:noWrap/>
            <w:vAlign w:val="center"/>
          </w:tcPr>
          <w:p w:rsidRPr="003257EE" w:rsidR="00B24A92" w:rsidP="000571AF" w:rsidRDefault="00B24A92" w14:paraId="5F80CD7D" w14:textId="77777777">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w:t>
            </w:r>
            <w:r>
              <w:rPr>
                <w:rFonts w:eastAsia="Times New Roman" w:cs="Calibri"/>
                <w:color w:val="000000"/>
                <w:sz w:val="16"/>
                <w:szCs w:val="16"/>
                <w:lang w:eastAsia="nl-NL"/>
              </w:rPr>
              <w:t>575</w:t>
            </w:r>
          </w:p>
        </w:tc>
        <w:tc>
          <w:tcPr>
            <w:tcW w:w="418" w:type="pct"/>
            <w:tcBorders>
              <w:top w:val="nil"/>
              <w:left w:val="nil"/>
              <w:bottom w:val="nil"/>
              <w:right w:val="nil"/>
            </w:tcBorders>
            <w:shd w:val="clear" w:color="000000" w:fill="FFFFFF"/>
            <w:noWrap/>
            <w:vAlign w:val="center"/>
          </w:tcPr>
          <w:p w:rsidRPr="003257EE" w:rsidR="00B24A92" w:rsidP="000571AF" w:rsidRDefault="00B24A92" w14:paraId="6B582A6B" w14:textId="77777777">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w:t>
            </w:r>
            <w:r>
              <w:rPr>
                <w:rFonts w:eastAsia="Times New Roman" w:cs="Calibri"/>
                <w:color w:val="000000"/>
                <w:sz w:val="16"/>
                <w:szCs w:val="16"/>
                <w:lang w:eastAsia="nl-NL"/>
              </w:rPr>
              <w:t>575</w:t>
            </w:r>
          </w:p>
        </w:tc>
        <w:tc>
          <w:tcPr>
            <w:tcW w:w="418" w:type="pct"/>
            <w:tcBorders>
              <w:top w:val="nil"/>
              <w:left w:val="nil"/>
              <w:bottom w:val="nil"/>
              <w:right w:val="nil"/>
            </w:tcBorders>
            <w:shd w:val="clear" w:color="000000" w:fill="FFFFFF"/>
            <w:vAlign w:val="center"/>
          </w:tcPr>
          <w:p w:rsidRPr="003257EE" w:rsidR="00B24A92" w:rsidP="000571AF" w:rsidRDefault="00B24A92" w14:paraId="30604E4C" w14:textId="77777777">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 </w:t>
            </w:r>
          </w:p>
        </w:tc>
        <w:tc>
          <w:tcPr>
            <w:tcW w:w="508" w:type="pct"/>
            <w:tcBorders>
              <w:top w:val="nil"/>
              <w:left w:val="nil"/>
              <w:bottom w:val="nil"/>
              <w:right w:val="single" w:color="auto" w:sz="4" w:space="0"/>
            </w:tcBorders>
            <w:shd w:val="clear" w:color="000000" w:fill="FFFFFF"/>
            <w:noWrap/>
            <w:vAlign w:val="center"/>
          </w:tcPr>
          <w:p w:rsidRPr="003257EE" w:rsidR="00B24A92" w:rsidP="000571AF" w:rsidRDefault="00B24A92" w14:paraId="79A88429" w14:textId="77777777">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 </w:t>
            </w:r>
          </w:p>
        </w:tc>
      </w:tr>
      <w:tr w:rsidRPr="003257EE" w:rsidR="00B24A92" w:rsidTr="000571AF" w14:paraId="7BD4CC58" w14:textId="77777777">
        <w:trPr>
          <w:trHeight w:val="632"/>
        </w:trPr>
        <w:tc>
          <w:tcPr>
            <w:tcW w:w="1948" w:type="pct"/>
            <w:tcBorders>
              <w:top w:val="nil"/>
              <w:left w:val="single" w:color="auto" w:sz="4" w:space="0"/>
              <w:bottom w:val="nil"/>
              <w:right w:val="nil"/>
            </w:tcBorders>
            <w:shd w:val="clear" w:color="000000" w:fill="FFFFFF"/>
            <w:vAlign w:val="center"/>
            <w:hideMark/>
          </w:tcPr>
          <w:p w:rsidRPr="003257EE" w:rsidR="00B24A92" w:rsidP="000571AF" w:rsidRDefault="00B24A92" w14:paraId="31BCD79F"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Verlaging drempel excessief lenen</w:t>
            </w:r>
            <w:r w:rsidRPr="003257EE">
              <w:rPr>
                <w:rFonts w:eastAsia="Times New Roman" w:cs="Calibri"/>
                <w:color w:val="000000"/>
                <w:sz w:val="16"/>
                <w:szCs w:val="16"/>
                <w:lang w:eastAsia="nl-NL"/>
              </w:rPr>
              <w:t xml:space="preserve"> </w:t>
            </w:r>
          </w:p>
        </w:tc>
        <w:tc>
          <w:tcPr>
            <w:tcW w:w="401" w:type="pct"/>
            <w:tcBorders>
              <w:top w:val="nil"/>
              <w:left w:val="nil"/>
              <w:bottom w:val="nil"/>
              <w:right w:val="nil"/>
            </w:tcBorders>
            <w:shd w:val="clear" w:color="000000" w:fill="FFFFFF"/>
            <w:vAlign w:val="center"/>
          </w:tcPr>
          <w:p w:rsidRPr="003257EE" w:rsidR="00B24A92" w:rsidP="000571AF" w:rsidRDefault="00B24A92" w14:paraId="34A8CB39" w14:textId="77777777">
            <w:pPr>
              <w:spacing w:line="240" w:lineRule="auto"/>
              <w:jc w:val="right"/>
              <w:rPr>
                <w:rFonts w:eastAsia="Times New Roman" w:cs="Calibri"/>
                <w:color w:val="000000"/>
                <w:sz w:val="16"/>
                <w:szCs w:val="16"/>
                <w:lang w:eastAsia="nl-NL"/>
              </w:rPr>
            </w:pPr>
          </w:p>
        </w:tc>
        <w:tc>
          <w:tcPr>
            <w:tcW w:w="401" w:type="pct"/>
            <w:tcBorders>
              <w:top w:val="nil"/>
              <w:left w:val="nil"/>
              <w:bottom w:val="nil"/>
              <w:right w:val="nil"/>
            </w:tcBorders>
            <w:shd w:val="clear" w:color="000000" w:fill="FFFFFF"/>
            <w:noWrap/>
            <w:vAlign w:val="center"/>
            <w:hideMark/>
          </w:tcPr>
          <w:p w:rsidRPr="003257EE" w:rsidR="00B24A92" w:rsidP="000571AF" w:rsidRDefault="00B24A92" w14:paraId="4A892917" w14:textId="77777777">
            <w:pPr>
              <w:spacing w:line="240" w:lineRule="auto"/>
              <w:jc w:val="right"/>
              <w:rPr>
                <w:rFonts w:eastAsia="Times New Roman" w:cs="Calibri"/>
                <w:color w:val="000000"/>
                <w:sz w:val="16"/>
                <w:szCs w:val="16"/>
                <w:lang w:eastAsia="nl-NL"/>
              </w:rPr>
            </w:pPr>
            <w:r>
              <w:rPr>
                <w:rFonts w:eastAsia="Times New Roman" w:cs="Calibri"/>
                <w:color w:val="000000"/>
                <w:sz w:val="16"/>
                <w:szCs w:val="16"/>
                <w:lang w:eastAsia="nl-NL"/>
              </w:rPr>
              <w:t>476</w:t>
            </w:r>
          </w:p>
        </w:tc>
        <w:tc>
          <w:tcPr>
            <w:tcW w:w="453" w:type="pct"/>
            <w:tcBorders>
              <w:top w:val="nil"/>
              <w:left w:val="nil"/>
              <w:bottom w:val="nil"/>
              <w:right w:val="nil"/>
            </w:tcBorders>
            <w:shd w:val="clear" w:color="000000" w:fill="FFFFFF"/>
            <w:noWrap/>
            <w:vAlign w:val="center"/>
            <w:hideMark/>
          </w:tcPr>
          <w:p w:rsidRPr="003257EE" w:rsidR="00B24A92" w:rsidP="000571AF" w:rsidRDefault="00B24A92" w14:paraId="0AFA39F7" w14:textId="77777777">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6</w:t>
            </w:r>
            <w:r>
              <w:rPr>
                <w:rFonts w:eastAsia="Times New Roman" w:cs="Calibri"/>
                <w:color w:val="000000"/>
                <w:sz w:val="16"/>
                <w:szCs w:val="16"/>
                <w:lang w:eastAsia="nl-NL"/>
              </w:rPr>
              <w:t>03</w:t>
            </w:r>
          </w:p>
        </w:tc>
        <w:tc>
          <w:tcPr>
            <w:tcW w:w="453" w:type="pct"/>
            <w:tcBorders>
              <w:top w:val="nil"/>
              <w:left w:val="nil"/>
              <w:bottom w:val="nil"/>
              <w:right w:val="nil"/>
            </w:tcBorders>
            <w:shd w:val="clear" w:color="000000" w:fill="FFFFFF"/>
            <w:noWrap/>
            <w:vAlign w:val="center"/>
            <w:hideMark/>
          </w:tcPr>
          <w:p w:rsidRPr="003257EE" w:rsidR="00B24A92" w:rsidP="000571AF" w:rsidRDefault="00B24A92" w14:paraId="3C8E6DB5" w14:textId="77777777">
            <w:pPr>
              <w:spacing w:line="240" w:lineRule="auto"/>
              <w:jc w:val="right"/>
              <w:rPr>
                <w:rFonts w:eastAsia="Times New Roman" w:cs="Calibri"/>
                <w:color w:val="000000"/>
                <w:sz w:val="16"/>
                <w:szCs w:val="16"/>
                <w:lang w:eastAsia="nl-NL"/>
              </w:rPr>
            </w:pPr>
            <w:r>
              <w:rPr>
                <w:rFonts w:eastAsia="Times New Roman" w:cs="Calibri"/>
                <w:color w:val="000000"/>
                <w:sz w:val="16"/>
                <w:szCs w:val="16"/>
                <w:lang w:eastAsia="nl-NL"/>
              </w:rPr>
              <w:t>839</w:t>
            </w:r>
          </w:p>
        </w:tc>
        <w:tc>
          <w:tcPr>
            <w:tcW w:w="418" w:type="pct"/>
            <w:tcBorders>
              <w:top w:val="nil"/>
              <w:left w:val="nil"/>
              <w:bottom w:val="nil"/>
              <w:right w:val="nil"/>
            </w:tcBorders>
            <w:shd w:val="clear" w:color="000000" w:fill="FFFFFF"/>
            <w:noWrap/>
            <w:vAlign w:val="center"/>
            <w:hideMark/>
          </w:tcPr>
          <w:p w:rsidRPr="003257EE" w:rsidR="00B24A92" w:rsidP="000571AF" w:rsidRDefault="00B24A92" w14:paraId="3F137C57" w14:textId="2F72B3EA">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1</w:t>
            </w:r>
            <w:r w:rsidR="00EA7AB6">
              <w:rPr>
                <w:rFonts w:eastAsia="Times New Roman" w:cs="Calibri"/>
                <w:color w:val="000000"/>
                <w:sz w:val="16"/>
                <w:szCs w:val="16"/>
                <w:lang w:eastAsia="nl-NL"/>
              </w:rPr>
              <w:t>.</w:t>
            </w:r>
            <w:r>
              <w:rPr>
                <w:rFonts w:eastAsia="Times New Roman" w:cs="Calibri"/>
                <w:color w:val="000000"/>
                <w:sz w:val="16"/>
                <w:szCs w:val="16"/>
                <w:lang w:eastAsia="nl-NL"/>
              </w:rPr>
              <w:t>0</w:t>
            </w:r>
            <w:r w:rsidRPr="003257EE">
              <w:rPr>
                <w:rFonts w:eastAsia="Times New Roman" w:cs="Calibri"/>
                <w:color w:val="000000"/>
                <w:sz w:val="16"/>
                <w:szCs w:val="16"/>
                <w:lang w:eastAsia="nl-NL"/>
              </w:rPr>
              <w:t>4</w:t>
            </w:r>
            <w:r>
              <w:rPr>
                <w:rFonts w:eastAsia="Times New Roman" w:cs="Calibri"/>
                <w:color w:val="000000"/>
                <w:sz w:val="16"/>
                <w:szCs w:val="16"/>
                <w:lang w:eastAsia="nl-NL"/>
              </w:rPr>
              <w:t>9</w:t>
            </w:r>
          </w:p>
        </w:tc>
        <w:tc>
          <w:tcPr>
            <w:tcW w:w="418" w:type="pct"/>
            <w:tcBorders>
              <w:top w:val="nil"/>
              <w:left w:val="nil"/>
              <w:bottom w:val="nil"/>
              <w:right w:val="nil"/>
            </w:tcBorders>
            <w:shd w:val="clear" w:color="000000" w:fill="FFFFFF"/>
            <w:noWrap/>
            <w:vAlign w:val="center"/>
            <w:hideMark/>
          </w:tcPr>
          <w:p w:rsidRPr="003257EE" w:rsidR="00B24A92" w:rsidP="000571AF" w:rsidRDefault="00B24A92" w14:paraId="6995E94C" w14:textId="02AE9F83">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1</w:t>
            </w:r>
            <w:r w:rsidR="00EA7AB6">
              <w:rPr>
                <w:rFonts w:eastAsia="Times New Roman" w:cs="Calibri"/>
                <w:color w:val="000000"/>
                <w:sz w:val="16"/>
                <w:szCs w:val="16"/>
                <w:lang w:eastAsia="nl-NL"/>
              </w:rPr>
              <w:t>.</w:t>
            </w:r>
            <w:r>
              <w:rPr>
                <w:rFonts w:eastAsia="Times New Roman" w:cs="Calibri"/>
                <w:color w:val="000000"/>
                <w:sz w:val="16"/>
                <w:szCs w:val="16"/>
                <w:lang w:eastAsia="nl-NL"/>
              </w:rPr>
              <w:t>410</w:t>
            </w:r>
          </w:p>
        </w:tc>
        <w:tc>
          <w:tcPr>
            <w:tcW w:w="508" w:type="pct"/>
            <w:tcBorders>
              <w:top w:val="nil"/>
              <w:left w:val="nil"/>
              <w:bottom w:val="nil"/>
              <w:right w:val="single" w:color="auto" w:sz="4" w:space="0"/>
            </w:tcBorders>
            <w:shd w:val="clear" w:color="000000" w:fill="FFFFFF"/>
            <w:noWrap/>
            <w:vAlign w:val="center"/>
            <w:hideMark/>
          </w:tcPr>
          <w:p w:rsidRPr="003257EE" w:rsidR="00B24A92" w:rsidP="000571AF" w:rsidRDefault="00B24A92" w14:paraId="372404B1" w14:textId="77777777">
            <w:pPr>
              <w:spacing w:line="240" w:lineRule="auto"/>
              <w:jc w:val="right"/>
              <w:rPr>
                <w:rFonts w:eastAsia="Times New Roman" w:cs="Calibri"/>
                <w:color w:val="000000"/>
                <w:sz w:val="16"/>
                <w:szCs w:val="16"/>
                <w:lang w:eastAsia="nl-NL"/>
              </w:rPr>
            </w:pPr>
            <w:r w:rsidRPr="003257EE">
              <w:rPr>
                <w:rFonts w:eastAsia="Times New Roman" w:cs="Calibri"/>
                <w:color w:val="000000"/>
                <w:sz w:val="16"/>
                <w:szCs w:val="16"/>
                <w:lang w:eastAsia="nl-NL"/>
              </w:rPr>
              <w:t>1</w:t>
            </w:r>
            <w:r>
              <w:rPr>
                <w:rFonts w:eastAsia="Times New Roman" w:cs="Calibri"/>
                <w:color w:val="000000"/>
                <w:sz w:val="16"/>
                <w:szCs w:val="16"/>
                <w:lang w:eastAsia="nl-NL"/>
              </w:rPr>
              <w:t>3</w:t>
            </w:r>
          </w:p>
        </w:tc>
      </w:tr>
      <w:tr w:rsidRPr="003257EE" w:rsidR="00B24A92" w:rsidTr="000571AF" w14:paraId="445F92A8" w14:textId="77777777">
        <w:trPr>
          <w:trHeight w:val="301"/>
        </w:trPr>
        <w:tc>
          <w:tcPr>
            <w:tcW w:w="1948" w:type="pct"/>
            <w:tcBorders>
              <w:top w:val="nil"/>
              <w:left w:val="single" w:color="auto" w:sz="4" w:space="0"/>
              <w:bottom w:val="single" w:color="auto" w:sz="4" w:space="0"/>
              <w:right w:val="nil"/>
            </w:tcBorders>
            <w:shd w:val="clear" w:color="000000" w:fill="FFFFFF"/>
            <w:noWrap/>
            <w:vAlign w:val="center"/>
            <w:hideMark/>
          </w:tcPr>
          <w:p w:rsidRPr="003257EE" w:rsidR="00B24A92" w:rsidP="000571AF" w:rsidRDefault="00B24A92" w14:paraId="2DB04834" w14:textId="77777777">
            <w:pPr>
              <w:spacing w:line="240" w:lineRule="auto"/>
              <w:rPr>
                <w:rFonts w:eastAsia="Times New Roman" w:cs="Calibri"/>
                <w:b/>
                <w:bCs/>
                <w:color w:val="000000"/>
                <w:sz w:val="16"/>
                <w:szCs w:val="16"/>
                <w:lang w:eastAsia="nl-NL"/>
              </w:rPr>
            </w:pPr>
            <w:r w:rsidRPr="003257EE">
              <w:rPr>
                <w:rFonts w:eastAsia="Times New Roman" w:cs="Calibri"/>
                <w:b/>
                <w:bCs/>
                <w:color w:val="000000"/>
                <w:sz w:val="16"/>
                <w:szCs w:val="16"/>
                <w:lang w:eastAsia="nl-NL"/>
              </w:rPr>
              <w:t>Totaal</w:t>
            </w:r>
          </w:p>
        </w:tc>
        <w:tc>
          <w:tcPr>
            <w:tcW w:w="401" w:type="pct"/>
            <w:tcBorders>
              <w:top w:val="nil"/>
              <w:left w:val="nil"/>
              <w:bottom w:val="single" w:color="auto" w:sz="4" w:space="0"/>
              <w:right w:val="nil"/>
            </w:tcBorders>
            <w:shd w:val="clear" w:color="000000" w:fill="FFFFFF"/>
            <w:vAlign w:val="center"/>
          </w:tcPr>
          <w:p w:rsidRPr="00020A8F" w:rsidR="00B24A92" w:rsidP="000571AF" w:rsidRDefault="00B24A92" w14:paraId="5ECEACA9" w14:textId="77777777">
            <w:pPr>
              <w:spacing w:line="240" w:lineRule="auto"/>
              <w:jc w:val="right"/>
              <w:rPr>
                <w:rFonts w:cs="Calibri"/>
                <w:b/>
                <w:bCs/>
                <w:color w:val="000000"/>
                <w:sz w:val="16"/>
                <w:szCs w:val="16"/>
              </w:rPr>
            </w:pPr>
          </w:p>
        </w:tc>
        <w:tc>
          <w:tcPr>
            <w:tcW w:w="401" w:type="pct"/>
            <w:tcBorders>
              <w:top w:val="nil"/>
              <w:left w:val="nil"/>
              <w:bottom w:val="single" w:color="auto" w:sz="4" w:space="0"/>
              <w:right w:val="nil"/>
            </w:tcBorders>
            <w:shd w:val="clear" w:color="000000" w:fill="FFFFFF"/>
            <w:vAlign w:val="center"/>
          </w:tcPr>
          <w:p w:rsidRPr="00020A8F" w:rsidR="00B24A92" w:rsidP="000571AF" w:rsidRDefault="00B24A92" w14:paraId="39C2AAF5" w14:textId="77777777">
            <w:pPr>
              <w:spacing w:line="240" w:lineRule="auto"/>
              <w:jc w:val="right"/>
              <w:rPr>
                <w:rFonts w:eastAsia="Times New Roman" w:cs="Calibri"/>
                <w:b/>
                <w:bCs/>
                <w:sz w:val="16"/>
                <w:szCs w:val="16"/>
                <w:lang w:eastAsia="nl-NL"/>
              </w:rPr>
            </w:pPr>
            <w:r>
              <w:rPr>
                <w:rFonts w:cs="Calibri"/>
                <w:b/>
                <w:bCs/>
                <w:color w:val="000000"/>
                <w:sz w:val="16"/>
                <w:szCs w:val="16"/>
              </w:rPr>
              <w:t>-99</w:t>
            </w:r>
          </w:p>
        </w:tc>
        <w:tc>
          <w:tcPr>
            <w:tcW w:w="453" w:type="pct"/>
            <w:tcBorders>
              <w:top w:val="nil"/>
              <w:left w:val="nil"/>
              <w:bottom w:val="single" w:color="auto" w:sz="4" w:space="0"/>
              <w:right w:val="nil"/>
            </w:tcBorders>
            <w:shd w:val="clear" w:color="000000" w:fill="FFFFFF"/>
            <w:vAlign w:val="center"/>
          </w:tcPr>
          <w:p w:rsidRPr="00020A8F" w:rsidR="00B24A92" w:rsidP="000571AF" w:rsidRDefault="00B24A92" w14:paraId="7C25517E" w14:textId="5686D96F">
            <w:pPr>
              <w:spacing w:line="240" w:lineRule="auto"/>
              <w:jc w:val="right"/>
              <w:rPr>
                <w:rFonts w:eastAsia="Times New Roman" w:cs="Calibri"/>
                <w:b/>
                <w:bCs/>
                <w:sz w:val="16"/>
                <w:szCs w:val="16"/>
                <w:lang w:eastAsia="nl-NL"/>
              </w:rPr>
            </w:pPr>
            <w:r w:rsidRPr="00030E7A">
              <w:rPr>
                <w:rFonts w:cs="Calibri"/>
                <w:b/>
                <w:bCs/>
                <w:color w:val="000000"/>
                <w:sz w:val="16"/>
                <w:szCs w:val="16"/>
              </w:rPr>
              <w:t>-4</w:t>
            </w:r>
            <w:r w:rsidR="00EA7AB6">
              <w:rPr>
                <w:rFonts w:cs="Calibri"/>
                <w:b/>
                <w:bCs/>
                <w:color w:val="000000"/>
                <w:sz w:val="16"/>
                <w:szCs w:val="16"/>
              </w:rPr>
              <w:t>.</w:t>
            </w:r>
            <w:r w:rsidR="00B137A9">
              <w:rPr>
                <w:rFonts w:cs="Calibri"/>
                <w:b/>
                <w:bCs/>
                <w:color w:val="000000"/>
                <w:sz w:val="16"/>
                <w:szCs w:val="16"/>
              </w:rPr>
              <w:t>019</w:t>
            </w:r>
          </w:p>
        </w:tc>
        <w:tc>
          <w:tcPr>
            <w:tcW w:w="453" w:type="pct"/>
            <w:tcBorders>
              <w:top w:val="nil"/>
              <w:left w:val="nil"/>
              <w:bottom w:val="single" w:color="auto" w:sz="4" w:space="0"/>
              <w:right w:val="nil"/>
            </w:tcBorders>
            <w:shd w:val="clear" w:color="000000" w:fill="FFFFFF"/>
            <w:vAlign w:val="center"/>
          </w:tcPr>
          <w:p w:rsidRPr="00020A8F" w:rsidR="00B24A92" w:rsidP="000571AF" w:rsidRDefault="00B24A92" w14:paraId="3EB43C78" w14:textId="0E504F12">
            <w:pPr>
              <w:spacing w:line="240" w:lineRule="auto"/>
              <w:jc w:val="right"/>
              <w:rPr>
                <w:rFonts w:eastAsia="Times New Roman" w:cs="Calibri"/>
                <w:b/>
                <w:bCs/>
                <w:sz w:val="16"/>
                <w:szCs w:val="16"/>
                <w:lang w:eastAsia="nl-NL"/>
              </w:rPr>
            </w:pPr>
            <w:r w:rsidRPr="00030E7A">
              <w:rPr>
                <w:rFonts w:cs="Calibri"/>
                <w:b/>
                <w:bCs/>
                <w:color w:val="000000"/>
                <w:sz w:val="16"/>
                <w:szCs w:val="16"/>
              </w:rPr>
              <w:t>-</w:t>
            </w:r>
            <w:r w:rsidR="00B137A9">
              <w:rPr>
                <w:rFonts w:cs="Calibri"/>
                <w:b/>
                <w:bCs/>
                <w:color w:val="000000"/>
                <w:sz w:val="16"/>
                <w:szCs w:val="16"/>
              </w:rPr>
              <w:t>3</w:t>
            </w:r>
            <w:r w:rsidR="00EA7AB6">
              <w:rPr>
                <w:rFonts w:cs="Calibri"/>
                <w:b/>
                <w:bCs/>
                <w:color w:val="000000"/>
                <w:sz w:val="16"/>
                <w:szCs w:val="16"/>
              </w:rPr>
              <w:t>.</w:t>
            </w:r>
            <w:r w:rsidR="00B137A9">
              <w:rPr>
                <w:rFonts w:cs="Calibri"/>
                <w:b/>
                <w:bCs/>
                <w:color w:val="000000"/>
                <w:sz w:val="16"/>
                <w:szCs w:val="16"/>
              </w:rPr>
              <w:t>389</w:t>
            </w:r>
          </w:p>
        </w:tc>
        <w:tc>
          <w:tcPr>
            <w:tcW w:w="418" w:type="pct"/>
            <w:tcBorders>
              <w:top w:val="nil"/>
              <w:left w:val="nil"/>
              <w:bottom w:val="single" w:color="auto" w:sz="4" w:space="0"/>
              <w:right w:val="nil"/>
            </w:tcBorders>
            <w:shd w:val="clear" w:color="000000" w:fill="FFFFFF"/>
            <w:vAlign w:val="center"/>
          </w:tcPr>
          <w:p w:rsidRPr="00020A8F" w:rsidR="00B24A92" w:rsidP="000571AF" w:rsidRDefault="00B137A9" w14:paraId="23809E70" w14:textId="39F60D8D">
            <w:pPr>
              <w:spacing w:line="240" w:lineRule="auto"/>
              <w:jc w:val="right"/>
              <w:rPr>
                <w:rFonts w:eastAsia="Times New Roman" w:cs="Calibri"/>
                <w:b/>
                <w:bCs/>
                <w:sz w:val="16"/>
                <w:szCs w:val="16"/>
                <w:lang w:eastAsia="nl-NL"/>
              </w:rPr>
            </w:pPr>
            <w:r>
              <w:rPr>
                <w:rFonts w:cs="Calibri"/>
                <w:b/>
                <w:bCs/>
                <w:color w:val="000000"/>
                <w:sz w:val="16"/>
                <w:szCs w:val="16"/>
              </w:rPr>
              <w:t>-2</w:t>
            </w:r>
            <w:r w:rsidR="00EA7AB6">
              <w:rPr>
                <w:rFonts w:cs="Calibri"/>
                <w:b/>
                <w:bCs/>
                <w:color w:val="000000"/>
                <w:sz w:val="16"/>
                <w:szCs w:val="16"/>
              </w:rPr>
              <w:t>.</w:t>
            </w:r>
            <w:r>
              <w:rPr>
                <w:rFonts w:cs="Calibri"/>
                <w:b/>
                <w:bCs/>
                <w:color w:val="000000"/>
                <w:sz w:val="16"/>
                <w:szCs w:val="16"/>
              </w:rPr>
              <w:t>037</w:t>
            </w:r>
          </w:p>
        </w:tc>
        <w:tc>
          <w:tcPr>
            <w:tcW w:w="418" w:type="pct"/>
            <w:tcBorders>
              <w:top w:val="nil"/>
              <w:left w:val="nil"/>
              <w:bottom w:val="single" w:color="auto" w:sz="4" w:space="0"/>
              <w:right w:val="nil"/>
            </w:tcBorders>
            <w:shd w:val="clear" w:color="000000" w:fill="FFFFFF"/>
            <w:vAlign w:val="center"/>
          </w:tcPr>
          <w:p w:rsidRPr="00020A8F" w:rsidR="00B24A92" w:rsidP="000571AF" w:rsidRDefault="00B137A9" w14:paraId="184AF62C" w14:textId="179271ED">
            <w:pPr>
              <w:spacing w:line="240" w:lineRule="auto"/>
              <w:jc w:val="right"/>
              <w:rPr>
                <w:rFonts w:eastAsia="Times New Roman" w:cs="Calibri"/>
                <w:b/>
                <w:bCs/>
                <w:sz w:val="16"/>
                <w:szCs w:val="16"/>
                <w:lang w:eastAsia="nl-NL"/>
              </w:rPr>
            </w:pPr>
            <w:r>
              <w:rPr>
                <w:rFonts w:cs="Calibri"/>
                <w:b/>
                <w:bCs/>
                <w:color w:val="000000"/>
                <w:sz w:val="16"/>
                <w:szCs w:val="16"/>
              </w:rPr>
              <w:t>-579</w:t>
            </w:r>
          </w:p>
        </w:tc>
        <w:tc>
          <w:tcPr>
            <w:tcW w:w="508" w:type="pct"/>
            <w:tcBorders>
              <w:top w:val="nil"/>
              <w:left w:val="nil"/>
              <w:bottom w:val="single" w:color="auto" w:sz="4" w:space="0"/>
              <w:right w:val="single" w:color="auto" w:sz="4" w:space="0"/>
            </w:tcBorders>
            <w:shd w:val="clear" w:color="000000" w:fill="FFFFFF"/>
            <w:vAlign w:val="center"/>
          </w:tcPr>
          <w:p w:rsidRPr="00020A8F" w:rsidR="00B24A92" w:rsidP="000571AF" w:rsidRDefault="00B24A92" w14:paraId="0ED2B467" w14:textId="77777777">
            <w:pPr>
              <w:spacing w:line="240" w:lineRule="auto"/>
              <w:jc w:val="right"/>
              <w:rPr>
                <w:rFonts w:eastAsia="Times New Roman" w:cs="Calibri"/>
                <w:b/>
                <w:bCs/>
                <w:sz w:val="16"/>
                <w:szCs w:val="16"/>
                <w:lang w:eastAsia="nl-NL"/>
              </w:rPr>
            </w:pPr>
            <w:r>
              <w:rPr>
                <w:rFonts w:cs="Calibri"/>
                <w:b/>
                <w:bCs/>
                <w:color w:val="000000"/>
                <w:sz w:val="16"/>
                <w:szCs w:val="16"/>
              </w:rPr>
              <w:t>-77</w:t>
            </w:r>
          </w:p>
        </w:tc>
      </w:tr>
    </w:tbl>
    <w:p w:rsidR="00F40172" w:rsidP="00F40172" w:rsidRDefault="00F40172" w14:paraId="3839CBC6" w14:textId="77777777">
      <w:pPr>
        <w:rPr>
          <w:szCs w:val="18"/>
        </w:rPr>
      </w:pPr>
    </w:p>
    <w:p w:rsidRPr="00020A8F" w:rsidR="00F40172" w:rsidP="00F40172" w:rsidRDefault="00F40172" w14:paraId="1C4B2D18" w14:textId="77777777">
      <w:pPr>
        <w:rPr>
          <w:i/>
          <w:iCs/>
          <w:szCs w:val="18"/>
        </w:rPr>
      </w:pPr>
      <w:r w:rsidRPr="00020A8F">
        <w:rPr>
          <w:i/>
          <w:iCs/>
          <w:szCs w:val="18"/>
        </w:rPr>
        <w:t xml:space="preserve">Tabel 2: budgettaire effecten </w:t>
      </w:r>
      <w:r>
        <w:rPr>
          <w:i/>
          <w:iCs/>
          <w:szCs w:val="18"/>
        </w:rPr>
        <w:t xml:space="preserve">op het </w:t>
      </w:r>
      <w:r w:rsidRPr="00020A8F">
        <w:rPr>
          <w:i/>
          <w:iCs/>
          <w:szCs w:val="18"/>
        </w:rPr>
        <w:t xml:space="preserve">EMU-saldo (miljoen euro, + is </w:t>
      </w:r>
      <w:proofErr w:type="spellStart"/>
      <w:r w:rsidRPr="00020A8F">
        <w:rPr>
          <w:i/>
          <w:iCs/>
          <w:szCs w:val="18"/>
        </w:rPr>
        <w:t>saldoverbeterend</w:t>
      </w:r>
      <w:proofErr w:type="spellEnd"/>
      <w:r w:rsidRPr="00020A8F">
        <w:rPr>
          <w:i/>
          <w:iCs/>
          <w:szCs w:val="18"/>
        </w:rPr>
        <w:t>)</w:t>
      </w:r>
    </w:p>
    <w:tbl>
      <w:tblPr>
        <w:tblW w:w="5000" w:type="pct"/>
        <w:tblLayout w:type="fixed"/>
        <w:tblCellMar>
          <w:left w:w="70" w:type="dxa"/>
          <w:right w:w="70" w:type="dxa"/>
        </w:tblCellMar>
        <w:tblLook w:val="04A0" w:firstRow="1" w:lastRow="0" w:firstColumn="1" w:lastColumn="0" w:noHBand="0" w:noVBand="1"/>
      </w:tblPr>
      <w:tblGrid>
        <w:gridCol w:w="3550"/>
        <w:gridCol w:w="816"/>
        <w:gridCol w:w="745"/>
        <w:gridCol w:w="843"/>
        <w:gridCol w:w="843"/>
        <w:gridCol w:w="778"/>
        <w:gridCol w:w="778"/>
        <w:gridCol w:w="709"/>
      </w:tblGrid>
      <w:tr w:rsidRPr="003257EE" w:rsidR="00B24A92" w:rsidTr="000571AF" w14:paraId="70EEB614" w14:textId="77777777">
        <w:trPr>
          <w:trHeight w:val="632"/>
        </w:trPr>
        <w:tc>
          <w:tcPr>
            <w:tcW w:w="1959" w:type="pct"/>
            <w:tcBorders>
              <w:top w:val="single" w:color="auto" w:sz="4" w:space="0"/>
              <w:left w:val="single" w:color="auto" w:sz="4" w:space="0"/>
              <w:bottom w:val="nil"/>
              <w:right w:val="nil"/>
            </w:tcBorders>
            <w:shd w:val="clear" w:color="000000" w:fill="0070C0"/>
            <w:vAlign w:val="center"/>
            <w:hideMark/>
          </w:tcPr>
          <w:p w:rsidRPr="003257EE" w:rsidR="00B24A92" w:rsidP="000571AF" w:rsidRDefault="00B24A92" w14:paraId="070E81B7" w14:textId="77777777">
            <w:pPr>
              <w:spacing w:line="240" w:lineRule="auto"/>
              <w:rPr>
                <w:rFonts w:eastAsia="Times New Roman" w:cs="Calibri"/>
                <w:color w:val="FFFFFF"/>
                <w:sz w:val="16"/>
                <w:szCs w:val="16"/>
                <w:lang w:eastAsia="nl-NL"/>
              </w:rPr>
            </w:pPr>
            <w:r w:rsidRPr="003257EE">
              <w:rPr>
                <w:rFonts w:eastAsia="Times New Roman" w:cs="Calibri"/>
                <w:color w:val="FFFFFF"/>
                <w:sz w:val="16"/>
                <w:szCs w:val="16"/>
                <w:lang w:eastAsia="nl-NL"/>
              </w:rPr>
              <w:t> </w:t>
            </w:r>
          </w:p>
        </w:tc>
        <w:tc>
          <w:tcPr>
            <w:tcW w:w="450" w:type="pct"/>
            <w:tcBorders>
              <w:top w:val="single" w:color="auto" w:sz="4" w:space="0"/>
              <w:left w:val="nil"/>
              <w:bottom w:val="nil"/>
              <w:right w:val="nil"/>
            </w:tcBorders>
            <w:shd w:val="clear" w:color="000000" w:fill="0070C0"/>
            <w:vAlign w:val="center"/>
          </w:tcPr>
          <w:p w:rsidRPr="003257EE" w:rsidR="00B24A92" w:rsidP="000571AF" w:rsidRDefault="00B24A92" w14:paraId="5292EF9E" w14:textId="77777777">
            <w:pPr>
              <w:spacing w:line="240" w:lineRule="auto"/>
              <w:jc w:val="right"/>
              <w:rPr>
                <w:rFonts w:eastAsia="Times New Roman" w:cs="Calibri"/>
                <w:color w:val="FFFFFF"/>
                <w:sz w:val="16"/>
                <w:szCs w:val="16"/>
                <w:lang w:eastAsia="nl-NL"/>
              </w:rPr>
            </w:pPr>
            <w:r>
              <w:rPr>
                <w:rFonts w:eastAsia="Times New Roman" w:cs="Calibri"/>
                <w:color w:val="FFFFFF"/>
                <w:sz w:val="16"/>
                <w:szCs w:val="16"/>
                <w:lang w:eastAsia="nl-NL"/>
              </w:rPr>
              <w:t>2026</w:t>
            </w:r>
          </w:p>
        </w:tc>
        <w:tc>
          <w:tcPr>
            <w:tcW w:w="411"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69FF6BB2"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2027</w:t>
            </w:r>
          </w:p>
        </w:tc>
        <w:tc>
          <w:tcPr>
            <w:tcW w:w="465"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06D369B4"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2028</w:t>
            </w:r>
          </w:p>
        </w:tc>
        <w:tc>
          <w:tcPr>
            <w:tcW w:w="465"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778AD04A"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2029</w:t>
            </w:r>
          </w:p>
        </w:tc>
        <w:tc>
          <w:tcPr>
            <w:tcW w:w="429"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2365A60A"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2030</w:t>
            </w:r>
          </w:p>
        </w:tc>
        <w:tc>
          <w:tcPr>
            <w:tcW w:w="429" w:type="pct"/>
            <w:tcBorders>
              <w:top w:val="single" w:color="auto" w:sz="4" w:space="0"/>
              <w:left w:val="nil"/>
              <w:bottom w:val="nil"/>
              <w:right w:val="nil"/>
            </w:tcBorders>
            <w:shd w:val="clear" w:color="000000" w:fill="0070C0"/>
            <w:noWrap/>
            <w:vAlign w:val="center"/>
            <w:hideMark/>
          </w:tcPr>
          <w:p w:rsidRPr="003257EE" w:rsidR="00B24A92" w:rsidP="000571AF" w:rsidRDefault="00B24A92" w14:paraId="0D9F8A8E" w14:textId="77777777">
            <w:pPr>
              <w:spacing w:line="240" w:lineRule="auto"/>
              <w:jc w:val="right"/>
              <w:rPr>
                <w:rFonts w:eastAsia="Times New Roman" w:cs="Calibri"/>
                <w:color w:val="FFFFFF"/>
                <w:sz w:val="16"/>
                <w:szCs w:val="16"/>
                <w:lang w:eastAsia="nl-NL"/>
              </w:rPr>
            </w:pPr>
            <w:r w:rsidRPr="003257EE">
              <w:rPr>
                <w:rFonts w:eastAsia="Times New Roman" w:cs="Calibri"/>
                <w:color w:val="FFFFFF"/>
                <w:sz w:val="16"/>
                <w:szCs w:val="16"/>
                <w:lang w:eastAsia="nl-NL"/>
              </w:rPr>
              <w:t>2031</w:t>
            </w:r>
          </w:p>
        </w:tc>
        <w:tc>
          <w:tcPr>
            <w:tcW w:w="391" w:type="pct"/>
            <w:tcBorders>
              <w:top w:val="single" w:color="auto" w:sz="4" w:space="0"/>
              <w:left w:val="nil"/>
              <w:bottom w:val="nil"/>
              <w:right w:val="single" w:color="auto" w:sz="4" w:space="0"/>
            </w:tcBorders>
            <w:shd w:val="clear" w:color="000000" w:fill="0070C0"/>
            <w:noWrap/>
            <w:vAlign w:val="center"/>
            <w:hideMark/>
          </w:tcPr>
          <w:p w:rsidRPr="003257EE" w:rsidR="00B24A92" w:rsidP="000571AF" w:rsidRDefault="00B24A92" w14:paraId="3C93108D" w14:textId="77777777">
            <w:pPr>
              <w:spacing w:line="240" w:lineRule="auto"/>
              <w:jc w:val="right"/>
              <w:rPr>
                <w:rFonts w:eastAsia="Times New Roman" w:cs="Calibri"/>
                <w:color w:val="FFFFFF"/>
                <w:sz w:val="16"/>
                <w:szCs w:val="16"/>
                <w:lang w:eastAsia="nl-NL"/>
              </w:rPr>
            </w:pPr>
            <w:proofErr w:type="spellStart"/>
            <w:proofErr w:type="gramStart"/>
            <w:r w:rsidRPr="003257EE">
              <w:rPr>
                <w:rFonts w:eastAsia="Times New Roman" w:cs="Calibri"/>
                <w:color w:val="FFFFFF"/>
                <w:sz w:val="16"/>
                <w:szCs w:val="16"/>
                <w:lang w:eastAsia="nl-NL"/>
              </w:rPr>
              <w:t>struc</w:t>
            </w:r>
            <w:proofErr w:type="spellEnd"/>
            <w:proofErr w:type="gramEnd"/>
          </w:p>
        </w:tc>
      </w:tr>
      <w:tr w:rsidRPr="00C84816" w:rsidR="00B24A92" w:rsidTr="000571AF" w14:paraId="49C7FB89" w14:textId="77777777">
        <w:trPr>
          <w:trHeight w:val="451"/>
        </w:trPr>
        <w:tc>
          <w:tcPr>
            <w:tcW w:w="1959" w:type="pct"/>
            <w:tcBorders>
              <w:top w:val="single" w:color="auto" w:sz="4" w:space="0"/>
              <w:left w:val="single" w:color="auto" w:sz="4" w:space="0"/>
              <w:bottom w:val="nil"/>
              <w:right w:val="nil"/>
            </w:tcBorders>
            <w:shd w:val="clear" w:color="000000" w:fill="FFFFFF"/>
            <w:vAlign w:val="center"/>
          </w:tcPr>
          <w:p w:rsidRPr="003257EE" w:rsidR="00B24A92" w:rsidP="000571AF" w:rsidRDefault="00B24A92" w14:paraId="10CC1AB3"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Uitboeken Wet werkelijk rendement box 3</w:t>
            </w:r>
          </w:p>
        </w:tc>
        <w:tc>
          <w:tcPr>
            <w:tcW w:w="450" w:type="pct"/>
            <w:tcBorders>
              <w:top w:val="single" w:color="auto" w:sz="4" w:space="0"/>
              <w:left w:val="nil"/>
              <w:bottom w:val="nil"/>
              <w:right w:val="nil"/>
            </w:tcBorders>
            <w:shd w:val="clear" w:color="000000" w:fill="FFFFFF"/>
            <w:vAlign w:val="center"/>
          </w:tcPr>
          <w:p w:rsidRPr="003257EE" w:rsidR="00B24A92" w:rsidP="000571AF" w:rsidRDefault="00B24A92" w14:paraId="0128FB34" w14:textId="77777777">
            <w:pPr>
              <w:spacing w:line="240" w:lineRule="auto"/>
              <w:jc w:val="right"/>
              <w:rPr>
                <w:rFonts w:eastAsia="Times New Roman" w:cs="Calibri"/>
                <w:color w:val="FFFFFF"/>
                <w:sz w:val="16"/>
                <w:szCs w:val="16"/>
                <w:lang w:eastAsia="nl-NL"/>
              </w:rPr>
            </w:pPr>
          </w:p>
        </w:tc>
        <w:tc>
          <w:tcPr>
            <w:tcW w:w="411" w:type="pct"/>
            <w:tcBorders>
              <w:top w:val="single" w:color="auto" w:sz="4" w:space="0"/>
              <w:left w:val="nil"/>
              <w:bottom w:val="nil"/>
              <w:right w:val="nil"/>
            </w:tcBorders>
            <w:shd w:val="clear" w:color="000000" w:fill="FFFFFF"/>
            <w:noWrap/>
            <w:vAlign w:val="center"/>
          </w:tcPr>
          <w:p w:rsidRPr="00C84816" w:rsidR="00B24A92" w:rsidP="000571AF" w:rsidRDefault="00B24A92" w14:paraId="1C39B9E2" w14:textId="77777777">
            <w:pPr>
              <w:spacing w:line="240" w:lineRule="auto"/>
              <w:jc w:val="right"/>
              <w:rPr>
                <w:rFonts w:eastAsia="Times New Roman" w:cs="Calibri"/>
                <w:color w:val="FFFFFF"/>
                <w:sz w:val="16"/>
                <w:szCs w:val="16"/>
                <w:lang w:eastAsia="nl-NL"/>
              </w:rPr>
            </w:pPr>
          </w:p>
        </w:tc>
        <w:tc>
          <w:tcPr>
            <w:tcW w:w="465" w:type="pct"/>
            <w:tcBorders>
              <w:top w:val="single" w:color="auto" w:sz="4" w:space="0"/>
              <w:left w:val="nil"/>
              <w:bottom w:val="nil"/>
              <w:right w:val="nil"/>
            </w:tcBorders>
            <w:shd w:val="clear" w:color="000000" w:fill="FFFFFF"/>
            <w:noWrap/>
            <w:vAlign w:val="center"/>
          </w:tcPr>
          <w:p w:rsidRPr="006827FA" w:rsidR="00B24A92" w:rsidP="000571AF" w:rsidRDefault="00B24A92" w14:paraId="6D9CCB39" w14:textId="77777777">
            <w:pPr>
              <w:spacing w:line="240" w:lineRule="auto"/>
              <w:jc w:val="right"/>
              <w:rPr>
                <w:rFonts w:eastAsia="Times New Roman" w:cs="Calibri"/>
                <w:color w:val="000000"/>
                <w:sz w:val="16"/>
                <w:szCs w:val="16"/>
                <w:lang w:eastAsia="nl-NL"/>
              </w:rPr>
            </w:pPr>
            <w:r w:rsidRPr="006827FA">
              <w:rPr>
                <w:rFonts w:eastAsia="Times New Roman" w:cs="Calibri"/>
                <w:color w:val="000000"/>
                <w:sz w:val="16"/>
                <w:szCs w:val="16"/>
                <w:lang w:eastAsia="nl-NL"/>
              </w:rPr>
              <w:t>-741</w:t>
            </w:r>
          </w:p>
        </w:tc>
        <w:tc>
          <w:tcPr>
            <w:tcW w:w="465" w:type="pct"/>
            <w:tcBorders>
              <w:top w:val="single" w:color="auto" w:sz="4" w:space="0"/>
              <w:left w:val="nil"/>
              <w:bottom w:val="nil"/>
              <w:right w:val="nil"/>
            </w:tcBorders>
            <w:shd w:val="clear" w:color="000000" w:fill="FFFFFF"/>
            <w:noWrap/>
            <w:vAlign w:val="center"/>
          </w:tcPr>
          <w:p w:rsidRPr="006827FA" w:rsidR="00B24A92" w:rsidP="000571AF" w:rsidRDefault="00B24A92" w14:paraId="332D30EC" w14:textId="77777777">
            <w:pPr>
              <w:spacing w:line="240" w:lineRule="auto"/>
              <w:jc w:val="right"/>
              <w:rPr>
                <w:rFonts w:eastAsia="Times New Roman" w:cs="Calibri"/>
                <w:color w:val="000000"/>
                <w:sz w:val="16"/>
                <w:szCs w:val="16"/>
                <w:lang w:eastAsia="nl-NL"/>
              </w:rPr>
            </w:pPr>
            <w:r w:rsidRPr="006827FA">
              <w:rPr>
                <w:rFonts w:eastAsia="Times New Roman" w:cs="Calibri"/>
                <w:color w:val="000000"/>
                <w:sz w:val="16"/>
                <w:szCs w:val="16"/>
                <w:lang w:eastAsia="nl-NL"/>
              </w:rPr>
              <w:t>-318</w:t>
            </w:r>
          </w:p>
        </w:tc>
        <w:tc>
          <w:tcPr>
            <w:tcW w:w="429" w:type="pct"/>
            <w:tcBorders>
              <w:top w:val="single" w:color="auto" w:sz="4" w:space="0"/>
              <w:left w:val="nil"/>
              <w:bottom w:val="nil"/>
              <w:right w:val="nil"/>
            </w:tcBorders>
            <w:shd w:val="clear" w:color="000000" w:fill="FFFFFF"/>
            <w:noWrap/>
            <w:vAlign w:val="center"/>
          </w:tcPr>
          <w:p w:rsidRPr="006827FA" w:rsidR="00B24A92" w:rsidP="000571AF" w:rsidRDefault="00B24A92" w14:paraId="67BA9C7B" w14:textId="77777777">
            <w:pPr>
              <w:spacing w:line="240" w:lineRule="auto"/>
              <w:jc w:val="right"/>
              <w:rPr>
                <w:rFonts w:eastAsia="Times New Roman" w:cs="Calibri"/>
                <w:color w:val="000000"/>
                <w:sz w:val="16"/>
                <w:szCs w:val="16"/>
                <w:lang w:eastAsia="nl-NL"/>
              </w:rPr>
            </w:pPr>
          </w:p>
        </w:tc>
        <w:tc>
          <w:tcPr>
            <w:tcW w:w="429" w:type="pct"/>
            <w:tcBorders>
              <w:top w:val="single" w:color="auto" w:sz="4" w:space="0"/>
              <w:left w:val="nil"/>
              <w:bottom w:val="nil"/>
              <w:right w:val="nil"/>
            </w:tcBorders>
            <w:shd w:val="clear" w:color="000000" w:fill="FFFFFF"/>
            <w:noWrap/>
            <w:vAlign w:val="center"/>
          </w:tcPr>
          <w:p w:rsidRPr="006827FA" w:rsidR="00B24A92" w:rsidP="000571AF" w:rsidRDefault="00B24A92" w14:paraId="7D121736" w14:textId="77777777">
            <w:pPr>
              <w:spacing w:line="240" w:lineRule="auto"/>
              <w:jc w:val="right"/>
              <w:rPr>
                <w:rFonts w:eastAsia="Times New Roman" w:cs="Calibri"/>
                <w:color w:val="000000"/>
                <w:sz w:val="16"/>
                <w:szCs w:val="16"/>
                <w:lang w:eastAsia="nl-NL"/>
              </w:rPr>
            </w:pPr>
          </w:p>
        </w:tc>
        <w:tc>
          <w:tcPr>
            <w:tcW w:w="391" w:type="pct"/>
            <w:tcBorders>
              <w:top w:val="single" w:color="auto" w:sz="4" w:space="0"/>
              <w:left w:val="nil"/>
              <w:bottom w:val="nil"/>
              <w:right w:val="single" w:color="auto" w:sz="4" w:space="0"/>
            </w:tcBorders>
            <w:shd w:val="clear" w:color="000000" w:fill="FFFFFF"/>
            <w:noWrap/>
            <w:vAlign w:val="center"/>
          </w:tcPr>
          <w:p w:rsidRPr="00C84816" w:rsidR="00B24A92" w:rsidP="000571AF" w:rsidRDefault="00B24A92" w14:paraId="3A116E79" w14:textId="77777777">
            <w:pPr>
              <w:spacing w:line="240" w:lineRule="auto"/>
              <w:jc w:val="right"/>
              <w:rPr>
                <w:rFonts w:eastAsia="Times New Roman" w:cs="Calibri"/>
                <w:color w:val="000000"/>
                <w:sz w:val="16"/>
                <w:szCs w:val="16"/>
                <w:lang w:eastAsia="nl-NL"/>
              </w:rPr>
            </w:pPr>
          </w:p>
        </w:tc>
      </w:tr>
      <w:tr w:rsidRPr="00C84816" w:rsidR="00B24A92" w:rsidTr="000571AF" w14:paraId="4AB25B17" w14:textId="77777777">
        <w:trPr>
          <w:trHeight w:val="421"/>
        </w:trPr>
        <w:tc>
          <w:tcPr>
            <w:tcW w:w="1959" w:type="pct"/>
            <w:tcBorders>
              <w:top w:val="nil"/>
              <w:left w:val="single" w:color="auto" w:sz="4" w:space="0"/>
              <w:bottom w:val="nil"/>
              <w:right w:val="nil"/>
            </w:tcBorders>
            <w:shd w:val="clear" w:color="000000" w:fill="FFFFFF"/>
            <w:vAlign w:val="center"/>
          </w:tcPr>
          <w:p w:rsidR="00B24A92" w:rsidP="000571AF" w:rsidRDefault="00B24A92" w14:paraId="18099FF9"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Voortzetten tegenbewijsregeling</w:t>
            </w:r>
          </w:p>
        </w:tc>
        <w:tc>
          <w:tcPr>
            <w:tcW w:w="450" w:type="pct"/>
            <w:tcBorders>
              <w:top w:val="nil"/>
              <w:left w:val="nil"/>
              <w:bottom w:val="nil"/>
              <w:right w:val="nil"/>
            </w:tcBorders>
            <w:shd w:val="clear" w:color="000000" w:fill="FFFFFF"/>
            <w:vAlign w:val="center"/>
          </w:tcPr>
          <w:p w:rsidR="00B24A92" w:rsidP="000571AF" w:rsidRDefault="00B24A92" w14:paraId="444AC7D5" w14:textId="77777777">
            <w:pPr>
              <w:spacing w:line="240" w:lineRule="auto"/>
              <w:jc w:val="right"/>
              <w:rPr>
                <w:color w:val="000000"/>
                <w:sz w:val="16"/>
                <w:szCs w:val="16"/>
                <w:lang w:eastAsia="nl-NL"/>
              </w:rPr>
            </w:pPr>
          </w:p>
        </w:tc>
        <w:tc>
          <w:tcPr>
            <w:tcW w:w="411" w:type="pct"/>
            <w:tcBorders>
              <w:top w:val="nil"/>
              <w:left w:val="nil"/>
              <w:bottom w:val="nil"/>
              <w:right w:val="nil"/>
            </w:tcBorders>
            <w:shd w:val="clear" w:color="000000" w:fill="FFFFFF"/>
            <w:noWrap/>
            <w:vAlign w:val="center"/>
          </w:tcPr>
          <w:p w:rsidRPr="00C84816" w:rsidR="00B24A92" w:rsidDel="00E31639" w:rsidP="000571AF" w:rsidRDefault="00B24A92" w14:paraId="03E10EF3" w14:textId="77777777">
            <w:pPr>
              <w:spacing w:line="240" w:lineRule="auto"/>
              <w:jc w:val="right"/>
              <w:rPr>
                <w:color w:val="000000"/>
                <w:sz w:val="16"/>
                <w:szCs w:val="16"/>
                <w:lang w:eastAsia="nl-NL"/>
              </w:rPr>
            </w:pPr>
          </w:p>
        </w:tc>
        <w:tc>
          <w:tcPr>
            <w:tcW w:w="465" w:type="pct"/>
            <w:tcBorders>
              <w:top w:val="nil"/>
              <w:left w:val="nil"/>
              <w:bottom w:val="nil"/>
              <w:right w:val="nil"/>
            </w:tcBorders>
            <w:shd w:val="clear" w:color="000000" w:fill="FFFFFF"/>
            <w:noWrap/>
            <w:vAlign w:val="center"/>
          </w:tcPr>
          <w:p w:rsidRPr="00C84816" w:rsidR="00B24A92" w:rsidDel="00E31639" w:rsidP="000571AF" w:rsidRDefault="00B24A92" w14:paraId="6C072836" w14:textId="77777777">
            <w:pPr>
              <w:spacing w:line="240" w:lineRule="auto"/>
              <w:jc w:val="right"/>
              <w:rPr>
                <w:color w:val="000000"/>
                <w:sz w:val="16"/>
                <w:szCs w:val="16"/>
                <w:lang w:eastAsia="nl-NL"/>
              </w:rPr>
            </w:pPr>
            <w:r w:rsidRPr="00C84816">
              <w:rPr>
                <w:color w:val="000000"/>
                <w:sz w:val="16"/>
                <w:szCs w:val="16"/>
                <w:lang w:eastAsia="nl-NL"/>
              </w:rPr>
              <w:t>-2.092</w:t>
            </w:r>
          </w:p>
        </w:tc>
        <w:tc>
          <w:tcPr>
            <w:tcW w:w="465" w:type="pct"/>
            <w:tcBorders>
              <w:top w:val="nil"/>
              <w:left w:val="nil"/>
              <w:bottom w:val="nil"/>
              <w:right w:val="nil"/>
            </w:tcBorders>
            <w:shd w:val="clear" w:color="000000" w:fill="FFFFFF"/>
            <w:noWrap/>
            <w:vAlign w:val="center"/>
          </w:tcPr>
          <w:p w:rsidRPr="00C84816" w:rsidR="00B24A92" w:rsidP="000571AF" w:rsidRDefault="00B24A92" w14:paraId="699E98B3" w14:textId="77777777">
            <w:pPr>
              <w:spacing w:line="240" w:lineRule="auto"/>
              <w:jc w:val="right"/>
              <w:rPr>
                <w:color w:val="000000"/>
                <w:sz w:val="16"/>
                <w:szCs w:val="16"/>
                <w:lang w:eastAsia="nl-NL"/>
              </w:rPr>
            </w:pPr>
            <w:r w:rsidRPr="00C84816">
              <w:rPr>
                <w:color w:val="000000"/>
                <w:sz w:val="16"/>
                <w:szCs w:val="16"/>
                <w:lang w:eastAsia="nl-NL"/>
              </w:rPr>
              <w:t>-896</w:t>
            </w:r>
          </w:p>
        </w:tc>
        <w:tc>
          <w:tcPr>
            <w:tcW w:w="429" w:type="pct"/>
            <w:tcBorders>
              <w:top w:val="nil"/>
              <w:left w:val="nil"/>
              <w:bottom w:val="nil"/>
              <w:right w:val="nil"/>
            </w:tcBorders>
            <w:shd w:val="clear" w:color="000000" w:fill="FFFFFF"/>
            <w:noWrap/>
            <w:vAlign w:val="center"/>
          </w:tcPr>
          <w:p w:rsidRPr="00C84816" w:rsidR="00B24A92" w:rsidP="000571AF" w:rsidRDefault="00B24A92" w14:paraId="0454F940" w14:textId="77777777">
            <w:pPr>
              <w:spacing w:line="240" w:lineRule="auto"/>
              <w:jc w:val="right"/>
              <w:rPr>
                <w:color w:val="000000"/>
                <w:sz w:val="16"/>
                <w:szCs w:val="16"/>
                <w:lang w:eastAsia="nl-NL"/>
              </w:rPr>
            </w:pPr>
          </w:p>
        </w:tc>
        <w:tc>
          <w:tcPr>
            <w:tcW w:w="429" w:type="pct"/>
            <w:tcBorders>
              <w:top w:val="nil"/>
              <w:left w:val="nil"/>
              <w:bottom w:val="nil"/>
              <w:right w:val="nil"/>
            </w:tcBorders>
            <w:shd w:val="clear" w:color="000000" w:fill="FFFFFF"/>
            <w:vAlign w:val="center"/>
          </w:tcPr>
          <w:p w:rsidRPr="00C84816" w:rsidR="00B24A92" w:rsidP="000571AF" w:rsidRDefault="00B24A92" w14:paraId="4AEAC725" w14:textId="77777777">
            <w:pPr>
              <w:spacing w:line="240" w:lineRule="auto"/>
              <w:jc w:val="right"/>
              <w:rPr>
                <w:color w:val="000000"/>
                <w:sz w:val="16"/>
                <w:szCs w:val="16"/>
                <w:lang w:eastAsia="nl-NL"/>
              </w:rPr>
            </w:pPr>
          </w:p>
        </w:tc>
        <w:tc>
          <w:tcPr>
            <w:tcW w:w="391" w:type="pct"/>
            <w:tcBorders>
              <w:top w:val="nil"/>
              <w:left w:val="nil"/>
              <w:bottom w:val="nil"/>
              <w:right w:val="single" w:color="auto" w:sz="4" w:space="0"/>
            </w:tcBorders>
            <w:shd w:val="clear" w:color="000000" w:fill="FFFFFF"/>
            <w:noWrap/>
            <w:vAlign w:val="center"/>
          </w:tcPr>
          <w:p w:rsidRPr="00C84816" w:rsidR="00B24A92" w:rsidP="000571AF" w:rsidRDefault="00B24A92" w14:paraId="2BE6A771" w14:textId="77777777">
            <w:pPr>
              <w:spacing w:line="240" w:lineRule="auto"/>
              <w:jc w:val="right"/>
              <w:rPr>
                <w:rFonts w:eastAsia="Times New Roman" w:cs="Calibri"/>
                <w:color w:val="000000"/>
                <w:sz w:val="16"/>
                <w:szCs w:val="16"/>
                <w:lang w:eastAsia="nl-NL"/>
              </w:rPr>
            </w:pPr>
          </w:p>
        </w:tc>
      </w:tr>
      <w:tr w:rsidRPr="00C84816" w:rsidR="00B24A92" w:rsidTr="000571AF" w14:paraId="68AAE9A4" w14:textId="77777777">
        <w:trPr>
          <w:trHeight w:val="421"/>
        </w:trPr>
        <w:tc>
          <w:tcPr>
            <w:tcW w:w="1959" w:type="pct"/>
            <w:tcBorders>
              <w:top w:val="nil"/>
              <w:left w:val="single" w:color="auto" w:sz="4" w:space="0"/>
              <w:bottom w:val="nil"/>
              <w:right w:val="nil"/>
            </w:tcBorders>
            <w:shd w:val="clear" w:color="000000" w:fill="FFFFFF"/>
            <w:vAlign w:val="center"/>
          </w:tcPr>
          <w:p w:rsidR="00B24A92" w:rsidP="000571AF" w:rsidRDefault="00B24A92" w14:paraId="375D4E4F"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Vermogenswinstbelasting voor financiële instrumenten</w:t>
            </w:r>
          </w:p>
        </w:tc>
        <w:tc>
          <w:tcPr>
            <w:tcW w:w="450" w:type="pct"/>
            <w:tcBorders>
              <w:top w:val="nil"/>
              <w:left w:val="nil"/>
              <w:bottom w:val="nil"/>
              <w:right w:val="nil"/>
            </w:tcBorders>
            <w:shd w:val="clear" w:color="000000" w:fill="FFFFFF"/>
            <w:vAlign w:val="center"/>
          </w:tcPr>
          <w:p w:rsidR="00B24A92" w:rsidP="000571AF" w:rsidRDefault="00B24A92" w14:paraId="1191F515" w14:textId="77777777">
            <w:pPr>
              <w:spacing w:line="240" w:lineRule="auto"/>
              <w:jc w:val="right"/>
              <w:rPr>
                <w:color w:val="000000"/>
                <w:sz w:val="16"/>
                <w:szCs w:val="16"/>
                <w:lang w:eastAsia="nl-NL"/>
              </w:rPr>
            </w:pPr>
            <w:r>
              <w:rPr>
                <w:rFonts w:eastAsia="Times New Roman" w:cs="Calibri"/>
                <w:color w:val="FFFFFF"/>
                <w:sz w:val="16"/>
                <w:szCs w:val="16"/>
                <w:lang w:eastAsia="nl-NL"/>
              </w:rPr>
              <w:t>PMPM</w:t>
            </w:r>
          </w:p>
        </w:tc>
        <w:tc>
          <w:tcPr>
            <w:tcW w:w="411" w:type="pct"/>
            <w:tcBorders>
              <w:top w:val="nil"/>
              <w:left w:val="nil"/>
              <w:bottom w:val="nil"/>
              <w:right w:val="nil"/>
            </w:tcBorders>
            <w:shd w:val="clear" w:color="000000" w:fill="FFFFFF"/>
            <w:noWrap/>
            <w:vAlign w:val="center"/>
          </w:tcPr>
          <w:p w:rsidRPr="00C84816" w:rsidR="00B24A92" w:rsidDel="00E31639" w:rsidP="000571AF" w:rsidRDefault="00B24A92" w14:paraId="2773EBF0" w14:textId="77777777">
            <w:pPr>
              <w:spacing w:line="240" w:lineRule="auto"/>
              <w:jc w:val="right"/>
              <w:rPr>
                <w:color w:val="000000"/>
                <w:sz w:val="16"/>
                <w:szCs w:val="16"/>
                <w:lang w:eastAsia="nl-NL"/>
              </w:rPr>
            </w:pPr>
          </w:p>
        </w:tc>
        <w:tc>
          <w:tcPr>
            <w:tcW w:w="465" w:type="pct"/>
            <w:tcBorders>
              <w:top w:val="nil"/>
              <w:left w:val="nil"/>
              <w:bottom w:val="nil"/>
              <w:right w:val="nil"/>
            </w:tcBorders>
            <w:shd w:val="clear" w:color="000000" w:fill="FFFFFF"/>
            <w:noWrap/>
            <w:vAlign w:val="center"/>
          </w:tcPr>
          <w:p w:rsidRPr="00C84816" w:rsidR="00B24A92" w:rsidDel="00E31639" w:rsidP="000571AF" w:rsidRDefault="00B24A92" w14:paraId="252F30B4" w14:textId="77777777">
            <w:pPr>
              <w:spacing w:line="240" w:lineRule="auto"/>
              <w:jc w:val="right"/>
              <w:rPr>
                <w:color w:val="000000"/>
                <w:sz w:val="16"/>
                <w:szCs w:val="16"/>
                <w:lang w:eastAsia="nl-NL"/>
              </w:rPr>
            </w:pPr>
          </w:p>
        </w:tc>
        <w:tc>
          <w:tcPr>
            <w:tcW w:w="465" w:type="pct"/>
            <w:tcBorders>
              <w:top w:val="nil"/>
              <w:left w:val="nil"/>
              <w:bottom w:val="nil"/>
              <w:right w:val="nil"/>
            </w:tcBorders>
            <w:shd w:val="clear" w:color="000000" w:fill="FFFFFF"/>
            <w:noWrap/>
            <w:vAlign w:val="center"/>
          </w:tcPr>
          <w:p w:rsidRPr="00C84816" w:rsidR="00B24A92" w:rsidP="000571AF" w:rsidRDefault="00B24A92" w14:paraId="1E6C2D0E" w14:textId="77777777">
            <w:pPr>
              <w:spacing w:line="240" w:lineRule="auto"/>
              <w:jc w:val="right"/>
              <w:rPr>
                <w:color w:val="000000"/>
                <w:sz w:val="16"/>
                <w:szCs w:val="16"/>
                <w:lang w:eastAsia="nl-NL"/>
              </w:rPr>
            </w:pPr>
            <w:r w:rsidRPr="006827FA">
              <w:rPr>
                <w:rFonts w:eastAsia="Times New Roman" w:cs="Calibri"/>
                <w:color w:val="000000"/>
                <w:sz w:val="16"/>
                <w:szCs w:val="16"/>
                <w:lang w:eastAsia="nl-NL"/>
              </w:rPr>
              <w:t>-2.557</w:t>
            </w:r>
          </w:p>
        </w:tc>
        <w:tc>
          <w:tcPr>
            <w:tcW w:w="429" w:type="pct"/>
            <w:tcBorders>
              <w:top w:val="nil"/>
              <w:left w:val="nil"/>
              <w:bottom w:val="nil"/>
              <w:right w:val="nil"/>
            </w:tcBorders>
            <w:shd w:val="clear" w:color="000000" w:fill="FFFFFF"/>
            <w:noWrap/>
            <w:vAlign w:val="center"/>
          </w:tcPr>
          <w:p w:rsidRPr="00C84816" w:rsidR="00B24A92" w:rsidP="000571AF" w:rsidRDefault="00B24A92" w14:paraId="37092663" w14:textId="77777777">
            <w:pPr>
              <w:spacing w:line="240" w:lineRule="auto"/>
              <w:jc w:val="right"/>
              <w:rPr>
                <w:color w:val="000000"/>
                <w:sz w:val="16"/>
                <w:szCs w:val="16"/>
                <w:lang w:eastAsia="nl-NL"/>
              </w:rPr>
            </w:pPr>
            <w:r w:rsidRPr="006827FA">
              <w:rPr>
                <w:rFonts w:eastAsia="Times New Roman" w:cs="Calibri"/>
                <w:color w:val="000000"/>
                <w:sz w:val="16"/>
                <w:szCs w:val="16"/>
                <w:lang w:eastAsia="nl-NL"/>
              </w:rPr>
              <w:t>-2.854</w:t>
            </w:r>
          </w:p>
        </w:tc>
        <w:tc>
          <w:tcPr>
            <w:tcW w:w="429" w:type="pct"/>
            <w:tcBorders>
              <w:top w:val="nil"/>
              <w:left w:val="nil"/>
              <w:bottom w:val="nil"/>
              <w:right w:val="nil"/>
            </w:tcBorders>
            <w:shd w:val="clear" w:color="000000" w:fill="FFFFFF"/>
            <w:vAlign w:val="center"/>
          </w:tcPr>
          <w:p w:rsidRPr="00C84816" w:rsidR="00B24A92" w:rsidP="000571AF" w:rsidRDefault="00B24A92" w14:paraId="7512758F" w14:textId="77777777">
            <w:pPr>
              <w:spacing w:line="240" w:lineRule="auto"/>
              <w:jc w:val="right"/>
              <w:rPr>
                <w:color w:val="000000"/>
                <w:sz w:val="16"/>
                <w:szCs w:val="16"/>
                <w:lang w:eastAsia="nl-NL"/>
              </w:rPr>
            </w:pPr>
            <w:r w:rsidRPr="006827FA">
              <w:rPr>
                <w:rFonts w:eastAsia="Times New Roman" w:cs="Calibri"/>
                <w:color w:val="000000"/>
                <w:sz w:val="16"/>
                <w:szCs w:val="16"/>
                <w:lang w:eastAsia="nl-NL"/>
              </w:rPr>
              <w:t>-2.146</w:t>
            </w:r>
          </w:p>
        </w:tc>
        <w:tc>
          <w:tcPr>
            <w:tcW w:w="391" w:type="pct"/>
            <w:tcBorders>
              <w:top w:val="nil"/>
              <w:left w:val="nil"/>
              <w:bottom w:val="nil"/>
              <w:right w:val="single" w:color="auto" w:sz="4" w:space="0"/>
            </w:tcBorders>
            <w:shd w:val="clear" w:color="000000" w:fill="FFFFFF"/>
            <w:noWrap/>
            <w:vAlign w:val="center"/>
          </w:tcPr>
          <w:p w:rsidRPr="00C84816" w:rsidR="00B24A92" w:rsidP="000571AF" w:rsidRDefault="00B24A92" w14:paraId="6034E7BB" w14:textId="77777777">
            <w:pPr>
              <w:spacing w:line="240" w:lineRule="auto"/>
              <w:jc w:val="right"/>
              <w:rPr>
                <w:rFonts w:eastAsia="Times New Roman" w:cs="Calibri"/>
                <w:color w:val="000000"/>
                <w:sz w:val="16"/>
                <w:szCs w:val="16"/>
                <w:lang w:eastAsia="nl-NL"/>
              </w:rPr>
            </w:pPr>
            <w:r w:rsidRPr="00C84816">
              <w:rPr>
                <w:rFonts w:eastAsia="Times New Roman" w:cs="Calibri"/>
                <w:color w:val="000000"/>
                <w:sz w:val="16"/>
                <w:szCs w:val="16"/>
                <w:lang w:eastAsia="nl-NL"/>
              </w:rPr>
              <w:t>-90</w:t>
            </w:r>
          </w:p>
        </w:tc>
      </w:tr>
      <w:tr w:rsidRPr="003257EE" w:rsidR="00B24A92" w:rsidTr="000571AF" w14:paraId="43BCBB61" w14:textId="77777777">
        <w:trPr>
          <w:trHeight w:val="421"/>
        </w:trPr>
        <w:tc>
          <w:tcPr>
            <w:tcW w:w="1959" w:type="pct"/>
            <w:tcBorders>
              <w:top w:val="nil"/>
              <w:left w:val="single" w:color="auto" w:sz="4" w:space="0"/>
              <w:bottom w:val="nil"/>
              <w:right w:val="nil"/>
            </w:tcBorders>
            <w:shd w:val="clear" w:color="000000" w:fill="FFFFFF"/>
            <w:vAlign w:val="center"/>
            <w:hideMark/>
          </w:tcPr>
          <w:p w:rsidRPr="003257EE" w:rsidR="00B24A92" w:rsidP="000571AF" w:rsidRDefault="00B24A92" w14:paraId="7FD22A51"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Verlagen box 2-tarieven</w:t>
            </w:r>
          </w:p>
        </w:tc>
        <w:tc>
          <w:tcPr>
            <w:tcW w:w="450" w:type="pct"/>
            <w:tcBorders>
              <w:top w:val="nil"/>
              <w:left w:val="nil"/>
              <w:bottom w:val="nil"/>
              <w:right w:val="nil"/>
            </w:tcBorders>
            <w:shd w:val="clear" w:color="000000" w:fill="FFFFFF"/>
            <w:vAlign w:val="center"/>
          </w:tcPr>
          <w:p w:rsidRPr="003257EE" w:rsidR="00B24A92" w:rsidP="000571AF" w:rsidRDefault="00B24A92" w14:paraId="3CAE5B4A" w14:textId="002A1107">
            <w:pPr>
              <w:spacing w:line="240" w:lineRule="auto"/>
              <w:jc w:val="right"/>
              <w:rPr>
                <w:rFonts w:eastAsia="Times New Roman" w:cs="Calibri"/>
                <w:color w:val="000000"/>
                <w:sz w:val="16"/>
                <w:szCs w:val="16"/>
                <w:lang w:eastAsia="nl-NL"/>
              </w:rPr>
            </w:pPr>
            <w:r>
              <w:rPr>
                <w:color w:val="000000"/>
                <w:sz w:val="16"/>
                <w:szCs w:val="16"/>
                <w:lang w:eastAsia="nl-NL"/>
              </w:rPr>
              <w:t>-3</w:t>
            </w:r>
            <w:r w:rsidR="00EA7AB6">
              <w:rPr>
                <w:color w:val="000000"/>
                <w:sz w:val="16"/>
                <w:szCs w:val="16"/>
                <w:lang w:eastAsia="nl-NL"/>
              </w:rPr>
              <w:t>.</w:t>
            </w:r>
            <w:r>
              <w:rPr>
                <w:color w:val="000000"/>
                <w:sz w:val="16"/>
                <w:szCs w:val="16"/>
                <w:lang w:eastAsia="nl-NL"/>
              </w:rPr>
              <w:t>813</w:t>
            </w:r>
          </w:p>
        </w:tc>
        <w:tc>
          <w:tcPr>
            <w:tcW w:w="411" w:type="pct"/>
            <w:tcBorders>
              <w:top w:val="nil"/>
              <w:left w:val="nil"/>
              <w:bottom w:val="nil"/>
              <w:right w:val="nil"/>
            </w:tcBorders>
            <w:shd w:val="clear" w:color="000000" w:fill="FFFFFF"/>
            <w:noWrap/>
            <w:vAlign w:val="center"/>
          </w:tcPr>
          <w:p w:rsidRPr="003257EE" w:rsidR="00B24A92" w:rsidP="000571AF" w:rsidRDefault="00B24A92" w14:paraId="07F0F516" w14:textId="77777777">
            <w:pPr>
              <w:spacing w:line="240" w:lineRule="auto"/>
              <w:jc w:val="right"/>
              <w:rPr>
                <w:rFonts w:eastAsia="Times New Roman" w:cs="Calibri"/>
                <w:color w:val="000000"/>
                <w:sz w:val="16"/>
                <w:szCs w:val="16"/>
                <w:lang w:eastAsia="nl-NL"/>
              </w:rPr>
            </w:pPr>
            <w:r>
              <w:rPr>
                <w:color w:val="000000"/>
                <w:sz w:val="16"/>
                <w:szCs w:val="16"/>
                <w:lang w:eastAsia="nl-NL"/>
              </w:rPr>
              <w:t>434</w:t>
            </w:r>
          </w:p>
        </w:tc>
        <w:tc>
          <w:tcPr>
            <w:tcW w:w="465" w:type="pct"/>
            <w:tcBorders>
              <w:top w:val="nil"/>
              <w:left w:val="nil"/>
              <w:bottom w:val="nil"/>
              <w:right w:val="nil"/>
            </w:tcBorders>
            <w:shd w:val="clear" w:color="000000" w:fill="FFFFFF"/>
            <w:noWrap/>
            <w:vAlign w:val="center"/>
          </w:tcPr>
          <w:p w:rsidRPr="003257EE" w:rsidR="00B24A92" w:rsidP="000571AF" w:rsidRDefault="00B24A92" w14:paraId="41F7003E" w14:textId="567A347F">
            <w:pPr>
              <w:spacing w:line="240" w:lineRule="auto"/>
              <w:jc w:val="right"/>
              <w:rPr>
                <w:rFonts w:eastAsia="Times New Roman" w:cs="Calibri"/>
                <w:color w:val="000000"/>
                <w:sz w:val="16"/>
                <w:szCs w:val="16"/>
                <w:lang w:eastAsia="nl-NL"/>
              </w:rPr>
            </w:pPr>
            <w:r>
              <w:rPr>
                <w:color w:val="000000"/>
                <w:sz w:val="16"/>
                <w:szCs w:val="16"/>
                <w:lang w:eastAsia="nl-NL"/>
              </w:rPr>
              <w:t>2</w:t>
            </w:r>
            <w:r w:rsidR="00EA7AB6">
              <w:rPr>
                <w:color w:val="000000"/>
                <w:sz w:val="16"/>
                <w:szCs w:val="16"/>
                <w:lang w:eastAsia="nl-NL"/>
              </w:rPr>
              <w:t>.</w:t>
            </w:r>
            <w:r>
              <w:rPr>
                <w:color w:val="000000"/>
                <w:sz w:val="16"/>
                <w:szCs w:val="16"/>
                <w:lang w:eastAsia="nl-NL"/>
              </w:rPr>
              <w:t>541</w:t>
            </w:r>
          </w:p>
        </w:tc>
        <w:tc>
          <w:tcPr>
            <w:tcW w:w="465" w:type="pct"/>
            <w:tcBorders>
              <w:top w:val="nil"/>
              <w:left w:val="nil"/>
              <w:bottom w:val="nil"/>
              <w:right w:val="nil"/>
            </w:tcBorders>
            <w:shd w:val="clear" w:color="000000" w:fill="FFFFFF"/>
            <w:noWrap/>
            <w:vAlign w:val="center"/>
          </w:tcPr>
          <w:p w:rsidRPr="003257EE" w:rsidR="00B24A92" w:rsidP="000571AF" w:rsidRDefault="00B24A92" w14:paraId="3BD12DA7" w14:textId="77777777">
            <w:pPr>
              <w:spacing w:line="240" w:lineRule="auto"/>
              <w:jc w:val="right"/>
              <w:rPr>
                <w:rFonts w:eastAsia="Times New Roman" w:cs="Calibri"/>
                <w:color w:val="000000"/>
                <w:sz w:val="16"/>
                <w:szCs w:val="16"/>
                <w:lang w:eastAsia="nl-NL"/>
              </w:rPr>
            </w:pPr>
            <w:r>
              <w:rPr>
                <w:color w:val="000000"/>
                <w:sz w:val="16"/>
                <w:szCs w:val="16"/>
                <w:lang w:eastAsia="nl-NL"/>
              </w:rPr>
              <w:t>-436</w:t>
            </w:r>
          </w:p>
        </w:tc>
        <w:tc>
          <w:tcPr>
            <w:tcW w:w="429" w:type="pct"/>
            <w:tcBorders>
              <w:top w:val="nil"/>
              <w:left w:val="nil"/>
              <w:bottom w:val="nil"/>
              <w:right w:val="nil"/>
            </w:tcBorders>
            <w:shd w:val="clear" w:color="000000" w:fill="FFFFFF"/>
            <w:noWrap/>
            <w:vAlign w:val="center"/>
          </w:tcPr>
          <w:p w:rsidRPr="003257EE" w:rsidR="00B24A92" w:rsidP="000571AF" w:rsidRDefault="00B24A92" w14:paraId="62D1456B" w14:textId="7302CB7E">
            <w:pPr>
              <w:spacing w:line="240" w:lineRule="auto"/>
              <w:jc w:val="right"/>
              <w:rPr>
                <w:rFonts w:eastAsia="Times New Roman" w:cs="Calibri"/>
                <w:color w:val="000000"/>
                <w:sz w:val="16"/>
                <w:szCs w:val="16"/>
                <w:lang w:eastAsia="nl-NL"/>
              </w:rPr>
            </w:pPr>
            <w:r>
              <w:rPr>
                <w:color w:val="000000"/>
                <w:sz w:val="16"/>
                <w:szCs w:val="16"/>
                <w:lang w:eastAsia="nl-NL"/>
              </w:rPr>
              <w:t>4</w:t>
            </w:r>
            <w:r w:rsidR="00EA7AB6">
              <w:rPr>
                <w:color w:val="000000"/>
                <w:sz w:val="16"/>
                <w:szCs w:val="16"/>
                <w:lang w:eastAsia="nl-NL"/>
              </w:rPr>
              <w:t>.</w:t>
            </w:r>
            <w:r>
              <w:rPr>
                <w:color w:val="000000"/>
                <w:sz w:val="16"/>
                <w:szCs w:val="16"/>
                <w:lang w:eastAsia="nl-NL"/>
              </w:rPr>
              <w:t>541</w:t>
            </w:r>
          </w:p>
        </w:tc>
        <w:tc>
          <w:tcPr>
            <w:tcW w:w="429" w:type="pct"/>
            <w:tcBorders>
              <w:top w:val="nil"/>
              <w:left w:val="nil"/>
              <w:bottom w:val="nil"/>
              <w:right w:val="nil"/>
            </w:tcBorders>
            <w:shd w:val="clear" w:color="000000" w:fill="FFFFFF"/>
            <w:vAlign w:val="center"/>
          </w:tcPr>
          <w:p w:rsidRPr="003257EE" w:rsidR="00B24A92" w:rsidP="000571AF" w:rsidRDefault="00B24A92" w14:paraId="11610D57" w14:textId="764FA69C">
            <w:pPr>
              <w:spacing w:line="240" w:lineRule="auto"/>
              <w:jc w:val="right"/>
              <w:rPr>
                <w:rFonts w:eastAsia="Times New Roman" w:cs="Calibri"/>
                <w:color w:val="000000"/>
                <w:sz w:val="16"/>
                <w:szCs w:val="16"/>
                <w:lang w:eastAsia="nl-NL"/>
              </w:rPr>
            </w:pPr>
            <w:r>
              <w:rPr>
                <w:color w:val="000000"/>
                <w:sz w:val="16"/>
                <w:szCs w:val="16"/>
                <w:lang w:eastAsia="nl-NL"/>
              </w:rPr>
              <w:t>2</w:t>
            </w:r>
            <w:r w:rsidR="00EA7AB6">
              <w:rPr>
                <w:color w:val="000000"/>
                <w:sz w:val="16"/>
                <w:szCs w:val="16"/>
                <w:lang w:eastAsia="nl-NL"/>
              </w:rPr>
              <w:t>.</w:t>
            </w:r>
            <w:r>
              <w:rPr>
                <w:color w:val="000000"/>
                <w:sz w:val="16"/>
                <w:szCs w:val="16"/>
                <w:lang w:eastAsia="nl-NL"/>
              </w:rPr>
              <w:t>134</w:t>
            </w:r>
          </w:p>
        </w:tc>
        <w:tc>
          <w:tcPr>
            <w:tcW w:w="391" w:type="pct"/>
            <w:tcBorders>
              <w:top w:val="nil"/>
              <w:left w:val="nil"/>
              <w:bottom w:val="nil"/>
              <w:right w:val="single" w:color="auto" w:sz="4" w:space="0"/>
            </w:tcBorders>
            <w:shd w:val="clear" w:color="000000" w:fill="FFFFFF"/>
            <w:noWrap/>
            <w:vAlign w:val="center"/>
          </w:tcPr>
          <w:p w:rsidRPr="003257EE" w:rsidR="00B24A92" w:rsidP="000571AF" w:rsidRDefault="00B24A92" w14:paraId="5349728F" w14:textId="77777777">
            <w:pPr>
              <w:spacing w:line="240" w:lineRule="auto"/>
              <w:jc w:val="right"/>
              <w:rPr>
                <w:rFonts w:eastAsia="Times New Roman" w:cs="Calibri"/>
                <w:color w:val="000000"/>
                <w:sz w:val="16"/>
                <w:szCs w:val="16"/>
                <w:lang w:eastAsia="nl-NL"/>
              </w:rPr>
            </w:pPr>
          </w:p>
        </w:tc>
      </w:tr>
      <w:tr w:rsidRPr="003257EE" w:rsidR="00B24A92" w:rsidTr="000571AF" w14:paraId="1C2E9AED" w14:textId="77777777">
        <w:trPr>
          <w:trHeight w:val="632"/>
        </w:trPr>
        <w:tc>
          <w:tcPr>
            <w:tcW w:w="1959" w:type="pct"/>
            <w:tcBorders>
              <w:top w:val="nil"/>
              <w:left w:val="single" w:color="auto" w:sz="4" w:space="0"/>
              <w:bottom w:val="nil"/>
              <w:right w:val="nil"/>
            </w:tcBorders>
            <w:shd w:val="clear" w:color="000000" w:fill="FFFFFF"/>
            <w:vAlign w:val="center"/>
            <w:hideMark/>
          </w:tcPr>
          <w:p w:rsidRPr="003257EE" w:rsidR="00B24A92" w:rsidP="000571AF" w:rsidRDefault="00B24A92" w14:paraId="3A6D5380" w14:textId="77777777">
            <w:pPr>
              <w:spacing w:line="240" w:lineRule="auto"/>
              <w:rPr>
                <w:rFonts w:eastAsia="Times New Roman" w:cs="Calibri"/>
                <w:color w:val="000000"/>
                <w:sz w:val="16"/>
                <w:szCs w:val="16"/>
                <w:lang w:eastAsia="nl-NL"/>
              </w:rPr>
            </w:pPr>
            <w:r>
              <w:rPr>
                <w:rFonts w:eastAsia="Times New Roman" w:cs="Calibri"/>
                <w:color w:val="000000"/>
                <w:sz w:val="16"/>
                <w:szCs w:val="16"/>
                <w:lang w:eastAsia="nl-NL"/>
              </w:rPr>
              <w:t>Verlaging drempel excessief lenen</w:t>
            </w:r>
            <w:r w:rsidRPr="003257EE">
              <w:rPr>
                <w:rFonts w:eastAsia="Times New Roman" w:cs="Calibri"/>
                <w:color w:val="000000"/>
                <w:sz w:val="16"/>
                <w:szCs w:val="16"/>
                <w:lang w:eastAsia="nl-NL"/>
              </w:rPr>
              <w:t xml:space="preserve"> </w:t>
            </w:r>
          </w:p>
        </w:tc>
        <w:tc>
          <w:tcPr>
            <w:tcW w:w="450" w:type="pct"/>
            <w:tcBorders>
              <w:top w:val="nil"/>
              <w:left w:val="nil"/>
              <w:bottom w:val="nil"/>
              <w:right w:val="nil"/>
            </w:tcBorders>
            <w:shd w:val="clear" w:color="000000" w:fill="FFFFFF"/>
            <w:vAlign w:val="center"/>
          </w:tcPr>
          <w:p w:rsidRPr="003257EE" w:rsidR="00B24A92" w:rsidP="000571AF" w:rsidRDefault="00B24A92" w14:paraId="0F29387C" w14:textId="77777777">
            <w:pPr>
              <w:spacing w:line="240" w:lineRule="auto"/>
              <w:jc w:val="right"/>
              <w:rPr>
                <w:rFonts w:eastAsia="Times New Roman" w:cs="Calibri"/>
                <w:color w:val="000000"/>
                <w:sz w:val="16"/>
                <w:szCs w:val="16"/>
                <w:lang w:eastAsia="nl-NL"/>
              </w:rPr>
            </w:pPr>
          </w:p>
        </w:tc>
        <w:tc>
          <w:tcPr>
            <w:tcW w:w="411" w:type="pct"/>
            <w:tcBorders>
              <w:top w:val="nil"/>
              <w:left w:val="nil"/>
              <w:bottom w:val="nil"/>
              <w:right w:val="nil"/>
            </w:tcBorders>
            <w:shd w:val="clear" w:color="000000" w:fill="FFFFFF"/>
            <w:noWrap/>
            <w:vAlign w:val="center"/>
          </w:tcPr>
          <w:p w:rsidRPr="003257EE" w:rsidR="00B24A92" w:rsidP="000571AF" w:rsidRDefault="00B24A92" w14:paraId="3B689E80" w14:textId="77777777">
            <w:pPr>
              <w:spacing w:line="240" w:lineRule="auto"/>
              <w:jc w:val="right"/>
              <w:rPr>
                <w:rFonts w:eastAsia="Times New Roman" w:cs="Calibri"/>
                <w:color w:val="000000"/>
                <w:sz w:val="16"/>
                <w:szCs w:val="16"/>
                <w:lang w:eastAsia="nl-NL"/>
              </w:rPr>
            </w:pPr>
            <w:r>
              <w:rPr>
                <w:color w:val="000000"/>
                <w:sz w:val="16"/>
                <w:szCs w:val="16"/>
                <w:lang w:eastAsia="nl-NL"/>
              </w:rPr>
              <w:t>133</w:t>
            </w:r>
          </w:p>
        </w:tc>
        <w:tc>
          <w:tcPr>
            <w:tcW w:w="465" w:type="pct"/>
            <w:tcBorders>
              <w:top w:val="nil"/>
              <w:left w:val="nil"/>
              <w:bottom w:val="nil"/>
              <w:right w:val="nil"/>
            </w:tcBorders>
            <w:shd w:val="clear" w:color="000000" w:fill="FFFFFF"/>
            <w:noWrap/>
            <w:vAlign w:val="center"/>
          </w:tcPr>
          <w:p w:rsidRPr="003257EE" w:rsidR="00B24A92" w:rsidP="000571AF" w:rsidRDefault="00B24A92" w14:paraId="379569D8" w14:textId="77777777">
            <w:pPr>
              <w:spacing w:line="240" w:lineRule="auto"/>
              <w:jc w:val="right"/>
              <w:rPr>
                <w:rFonts w:eastAsia="Times New Roman" w:cs="Calibri"/>
                <w:color w:val="000000"/>
                <w:sz w:val="16"/>
                <w:szCs w:val="16"/>
                <w:lang w:eastAsia="nl-NL"/>
              </w:rPr>
            </w:pPr>
            <w:r>
              <w:rPr>
                <w:color w:val="000000"/>
                <w:sz w:val="16"/>
                <w:szCs w:val="16"/>
                <w:lang w:eastAsia="nl-NL"/>
              </w:rPr>
              <w:t>511</w:t>
            </w:r>
          </w:p>
        </w:tc>
        <w:tc>
          <w:tcPr>
            <w:tcW w:w="465" w:type="pct"/>
            <w:tcBorders>
              <w:top w:val="nil"/>
              <w:left w:val="nil"/>
              <w:bottom w:val="nil"/>
              <w:right w:val="nil"/>
            </w:tcBorders>
            <w:shd w:val="clear" w:color="000000" w:fill="FFFFFF"/>
            <w:noWrap/>
            <w:vAlign w:val="center"/>
          </w:tcPr>
          <w:p w:rsidRPr="003257EE" w:rsidR="00B24A92" w:rsidP="000571AF" w:rsidRDefault="00B24A92" w14:paraId="7A0A5909" w14:textId="77777777">
            <w:pPr>
              <w:spacing w:line="240" w:lineRule="auto"/>
              <w:jc w:val="right"/>
              <w:rPr>
                <w:rFonts w:eastAsia="Times New Roman" w:cs="Calibri"/>
                <w:color w:val="000000"/>
                <w:sz w:val="16"/>
                <w:szCs w:val="16"/>
                <w:lang w:eastAsia="nl-NL"/>
              </w:rPr>
            </w:pPr>
            <w:r>
              <w:rPr>
                <w:color w:val="000000"/>
                <w:sz w:val="16"/>
                <w:szCs w:val="16"/>
                <w:lang w:eastAsia="nl-NL"/>
              </w:rPr>
              <w:t>669</w:t>
            </w:r>
          </w:p>
        </w:tc>
        <w:tc>
          <w:tcPr>
            <w:tcW w:w="429" w:type="pct"/>
            <w:tcBorders>
              <w:top w:val="nil"/>
              <w:left w:val="nil"/>
              <w:bottom w:val="nil"/>
              <w:right w:val="nil"/>
            </w:tcBorders>
            <w:shd w:val="clear" w:color="000000" w:fill="FFFFFF"/>
            <w:noWrap/>
            <w:vAlign w:val="center"/>
          </w:tcPr>
          <w:p w:rsidRPr="003257EE" w:rsidR="00B24A92" w:rsidP="000571AF" w:rsidRDefault="00B24A92" w14:paraId="7A0698BD" w14:textId="77777777">
            <w:pPr>
              <w:spacing w:line="240" w:lineRule="auto"/>
              <w:jc w:val="right"/>
              <w:rPr>
                <w:rFonts w:eastAsia="Times New Roman" w:cs="Calibri"/>
                <w:color w:val="000000"/>
                <w:sz w:val="16"/>
                <w:szCs w:val="16"/>
                <w:lang w:eastAsia="nl-NL"/>
              </w:rPr>
            </w:pPr>
            <w:r>
              <w:rPr>
                <w:color w:val="000000"/>
                <w:sz w:val="16"/>
                <w:szCs w:val="16"/>
                <w:lang w:eastAsia="nl-NL"/>
              </w:rPr>
              <w:t>898</w:t>
            </w:r>
          </w:p>
        </w:tc>
        <w:tc>
          <w:tcPr>
            <w:tcW w:w="429" w:type="pct"/>
            <w:tcBorders>
              <w:top w:val="nil"/>
              <w:left w:val="nil"/>
              <w:bottom w:val="nil"/>
              <w:right w:val="nil"/>
            </w:tcBorders>
            <w:shd w:val="clear" w:color="000000" w:fill="FFFFFF"/>
            <w:noWrap/>
            <w:vAlign w:val="center"/>
          </w:tcPr>
          <w:p w:rsidRPr="003257EE" w:rsidR="00B24A92" w:rsidP="000571AF" w:rsidRDefault="00B24A92" w14:paraId="6A1E8F35" w14:textId="68B7B0F8">
            <w:pPr>
              <w:spacing w:line="240" w:lineRule="auto"/>
              <w:jc w:val="right"/>
              <w:rPr>
                <w:rFonts w:eastAsia="Times New Roman" w:cs="Calibri"/>
                <w:color w:val="000000"/>
                <w:sz w:val="16"/>
                <w:szCs w:val="16"/>
                <w:lang w:eastAsia="nl-NL"/>
              </w:rPr>
            </w:pPr>
            <w:r>
              <w:rPr>
                <w:color w:val="000000"/>
                <w:sz w:val="16"/>
                <w:szCs w:val="16"/>
                <w:lang w:eastAsia="nl-NL"/>
              </w:rPr>
              <w:t>1</w:t>
            </w:r>
            <w:r w:rsidR="00EA7AB6">
              <w:rPr>
                <w:color w:val="000000"/>
                <w:sz w:val="16"/>
                <w:szCs w:val="16"/>
                <w:lang w:eastAsia="nl-NL"/>
              </w:rPr>
              <w:t>.</w:t>
            </w:r>
            <w:r>
              <w:rPr>
                <w:color w:val="000000"/>
                <w:sz w:val="16"/>
                <w:szCs w:val="16"/>
                <w:lang w:eastAsia="nl-NL"/>
              </w:rPr>
              <w:t>150</w:t>
            </w:r>
          </w:p>
        </w:tc>
        <w:tc>
          <w:tcPr>
            <w:tcW w:w="391" w:type="pct"/>
            <w:tcBorders>
              <w:top w:val="nil"/>
              <w:left w:val="nil"/>
              <w:bottom w:val="nil"/>
              <w:right w:val="single" w:color="auto" w:sz="4" w:space="0"/>
            </w:tcBorders>
            <w:shd w:val="clear" w:color="000000" w:fill="FFFFFF"/>
            <w:noWrap/>
            <w:vAlign w:val="center"/>
          </w:tcPr>
          <w:p w:rsidRPr="003257EE" w:rsidR="00B24A92" w:rsidP="000571AF" w:rsidRDefault="00B24A92" w14:paraId="3168CA88" w14:textId="77777777">
            <w:pPr>
              <w:spacing w:line="240" w:lineRule="auto"/>
              <w:jc w:val="right"/>
              <w:rPr>
                <w:rFonts w:eastAsia="Times New Roman" w:cs="Calibri"/>
                <w:color w:val="000000"/>
                <w:sz w:val="16"/>
                <w:szCs w:val="16"/>
                <w:lang w:eastAsia="nl-NL"/>
              </w:rPr>
            </w:pPr>
            <w:r>
              <w:rPr>
                <w:rFonts w:eastAsia="Times New Roman" w:cs="Calibri"/>
                <w:color w:val="000000"/>
                <w:sz w:val="16"/>
                <w:szCs w:val="16"/>
                <w:lang w:eastAsia="nl-NL"/>
              </w:rPr>
              <w:t>13</w:t>
            </w:r>
          </w:p>
        </w:tc>
      </w:tr>
      <w:tr w:rsidRPr="00062644" w:rsidR="00B24A92" w:rsidTr="000571AF" w14:paraId="7E95C1B2" w14:textId="77777777">
        <w:trPr>
          <w:trHeight w:val="301"/>
        </w:trPr>
        <w:tc>
          <w:tcPr>
            <w:tcW w:w="1959" w:type="pct"/>
            <w:tcBorders>
              <w:top w:val="nil"/>
              <w:left w:val="single" w:color="auto" w:sz="4" w:space="0"/>
              <w:bottom w:val="single" w:color="auto" w:sz="4" w:space="0"/>
              <w:right w:val="nil"/>
            </w:tcBorders>
            <w:shd w:val="clear" w:color="000000" w:fill="FFFFFF"/>
            <w:noWrap/>
            <w:vAlign w:val="center"/>
            <w:hideMark/>
          </w:tcPr>
          <w:p w:rsidRPr="003257EE" w:rsidR="00B24A92" w:rsidP="000571AF" w:rsidRDefault="00B24A92" w14:paraId="42FA2F91" w14:textId="77777777">
            <w:pPr>
              <w:spacing w:line="240" w:lineRule="auto"/>
              <w:rPr>
                <w:rFonts w:eastAsia="Times New Roman" w:cs="Calibri"/>
                <w:b/>
                <w:bCs/>
                <w:color w:val="000000"/>
                <w:sz w:val="16"/>
                <w:szCs w:val="16"/>
                <w:lang w:eastAsia="nl-NL"/>
              </w:rPr>
            </w:pPr>
            <w:r w:rsidRPr="003257EE">
              <w:rPr>
                <w:rFonts w:eastAsia="Times New Roman" w:cs="Calibri"/>
                <w:b/>
                <w:bCs/>
                <w:color w:val="000000"/>
                <w:sz w:val="16"/>
                <w:szCs w:val="16"/>
                <w:lang w:eastAsia="nl-NL"/>
              </w:rPr>
              <w:t>Totaal</w:t>
            </w:r>
          </w:p>
        </w:tc>
        <w:tc>
          <w:tcPr>
            <w:tcW w:w="450" w:type="pct"/>
            <w:tcBorders>
              <w:top w:val="nil"/>
              <w:left w:val="nil"/>
              <w:bottom w:val="single" w:color="auto" w:sz="4" w:space="0"/>
              <w:right w:val="nil"/>
            </w:tcBorders>
            <w:shd w:val="clear" w:color="000000" w:fill="FFFFFF"/>
            <w:vAlign w:val="center"/>
          </w:tcPr>
          <w:p w:rsidRPr="00062644" w:rsidR="00B24A92" w:rsidP="000571AF" w:rsidRDefault="00B24A92" w14:paraId="12FFB3BB" w14:textId="68DBE201">
            <w:pPr>
              <w:spacing w:line="240" w:lineRule="auto"/>
              <w:jc w:val="right"/>
              <w:rPr>
                <w:rFonts w:cs="Calibri"/>
                <w:b/>
                <w:bCs/>
                <w:color w:val="000000"/>
                <w:sz w:val="16"/>
                <w:szCs w:val="16"/>
              </w:rPr>
            </w:pPr>
            <w:r w:rsidRPr="00020A8F">
              <w:rPr>
                <w:rFonts w:cs="Calibri"/>
                <w:b/>
                <w:bCs/>
                <w:color w:val="000000"/>
                <w:sz w:val="16"/>
                <w:szCs w:val="16"/>
              </w:rPr>
              <w:t>-</w:t>
            </w:r>
            <w:r w:rsidR="00B137A9">
              <w:rPr>
                <w:rFonts w:cs="Calibri"/>
                <w:b/>
                <w:bCs/>
                <w:color w:val="000000"/>
                <w:sz w:val="16"/>
                <w:szCs w:val="16"/>
              </w:rPr>
              <w:t>3</w:t>
            </w:r>
            <w:r w:rsidR="00EA7AB6">
              <w:rPr>
                <w:rFonts w:cs="Calibri"/>
                <w:b/>
                <w:bCs/>
                <w:color w:val="000000"/>
                <w:sz w:val="16"/>
                <w:szCs w:val="16"/>
              </w:rPr>
              <w:t>.</w:t>
            </w:r>
            <w:r w:rsidR="00B137A9">
              <w:rPr>
                <w:rFonts w:cs="Calibri"/>
                <w:b/>
                <w:bCs/>
                <w:color w:val="000000"/>
                <w:sz w:val="16"/>
                <w:szCs w:val="16"/>
              </w:rPr>
              <w:t>813</w:t>
            </w:r>
          </w:p>
        </w:tc>
        <w:tc>
          <w:tcPr>
            <w:tcW w:w="411" w:type="pct"/>
            <w:tcBorders>
              <w:top w:val="nil"/>
              <w:left w:val="nil"/>
              <w:bottom w:val="single" w:color="auto" w:sz="4" w:space="0"/>
              <w:right w:val="nil"/>
            </w:tcBorders>
            <w:shd w:val="clear" w:color="000000" w:fill="FFFFFF"/>
            <w:vAlign w:val="center"/>
          </w:tcPr>
          <w:p w:rsidRPr="00062644" w:rsidR="00B24A92" w:rsidP="000571AF" w:rsidRDefault="00B137A9" w14:paraId="769ECF8B" w14:textId="458FCD54">
            <w:pPr>
              <w:spacing w:line="240" w:lineRule="auto"/>
              <w:jc w:val="right"/>
              <w:rPr>
                <w:rFonts w:eastAsia="Times New Roman" w:cs="Calibri"/>
                <w:b/>
                <w:bCs/>
                <w:sz w:val="16"/>
                <w:szCs w:val="16"/>
                <w:lang w:eastAsia="nl-NL"/>
              </w:rPr>
            </w:pPr>
            <w:r>
              <w:rPr>
                <w:rFonts w:cs="Calibri"/>
                <w:b/>
                <w:bCs/>
                <w:color w:val="000000"/>
                <w:sz w:val="16"/>
                <w:szCs w:val="16"/>
              </w:rPr>
              <w:t>567</w:t>
            </w:r>
          </w:p>
        </w:tc>
        <w:tc>
          <w:tcPr>
            <w:tcW w:w="465" w:type="pct"/>
            <w:tcBorders>
              <w:top w:val="nil"/>
              <w:left w:val="nil"/>
              <w:bottom w:val="single" w:color="auto" w:sz="4" w:space="0"/>
              <w:right w:val="nil"/>
            </w:tcBorders>
            <w:shd w:val="clear" w:color="000000" w:fill="FFFFFF"/>
            <w:vAlign w:val="center"/>
          </w:tcPr>
          <w:p w:rsidRPr="00062644" w:rsidR="00B24A92" w:rsidP="000571AF" w:rsidRDefault="00B137A9" w14:paraId="458CF3B1" w14:textId="0D46667F">
            <w:pPr>
              <w:spacing w:line="240" w:lineRule="auto"/>
              <w:jc w:val="right"/>
              <w:rPr>
                <w:rFonts w:eastAsia="Times New Roman" w:cs="Calibri"/>
                <w:b/>
                <w:bCs/>
                <w:sz w:val="16"/>
                <w:szCs w:val="16"/>
                <w:lang w:eastAsia="nl-NL"/>
              </w:rPr>
            </w:pPr>
            <w:r>
              <w:rPr>
                <w:rFonts w:cs="Calibri"/>
                <w:b/>
                <w:bCs/>
                <w:color w:val="000000"/>
                <w:sz w:val="16"/>
                <w:szCs w:val="16"/>
              </w:rPr>
              <w:t>219</w:t>
            </w:r>
          </w:p>
        </w:tc>
        <w:tc>
          <w:tcPr>
            <w:tcW w:w="465" w:type="pct"/>
            <w:tcBorders>
              <w:top w:val="nil"/>
              <w:left w:val="nil"/>
              <w:bottom w:val="single" w:color="auto" w:sz="4" w:space="0"/>
              <w:right w:val="nil"/>
            </w:tcBorders>
            <w:shd w:val="clear" w:color="000000" w:fill="FFFFFF"/>
            <w:vAlign w:val="center"/>
          </w:tcPr>
          <w:p w:rsidRPr="00062644" w:rsidR="00B24A92" w:rsidP="000571AF" w:rsidRDefault="00B137A9" w14:paraId="4B6DB23B" w14:textId="293CCA8C">
            <w:pPr>
              <w:spacing w:line="240" w:lineRule="auto"/>
              <w:jc w:val="right"/>
              <w:rPr>
                <w:rFonts w:eastAsia="Times New Roman" w:cs="Calibri"/>
                <w:b/>
                <w:bCs/>
                <w:sz w:val="16"/>
                <w:szCs w:val="16"/>
                <w:lang w:eastAsia="nl-NL"/>
              </w:rPr>
            </w:pPr>
            <w:r>
              <w:rPr>
                <w:rFonts w:cs="Calibri"/>
                <w:b/>
                <w:bCs/>
                <w:color w:val="000000"/>
                <w:sz w:val="16"/>
                <w:szCs w:val="16"/>
              </w:rPr>
              <w:t>-3</w:t>
            </w:r>
            <w:r w:rsidR="00EA7AB6">
              <w:rPr>
                <w:rFonts w:cs="Calibri"/>
                <w:b/>
                <w:bCs/>
                <w:color w:val="000000"/>
                <w:sz w:val="16"/>
                <w:szCs w:val="16"/>
              </w:rPr>
              <w:t>.</w:t>
            </w:r>
            <w:r>
              <w:rPr>
                <w:rFonts w:cs="Calibri"/>
                <w:b/>
                <w:bCs/>
                <w:color w:val="000000"/>
                <w:sz w:val="16"/>
                <w:szCs w:val="16"/>
              </w:rPr>
              <w:t>538</w:t>
            </w:r>
          </w:p>
        </w:tc>
        <w:tc>
          <w:tcPr>
            <w:tcW w:w="429" w:type="pct"/>
            <w:tcBorders>
              <w:top w:val="nil"/>
              <w:left w:val="nil"/>
              <w:bottom w:val="single" w:color="auto" w:sz="4" w:space="0"/>
              <w:right w:val="nil"/>
            </w:tcBorders>
            <w:shd w:val="clear" w:color="000000" w:fill="FFFFFF"/>
            <w:vAlign w:val="center"/>
          </w:tcPr>
          <w:p w:rsidRPr="00062644" w:rsidR="00B24A92" w:rsidP="000571AF" w:rsidRDefault="00B137A9" w14:paraId="4A5B4E9C" w14:textId="1C33319B">
            <w:pPr>
              <w:spacing w:line="240" w:lineRule="auto"/>
              <w:jc w:val="right"/>
              <w:rPr>
                <w:rFonts w:eastAsia="Times New Roman" w:cs="Calibri"/>
                <w:b/>
                <w:bCs/>
                <w:sz w:val="16"/>
                <w:szCs w:val="16"/>
                <w:lang w:eastAsia="nl-NL"/>
              </w:rPr>
            </w:pPr>
            <w:r>
              <w:rPr>
                <w:rFonts w:cs="Calibri"/>
                <w:b/>
                <w:bCs/>
                <w:color w:val="000000"/>
                <w:sz w:val="16"/>
                <w:szCs w:val="16"/>
              </w:rPr>
              <w:t>2</w:t>
            </w:r>
            <w:r w:rsidR="00EA7AB6">
              <w:rPr>
                <w:rFonts w:cs="Calibri"/>
                <w:b/>
                <w:bCs/>
                <w:color w:val="000000"/>
                <w:sz w:val="16"/>
                <w:szCs w:val="16"/>
              </w:rPr>
              <w:t>.</w:t>
            </w:r>
            <w:r>
              <w:rPr>
                <w:rFonts w:cs="Calibri"/>
                <w:b/>
                <w:bCs/>
                <w:color w:val="000000"/>
                <w:sz w:val="16"/>
                <w:szCs w:val="16"/>
              </w:rPr>
              <w:t>585</w:t>
            </w:r>
          </w:p>
        </w:tc>
        <w:tc>
          <w:tcPr>
            <w:tcW w:w="429" w:type="pct"/>
            <w:tcBorders>
              <w:top w:val="nil"/>
              <w:left w:val="nil"/>
              <w:bottom w:val="single" w:color="auto" w:sz="4" w:space="0"/>
              <w:right w:val="nil"/>
            </w:tcBorders>
            <w:shd w:val="clear" w:color="000000" w:fill="FFFFFF"/>
            <w:vAlign w:val="center"/>
          </w:tcPr>
          <w:p w:rsidRPr="00062644" w:rsidR="00B24A92" w:rsidP="000571AF" w:rsidRDefault="00B137A9" w14:paraId="2BE393F6" w14:textId="6A0D1580">
            <w:pPr>
              <w:spacing w:line="240" w:lineRule="auto"/>
              <w:jc w:val="right"/>
              <w:rPr>
                <w:rFonts w:eastAsia="Times New Roman" w:cs="Calibri"/>
                <w:b/>
                <w:bCs/>
                <w:sz w:val="16"/>
                <w:szCs w:val="16"/>
                <w:lang w:eastAsia="nl-NL"/>
              </w:rPr>
            </w:pPr>
            <w:r>
              <w:rPr>
                <w:rFonts w:cs="Calibri"/>
                <w:b/>
                <w:bCs/>
                <w:color w:val="000000"/>
                <w:sz w:val="16"/>
                <w:szCs w:val="16"/>
              </w:rPr>
              <w:t>1</w:t>
            </w:r>
            <w:r w:rsidR="00EA7AB6">
              <w:rPr>
                <w:rFonts w:cs="Calibri"/>
                <w:b/>
                <w:bCs/>
                <w:color w:val="000000"/>
                <w:sz w:val="16"/>
                <w:szCs w:val="16"/>
              </w:rPr>
              <w:t>.</w:t>
            </w:r>
            <w:r>
              <w:rPr>
                <w:rFonts w:cs="Calibri"/>
                <w:b/>
                <w:bCs/>
                <w:color w:val="000000"/>
                <w:sz w:val="16"/>
                <w:szCs w:val="16"/>
              </w:rPr>
              <w:t>138</w:t>
            </w:r>
          </w:p>
        </w:tc>
        <w:tc>
          <w:tcPr>
            <w:tcW w:w="391" w:type="pct"/>
            <w:tcBorders>
              <w:top w:val="nil"/>
              <w:left w:val="nil"/>
              <w:bottom w:val="single" w:color="auto" w:sz="4" w:space="0"/>
              <w:right w:val="single" w:color="auto" w:sz="4" w:space="0"/>
            </w:tcBorders>
            <w:shd w:val="clear" w:color="000000" w:fill="FFFFFF"/>
            <w:vAlign w:val="center"/>
          </w:tcPr>
          <w:p w:rsidRPr="00062644" w:rsidR="00B24A92" w:rsidP="000571AF" w:rsidRDefault="00B137A9" w14:paraId="54AFFD50" w14:textId="021FC70B">
            <w:pPr>
              <w:spacing w:line="240" w:lineRule="auto"/>
              <w:jc w:val="right"/>
              <w:rPr>
                <w:rFonts w:eastAsia="Times New Roman" w:cs="Calibri"/>
                <w:b/>
                <w:bCs/>
                <w:sz w:val="16"/>
                <w:szCs w:val="16"/>
                <w:lang w:eastAsia="nl-NL"/>
              </w:rPr>
            </w:pPr>
            <w:r>
              <w:rPr>
                <w:rFonts w:cs="Calibri"/>
                <w:b/>
                <w:bCs/>
                <w:color w:val="000000"/>
                <w:sz w:val="16"/>
                <w:szCs w:val="16"/>
              </w:rPr>
              <w:t>-77</w:t>
            </w:r>
          </w:p>
        </w:tc>
      </w:tr>
    </w:tbl>
    <w:p w:rsidR="00F461E2" w:rsidP="00F40172" w:rsidRDefault="00F461E2" w14:paraId="3E71634B" w14:textId="77777777">
      <w:pPr>
        <w:rPr>
          <w:szCs w:val="18"/>
        </w:rPr>
      </w:pPr>
    </w:p>
    <w:p w:rsidR="00F40172" w:rsidP="00F40172" w:rsidRDefault="00F150E6" w14:paraId="09ECFAEE" w14:textId="7BA8340F">
      <w:pPr>
        <w:rPr>
          <w:szCs w:val="18"/>
        </w:rPr>
      </w:pPr>
      <w:r>
        <w:rPr>
          <w:szCs w:val="18"/>
        </w:rPr>
        <w:lastRenderedPageBreak/>
        <w:t xml:space="preserve">Voor box 3 blijft het forfaitaire stelsel met tegenbewijsregeling ook in 2028 nog van kracht. Dit leidt tot een incidentele budgettaire derving in dat jaar. Omdat voorlopige aangiftegegevens voor eerdere jaren suggereren dat het aantal tegenbewijzen mogelijk mee zou kunnen vallen ten opzichte van eerdere ramingen, is in deze raming </w:t>
      </w:r>
      <w:proofErr w:type="gramStart"/>
      <w:r>
        <w:rPr>
          <w:szCs w:val="18"/>
        </w:rPr>
        <w:t>reeds</w:t>
      </w:r>
      <w:proofErr w:type="gramEnd"/>
      <w:r>
        <w:rPr>
          <w:szCs w:val="18"/>
        </w:rPr>
        <w:t xml:space="preserve"> een afslag van 20% meegenomen. In de Wet werkelijk rendement box 3 worden bij ingang in 2029 financiële instrumenten onder de vermogenswinstbelasting gebracht. </w:t>
      </w:r>
      <w:r w:rsidR="00F40172">
        <w:rPr>
          <w:szCs w:val="18"/>
        </w:rPr>
        <w:t xml:space="preserve">De voorgenomen doorontwikkeling naar een volledige vermogenswinstbelasting per 2030 is niet als maatregel in dit wetsvoorstel opgenomen, het kabinet zal hier een separaat voorstel voor uitwerken. Daarom zijn de budgettaire gevolgen van een volledige vermogenswinstbelasting niet meegenomen in deze tabel. </w:t>
      </w:r>
      <w:r w:rsidR="008A7173">
        <w:rPr>
          <w:szCs w:val="18"/>
        </w:rPr>
        <w:t xml:space="preserve">De overgang van een vermogensaanwasbelasting naar een vermogenswinstbelasting leidt tot een budgettaire derving. Bij een vermogensaanwasbelasting wordt de waardestijging ieder jaar belast, terwijl bij een vermogenswinstbelasting het belasten pas plaatsvindt bij realisatie. Omdat niet alle effecten ieder jaar worden gerealiseerd, zal de vermogenswinstbelasting in de eerste jaren minder opbrengen dan een vermogensaanwasbelasting. </w:t>
      </w:r>
      <w:r w:rsidR="00F40172">
        <w:rPr>
          <w:szCs w:val="18"/>
        </w:rPr>
        <w:t xml:space="preserve">Daarnaast </w:t>
      </w:r>
      <w:r w:rsidR="00F73F69">
        <w:rPr>
          <w:szCs w:val="18"/>
        </w:rPr>
        <w:t>is</w:t>
      </w:r>
      <w:r w:rsidR="00F40172">
        <w:rPr>
          <w:szCs w:val="18"/>
        </w:rPr>
        <w:t xml:space="preserve"> de </w:t>
      </w:r>
      <w:r w:rsidRPr="00A060DB" w:rsidR="00F40172">
        <w:rPr>
          <w:szCs w:val="18"/>
        </w:rPr>
        <w:t>raming voor de tijdelijke verlaging</w:t>
      </w:r>
      <w:r w:rsidR="00F40172">
        <w:rPr>
          <w:szCs w:val="18"/>
        </w:rPr>
        <w:t xml:space="preserve"> van </w:t>
      </w:r>
      <w:r w:rsidR="00F73F69">
        <w:rPr>
          <w:szCs w:val="18"/>
        </w:rPr>
        <w:t xml:space="preserve">de </w:t>
      </w:r>
      <w:r w:rsidRPr="00A060DB" w:rsidR="00F40172">
        <w:rPr>
          <w:szCs w:val="18"/>
        </w:rPr>
        <w:t>box 2</w:t>
      </w:r>
      <w:r w:rsidR="00F73F69">
        <w:rPr>
          <w:szCs w:val="18"/>
        </w:rPr>
        <w:t>-</w:t>
      </w:r>
      <w:r w:rsidRPr="00A060DB" w:rsidR="00F40172">
        <w:rPr>
          <w:szCs w:val="18"/>
        </w:rPr>
        <w:t xml:space="preserve"> tarie</w:t>
      </w:r>
      <w:r w:rsidR="00F73F69">
        <w:rPr>
          <w:szCs w:val="18"/>
        </w:rPr>
        <w:t>ven</w:t>
      </w:r>
      <w:r w:rsidRPr="00A060DB" w:rsidR="00F40172">
        <w:rPr>
          <w:szCs w:val="18"/>
        </w:rPr>
        <w:t xml:space="preserve"> </w:t>
      </w:r>
      <w:r w:rsidR="00F40172">
        <w:rPr>
          <w:szCs w:val="18"/>
        </w:rPr>
        <w:t xml:space="preserve">licht </w:t>
      </w:r>
      <w:r w:rsidRPr="00A060DB" w:rsidR="00F40172">
        <w:rPr>
          <w:szCs w:val="18"/>
        </w:rPr>
        <w:t>bijgesteld</w:t>
      </w:r>
      <w:r w:rsidR="00F40172">
        <w:rPr>
          <w:szCs w:val="18"/>
        </w:rPr>
        <w:t xml:space="preserve"> als gevolg van interactie-effecten.</w:t>
      </w:r>
    </w:p>
    <w:p w:rsidR="00F40172" w:rsidP="00F40172" w:rsidRDefault="00F40172" w14:paraId="63632140" w14:textId="77777777">
      <w:pPr>
        <w:rPr>
          <w:szCs w:val="18"/>
        </w:rPr>
      </w:pPr>
    </w:p>
    <w:p w:rsidRPr="005F3176" w:rsidR="00F40172" w:rsidP="00F40172" w:rsidRDefault="00F40172" w14:paraId="6CFF7534" w14:textId="44958E61">
      <w:pPr>
        <w:rPr>
          <w:i/>
          <w:iCs/>
          <w:szCs w:val="18"/>
        </w:rPr>
      </w:pPr>
      <w:r w:rsidRPr="005F3176">
        <w:rPr>
          <w:i/>
          <w:iCs/>
          <w:szCs w:val="18"/>
        </w:rPr>
        <w:t>Verlagen box 2-tarie</w:t>
      </w:r>
      <w:r w:rsidR="00F73F69">
        <w:rPr>
          <w:i/>
          <w:iCs/>
          <w:szCs w:val="18"/>
        </w:rPr>
        <w:t>ven</w:t>
      </w:r>
    </w:p>
    <w:p w:rsidR="00F40172" w:rsidP="00F40172" w:rsidRDefault="00F40172" w14:paraId="1F404DBE" w14:textId="61E58321">
      <w:pPr>
        <w:rPr>
          <w:szCs w:val="18"/>
        </w:rPr>
      </w:pPr>
      <w:r>
        <w:rPr>
          <w:szCs w:val="18"/>
        </w:rPr>
        <w:t xml:space="preserve">De tijdelijke verlaging van </w:t>
      </w:r>
      <w:r w:rsidR="00F73F69">
        <w:rPr>
          <w:szCs w:val="18"/>
        </w:rPr>
        <w:t>de</w:t>
      </w:r>
      <w:r>
        <w:rPr>
          <w:szCs w:val="18"/>
        </w:rPr>
        <w:t xml:space="preserve"> box 2-tari</w:t>
      </w:r>
      <w:r w:rsidR="00F73F69">
        <w:rPr>
          <w:szCs w:val="18"/>
        </w:rPr>
        <w:t>even</w:t>
      </w:r>
      <w:r>
        <w:rPr>
          <w:szCs w:val="18"/>
        </w:rPr>
        <w:t xml:space="preserve"> in de jaren 2027 tot en met 2030 levert als gevolg van anticipatie op de invoering een derving op in 2026 en een hogere opbrengst in 2027. In de jaren daarna, 2028 en 2029 is er een derving door </w:t>
      </w:r>
      <w:r w:rsidR="00F73F69">
        <w:rPr>
          <w:szCs w:val="18"/>
        </w:rPr>
        <w:t xml:space="preserve">de </w:t>
      </w:r>
      <w:r>
        <w:rPr>
          <w:szCs w:val="18"/>
        </w:rPr>
        <w:t>lagere tarie</w:t>
      </w:r>
      <w:r w:rsidR="00F73F69">
        <w:rPr>
          <w:szCs w:val="18"/>
        </w:rPr>
        <w:t>ven</w:t>
      </w:r>
      <w:r>
        <w:rPr>
          <w:szCs w:val="18"/>
        </w:rPr>
        <w:t>. In 2030 is er een grote eenmalige extra opbrengst door anticipatie op de verhoging van tarief in 2031 als gevolg van het aflopen van de tijdelijke verlaging</w:t>
      </w:r>
      <w:r w:rsidR="00F73F69">
        <w:rPr>
          <w:szCs w:val="18"/>
        </w:rPr>
        <w:t>en</w:t>
      </w:r>
      <w:r>
        <w:rPr>
          <w:szCs w:val="18"/>
        </w:rPr>
        <w:t xml:space="preserve">. Door de verschuiving van grondslag naar voren zal er in de jaren daarna een derving zijn. </w:t>
      </w:r>
      <w:r w:rsidR="00E97CBE">
        <w:rPr>
          <w:szCs w:val="18"/>
        </w:rPr>
        <w:t>Voor het EMU-saldo worden deze effecten in tabel 2 met vertraging zichtbaar, omdat een significant deel van de opbrengsten in box 2 pas een jaar later ontvangen word</w:t>
      </w:r>
      <w:r w:rsidR="00F73F69">
        <w:rPr>
          <w:szCs w:val="18"/>
        </w:rPr>
        <w:t>t</w:t>
      </w:r>
      <w:r w:rsidR="00E97CBE">
        <w:rPr>
          <w:szCs w:val="18"/>
        </w:rPr>
        <w:t xml:space="preserve">. </w:t>
      </w:r>
      <w:r>
        <w:rPr>
          <w:szCs w:val="18"/>
        </w:rPr>
        <w:t xml:space="preserve">Voor het inkomstenkader wordt de vlakke reeks </w:t>
      </w:r>
      <w:r w:rsidR="00E97CBE">
        <w:rPr>
          <w:szCs w:val="18"/>
        </w:rPr>
        <w:t xml:space="preserve">genomen met dezelfde netto-contante waarde als de volledige transactiereeks, </w:t>
      </w:r>
      <w:r>
        <w:rPr>
          <w:szCs w:val="18"/>
        </w:rPr>
        <w:t xml:space="preserve">gedurende de jaren dat de maatregel geldt. Deze komt uit op een derving van € </w:t>
      </w:r>
      <w:r w:rsidR="00F73F69">
        <w:rPr>
          <w:szCs w:val="18"/>
        </w:rPr>
        <w:t>575</w:t>
      </w:r>
      <w:r>
        <w:rPr>
          <w:szCs w:val="18"/>
        </w:rPr>
        <w:t xml:space="preserve"> miljoen per jaar gedurende de jaren 2027 tot en met 2030.</w:t>
      </w:r>
    </w:p>
    <w:p w:rsidR="00F40172" w:rsidP="00F40172" w:rsidRDefault="00F40172" w14:paraId="00F343A0" w14:textId="77777777">
      <w:pPr>
        <w:rPr>
          <w:szCs w:val="18"/>
        </w:rPr>
      </w:pPr>
    </w:p>
    <w:p w:rsidRPr="00663E20" w:rsidR="00F40172" w:rsidP="00F40172" w:rsidRDefault="00F40172" w14:paraId="0F75FD30" w14:textId="77777777">
      <w:pPr>
        <w:rPr>
          <w:i/>
          <w:iCs/>
          <w:szCs w:val="18"/>
        </w:rPr>
      </w:pPr>
      <w:r w:rsidRPr="00663E20">
        <w:rPr>
          <w:i/>
          <w:iCs/>
          <w:szCs w:val="18"/>
        </w:rPr>
        <w:t>Verlag</w:t>
      </w:r>
      <w:r>
        <w:rPr>
          <w:i/>
          <w:iCs/>
          <w:szCs w:val="18"/>
        </w:rPr>
        <w:t>ing drempel excessief lenen</w:t>
      </w:r>
    </w:p>
    <w:p w:rsidRPr="0088604D" w:rsidR="00F40172" w:rsidP="00F40172" w:rsidRDefault="00F40172" w14:paraId="3C7EC66C" w14:textId="77777777">
      <w:pPr>
        <w:rPr>
          <w:szCs w:val="18"/>
        </w:rPr>
      </w:pPr>
      <w:r>
        <w:rPr>
          <w:szCs w:val="18"/>
        </w:rPr>
        <w:t xml:space="preserve">Door de stapsgewijze verlaging van het </w:t>
      </w:r>
      <w:r w:rsidRPr="00C96D4D">
        <w:rPr>
          <w:rFonts w:eastAsia="Calibri" w:cs="Times New Roman"/>
          <w:szCs w:val="18"/>
        </w:rPr>
        <w:t xml:space="preserve">maximumbedrag voor excessief lenen </w:t>
      </w:r>
      <w:r>
        <w:rPr>
          <w:rFonts w:eastAsia="Calibri" w:cs="Times New Roman"/>
          <w:szCs w:val="18"/>
        </w:rPr>
        <w:t>in de jaren 2027 tot en met 2031 wordt elk jaar een toenemend deel van de uitstaande leningen geraakt. Dit leidt tot een opbrengst in box 2 voor zover de schuld als fictief voordeel wordt belast dan wel voor zover deze wordt afgelost met uitgekeerd dividend. Dit leidt steeds in elk jaar tot een eenmalige opbrengst en een derving in de volgende jaren doordat belastinggrondslag naar voren is gehaald. Verder leidt de maatregel tot een opbrengst doordat belastinguitstel door het aangaan van nieuwe schulden wordt ontmoedigd. Het samenspel van deze effecten leidt tot de getoonde budgettaire reeks op transactiebasis.</w:t>
      </w:r>
      <w:r>
        <w:rPr>
          <w:szCs w:val="18"/>
        </w:rPr>
        <w:t xml:space="preserve">      </w:t>
      </w:r>
    </w:p>
    <w:p w:rsidRPr="00E27D81" w:rsidR="00C96D4D" w:rsidP="002751D9" w:rsidRDefault="00C96D4D" w14:paraId="547CB53D" w14:textId="77777777">
      <w:pPr>
        <w:rPr>
          <w:szCs w:val="18"/>
        </w:rPr>
      </w:pPr>
    </w:p>
    <w:p w:rsidR="00BF7268" w:rsidP="002751D9" w:rsidRDefault="006A1091" w14:paraId="47888F97" w14:textId="2E5359F7">
      <w:pPr>
        <w:pStyle w:val="Kop2"/>
        <w:rPr>
          <w:szCs w:val="18"/>
        </w:rPr>
      </w:pPr>
      <w:bookmarkStart w:name="_Toc244590635" w:id="16"/>
      <w:bookmarkStart w:name="_Toc235707122" w:id="17"/>
      <w:r w:rsidRPr="0088604D">
        <w:rPr>
          <w:szCs w:val="18"/>
        </w:rPr>
        <w:t>Uitvoeringsgevolgen</w:t>
      </w:r>
      <w:bookmarkEnd w:id="16"/>
      <w:r w:rsidRPr="0088604D">
        <w:rPr>
          <w:szCs w:val="18"/>
        </w:rPr>
        <w:t xml:space="preserve"> </w:t>
      </w:r>
      <w:bookmarkEnd w:id="17"/>
    </w:p>
    <w:p w:rsidR="000F197A" w:rsidP="00FA644A" w:rsidRDefault="000F197A" w14:paraId="170362B7" w14:textId="77777777">
      <w:bookmarkStart w:name="_Toc235707124" w:id="18"/>
    </w:p>
    <w:p w:rsidRPr="00591726" w:rsidR="00591726" w:rsidP="00591726" w:rsidRDefault="00591726" w14:paraId="3336C464" w14:textId="1F92A364">
      <w:pPr>
        <w:rPr>
          <w:szCs w:val="18"/>
        </w:rPr>
      </w:pPr>
      <w:r w:rsidRPr="00591726">
        <w:rPr>
          <w:szCs w:val="18"/>
        </w:rPr>
        <w:t xml:space="preserve">De maatregelen in dit wetsvoorstel zijn door de Belastingdienst beoordeeld met een uitvoeringstoets. Er is een aparte uitvoeringstoets gedaan voor de voorgestelde uitbreiding van de </w:t>
      </w:r>
      <w:r w:rsidRPr="00591726">
        <w:rPr>
          <w:szCs w:val="18"/>
        </w:rPr>
        <w:lastRenderedPageBreak/>
        <w:t xml:space="preserve">vermogenswinstbelasting, en voor de voorgestelde dekkingsmaatregelen. De uitvoeringstoetsen </w:t>
      </w:r>
      <w:r w:rsidR="00B94B1B">
        <w:rPr>
          <w:szCs w:val="18"/>
        </w:rPr>
        <w:t xml:space="preserve">over de voorgestelde </w:t>
      </w:r>
      <w:r w:rsidRPr="00591726">
        <w:rPr>
          <w:szCs w:val="18"/>
        </w:rPr>
        <w:t xml:space="preserve">dekkingsmaatregelen </w:t>
      </w:r>
      <w:r w:rsidR="00B94B1B">
        <w:rPr>
          <w:szCs w:val="18"/>
        </w:rPr>
        <w:t>zal worden nagestuurd.</w:t>
      </w:r>
    </w:p>
    <w:p w:rsidRPr="00591726" w:rsidR="00591726" w:rsidP="00591726" w:rsidRDefault="00591726" w14:paraId="57190D50" w14:textId="77777777">
      <w:pPr>
        <w:rPr>
          <w:szCs w:val="18"/>
        </w:rPr>
      </w:pPr>
    </w:p>
    <w:p w:rsidRPr="00591726" w:rsidR="00591726" w:rsidP="00591726" w:rsidRDefault="008F3CFB" w14:paraId="77209FDC" w14:textId="110EA03E">
      <w:pPr>
        <w:rPr>
          <w:szCs w:val="18"/>
        </w:rPr>
      </w:pPr>
      <w:r>
        <w:rPr>
          <w:szCs w:val="18"/>
        </w:rPr>
        <w:t xml:space="preserve">De uitvoeringstoets is gebaseerd op een ingangsdatum van het wetsvoorstel Wet werkelijk rendement box 3 met novelle per 2028. </w:t>
      </w:r>
      <w:r w:rsidRPr="00591726" w:rsidR="00591726">
        <w:rPr>
          <w:szCs w:val="18"/>
        </w:rPr>
        <w:t>De uitbreiding van de vermogenswinstbelasting is technisch maakbaar en inpasbaar op voorwaarde dat het wetsvoorstel uiterlijk op 31 december 2026 is aangenomen door de Tweede en de Eerste Kamer. De beoordeling of het voorstel uitvoerbaar is, verschilt per belastingjaar.</w:t>
      </w:r>
    </w:p>
    <w:p w:rsidRPr="00591726" w:rsidR="00591726" w:rsidP="00591726" w:rsidRDefault="00591726" w14:paraId="39A1A70B" w14:textId="77777777">
      <w:pPr>
        <w:rPr>
          <w:szCs w:val="18"/>
        </w:rPr>
      </w:pPr>
    </w:p>
    <w:p w:rsidRPr="00591726" w:rsidR="00591726" w:rsidP="00591726" w:rsidRDefault="00591726" w14:paraId="09922F09" w14:textId="77777777">
      <w:pPr>
        <w:rPr>
          <w:szCs w:val="18"/>
        </w:rPr>
      </w:pPr>
      <w:r w:rsidRPr="00591726">
        <w:rPr>
          <w:szCs w:val="18"/>
        </w:rPr>
        <w:t>Voor belastingjaar 2028 moeten dusdanig substantiële risico’s worden geaccepteerd dat de Belastingdienst het wetsvoorstel als onuitvoerbaar beschouwt. De risico’s zijn:</w:t>
      </w:r>
    </w:p>
    <w:p w:rsidRPr="00591726" w:rsidR="00591726" w:rsidP="00591726" w:rsidRDefault="00591726" w14:paraId="48231E2C" w14:textId="77777777">
      <w:pPr>
        <w:numPr>
          <w:ilvl w:val="0"/>
          <w:numId w:val="45"/>
        </w:numPr>
        <w:rPr>
          <w:szCs w:val="18"/>
        </w:rPr>
      </w:pPr>
      <w:proofErr w:type="gramStart"/>
      <w:r w:rsidRPr="00591726">
        <w:rPr>
          <w:szCs w:val="18"/>
        </w:rPr>
        <w:t>deze</w:t>
      </w:r>
      <w:proofErr w:type="gramEnd"/>
      <w:r w:rsidRPr="00591726">
        <w:rPr>
          <w:szCs w:val="18"/>
        </w:rPr>
        <w:t xml:space="preserve"> variant doet een aanzienlijk beroep op het </w:t>
      </w:r>
      <w:proofErr w:type="spellStart"/>
      <w:r w:rsidRPr="00591726">
        <w:rPr>
          <w:szCs w:val="18"/>
        </w:rPr>
        <w:t>doenvermogen</w:t>
      </w:r>
      <w:proofErr w:type="spellEnd"/>
      <w:r w:rsidRPr="00591726">
        <w:rPr>
          <w:szCs w:val="18"/>
        </w:rPr>
        <w:t xml:space="preserve"> van veel belastingplichtigen: het is niet mogelijk te werken met een </w:t>
      </w:r>
      <w:proofErr w:type="spellStart"/>
      <w:r w:rsidRPr="00591726">
        <w:rPr>
          <w:szCs w:val="18"/>
        </w:rPr>
        <w:t>vooringevulde</w:t>
      </w:r>
      <w:proofErr w:type="spellEnd"/>
      <w:r w:rsidRPr="00591726">
        <w:rPr>
          <w:szCs w:val="18"/>
        </w:rPr>
        <w:t xml:space="preserve"> aangifte. Belastingplichtigen moeten zelf informatie invullen en aanleveren op het niveau van een beleggingsportefeuille, met een groot risico op onbewuste fouten. Dit zorgt voor grote administratieve lasten bij de belastingplichtigen. Onzeker is of alle banken informatie kunnen aanleveren aan de belastingplichtige en of de informatie die wordt aangeleverd voldoende is om de aangifte juist en volledig in te vullen;</w:t>
      </w:r>
    </w:p>
    <w:p w:rsidRPr="00591726" w:rsidR="00591726" w:rsidP="00591726" w:rsidRDefault="00591726" w14:paraId="064956C7" w14:textId="77777777">
      <w:pPr>
        <w:numPr>
          <w:ilvl w:val="0"/>
          <w:numId w:val="45"/>
        </w:numPr>
        <w:rPr>
          <w:szCs w:val="18"/>
        </w:rPr>
      </w:pPr>
      <w:proofErr w:type="gramStart"/>
      <w:r w:rsidRPr="00591726">
        <w:rPr>
          <w:szCs w:val="18"/>
        </w:rPr>
        <w:t>banken</w:t>
      </w:r>
      <w:proofErr w:type="gramEnd"/>
      <w:r w:rsidRPr="00591726">
        <w:rPr>
          <w:szCs w:val="18"/>
        </w:rPr>
        <w:t xml:space="preserve"> kunnen niet voldoende gegevens leveren aan de Belastingdienst voor de vermogenswinstbelasting die nodig zijn voor het voorinvullen van de aangifte, het opstellen van de </w:t>
      </w:r>
      <w:proofErr w:type="spellStart"/>
      <w:r w:rsidRPr="00591726">
        <w:rPr>
          <w:szCs w:val="18"/>
        </w:rPr>
        <w:t>risicodetectieregels</w:t>
      </w:r>
      <w:proofErr w:type="spellEnd"/>
      <w:r w:rsidRPr="00591726">
        <w:rPr>
          <w:szCs w:val="18"/>
        </w:rPr>
        <w:t xml:space="preserve"> en contra-informatie bij toezicht: voor de Belastingdienst is de handhaving hierdoor moeizaam, omdat deze daardoor alleen steekproefsgewijs kan plaatsvinden. Er kan namelijk geen gebruik worden gemaakt van </w:t>
      </w:r>
      <w:proofErr w:type="spellStart"/>
      <w:r w:rsidRPr="00591726">
        <w:rPr>
          <w:szCs w:val="18"/>
        </w:rPr>
        <w:t>risicodetectieregels</w:t>
      </w:r>
      <w:proofErr w:type="spellEnd"/>
      <w:r w:rsidRPr="00591726">
        <w:rPr>
          <w:szCs w:val="18"/>
        </w:rPr>
        <w:t>. Hierdoor kan niet worden bepaald welke aangiften risicovol zijn, waardoor toezicht ongericht is. Daardoor bestaat de kans dat belastingplichtigen worden benaderd die normaal buiten de risicoselectie vallen;</w:t>
      </w:r>
    </w:p>
    <w:p w:rsidRPr="00591726" w:rsidR="00591726" w:rsidP="00591726" w:rsidRDefault="00591726" w14:paraId="4692CD22" w14:textId="77777777">
      <w:pPr>
        <w:numPr>
          <w:ilvl w:val="0"/>
          <w:numId w:val="45"/>
        </w:numPr>
        <w:rPr>
          <w:szCs w:val="18"/>
        </w:rPr>
      </w:pPr>
      <w:proofErr w:type="gramStart"/>
      <w:r w:rsidRPr="00591726">
        <w:rPr>
          <w:szCs w:val="18"/>
        </w:rPr>
        <w:t>door</w:t>
      </w:r>
      <w:proofErr w:type="gramEnd"/>
      <w:r w:rsidRPr="00591726">
        <w:rPr>
          <w:szCs w:val="18"/>
        </w:rPr>
        <w:t xml:space="preserve"> het ontbreken van contra-gegevens is het wetvoorstel foutgevoelig en beperkt fraudebestendig. Het ontbreekt de Belastingdienst aan de mogelijkheid om gerichter op zoek te gaan naar onbewust en bewust in de aangifte gemaakte fouten;</w:t>
      </w:r>
    </w:p>
    <w:p w:rsidRPr="00591726" w:rsidR="00591726" w:rsidP="00591726" w:rsidRDefault="00591726" w14:paraId="08D47E14" w14:textId="77777777">
      <w:pPr>
        <w:numPr>
          <w:ilvl w:val="0"/>
          <w:numId w:val="45"/>
        </w:numPr>
        <w:rPr>
          <w:szCs w:val="18"/>
        </w:rPr>
      </w:pPr>
      <w:proofErr w:type="gramStart"/>
      <w:r w:rsidRPr="00591726">
        <w:rPr>
          <w:szCs w:val="18"/>
        </w:rPr>
        <w:t>het</w:t>
      </w:r>
      <w:proofErr w:type="gramEnd"/>
      <w:r w:rsidRPr="00591726">
        <w:rPr>
          <w:szCs w:val="18"/>
        </w:rPr>
        <w:t xml:space="preserve"> oorspronkelijke onderscheid in het wetsvoorstel Wet werkelijk rendement box 3 tussen vermogensaanwasbelasting en vermogenswinstbelasting tussen liquide en illiquide vermogensbestanddelen vervalt. Hierdoor wordt een toename verwacht van het aantal bezwaar- en beroepsprocedures over de jaren tot invoering van de volledige vermogenswinstbelasting (naar verwachting per 2030). Dit vergt aanvullende capaciteit van de Belastingdienst.</w:t>
      </w:r>
    </w:p>
    <w:p w:rsidRPr="00591726" w:rsidR="00591726" w:rsidP="00591726" w:rsidRDefault="00591726" w14:paraId="5AF567E2" w14:textId="77777777">
      <w:pPr>
        <w:rPr>
          <w:szCs w:val="18"/>
        </w:rPr>
      </w:pPr>
    </w:p>
    <w:p w:rsidRPr="00591726" w:rsidR="00591726" w:rsidP="00591726" w:rsidRDefault="00591726" w14:paraId="139F1FCC" w14:textId="3CE4635A">
      <w:pPr>
        <w:rPr>
          <w:szCs w:val="18"/>
        </w:rPr>
      </w:pPr>
      <w:r w:rsidRPr="00591726">
        <w:rPr>
          <w:szCs w:val="18"/>
        </w:rPr>
        <w:t xml:space="preserve">Voor belastingjaar 2029 verbetert de uitvoerbaarheid, ervan uitgaande dat </w:t>
      </w:r>
      <w:r w:rsidR="008F3CFB">
        <w:rPr>
          <w:szCs w:val="18"/>
        </w:rPr>
        <w:t xml:space="preserve">wetgeving tijdig is vastgesteld en </w:t>
      </w:r>
      <w:r w:rsidRPr="00591726">
        <w:rPr>
          <w:szCs w:val="18"/>
        </w:rPr>
        <w:t xml:space="preserve">volledige gegevenslevering door banken </w:t>
      </w:r>
      <w:proofErr w:type="gramStart"/>
      <w:r w:rsidRPr="00591726">
        <w:rPr>
          <w:szCs w:val="18"/>
        </w:rPr>
        <w:t>over  belastingjaar</w:t>
      </w:r>
      <w:proofErr w:type="gramEnd"/>
      <w:r w:rsidRPr="00591726">
        <w:rPr>
          <w:szCs w:val="18"/>
        </w:rPr>
        <w:t xml:space="preserve"> </w:t>
      </w:r>
      <w:r w:rsidR="008F3CFB">
        <w:rPr>
          <w:szCs w:val="18"/>
        </w:rPr>
        <w:t xml:space="preserve">2029 </w:t>
      </w:r>
      <w:r w:rsidRPr="00591726">
        <w:rPr>
          <w:szCs w:val="18"/>
        </w:rPr>
        <w:t>mogelijk is. Het voor belastingjaar 2028 geformuleerde risico als gevolg van het vervallen van het oorspronkelijke onderscheid tussen liquide en illiquide vermogensbestanddelen blijft gelden voor belastingjaar 2029. Hierdoor wordt ook over belastingjaar 2029 een toename verwacht van het aantal bezwaar- en beroepsprocedures. Als een volledige gegevenslevering door de banken niet mogelijk is dan gelden voor belastingjaar 2029 dezelfde risico’s zoals die zijn benoemd voor belastingjaar 2028.</w:t>
      </w:r>
    </w:p>
    <w:p w:rsidRPr="00591726" w:rsidR="00591726" w:rsidP="00591726" w:rsidRDefault="00591726" w14:paraId="5A938EA7" w14:textId="77777777">
      <w:pPr>
        <w:rPr>
          <w:szCs w:val="18"/>
        </w:rPr>
      </w:pPr>
    </w:p>
    <w:p w:rsidRPr="00591726" w:rsidR="00591726" w:rsidP="00591726" w:rsidRDefault="00591726" w14:paraId="69D489B0" w14:textId="77777777">
      <w:pPr>
        <w:rPr>
          <w:szCs w:val="18"/>
        </w:rPr>
      </w:pPr>
      <w:r w:rsidRPr="00591726">
        <w:rPr>
          <w:szCs w:val="18"/>
        </w:rPr>
        <w:t xml:space="preserve">De invoering van een nieuw stelsel in box 3 is een structureel ingrijpende aanpassing voor burgers en de Belastingdienst. Zoals al bij het oorspronkelijke wetsvoorstel is geconstateerd, brengt iedere overgang naar belastingheffing over werkelijk rendement extra complexiteit voor belastingplichtigen, ketenpartners en de Belastingdienst met zich mee. </w:t>
      </w:r>
    </w:p>
    <w:p w:rsidRPr="00083943" w:rsidR="006A295E" w:rsidP="006A295E" w:rsidRDefault="00591726" w14:paraId="139AB998" w14:textId="20C44FC9">
      <w:r w:rsidRPr="00591726">
        <w:rPr>
          <w:szCs w:val="18"/>
        </w:rPr>
        <w:t>Met deze novelle kiest het kabinet ervoor om zo snel mogelijk zo veel mogelijk vermogensbestanddelen onder de vermogenswinstbelasting te brengen om te zorgen voor voldoende maatschappelijk en politiek draagvlak voor de stelselherziening.</w:t>
      </w:r>
      <w:r w:rsidR="00083943">
        <w:rPr>
          <w:szCs w:val="18"/>
        </w:rPr>
        <w:t xml:space="preserve"> Het kabinet weegt zwaar mee dat in de uitvoeringstoets </w:t>
      </w:r>
      <w:r w:rsidR="00083943">
        <w:t xml:space="preserve">van de Belastingdienst een negatief oordeel wordt gegeven over de uitvoerbaarheid per 2028. Om voldoende tijd te geven voor de implementatie stelt het kabinet nu voor om het nieuwe box 3-stelsel inclusief de voorstellen in deze novelle in te voeren met ingang van 1 januari 2029. </w:t>
      </w:r>
      <w:r w:rsidRPr="00591726">
        <w:rPr>
          <w:szCs w:val="18"/>
        </w:rPr>
        <w:t xml:space="preserve">Het is de inzet van het kabinet dat de volledige gegevenslevering zo snel mogelijk wordt ingeregeld. Omdat het invullen van de aangifte een groter beroep doet op het </w:t>
      </w:r>
      <w:proofErr w:type="spellStart"/>
      <w:r w:rsidRPr="00591726">
        <w:rPr>
          <w:szCs w:val="18"/>
        </w:rPr>
        <w:t>doenvermogen</w:t>
      </w:r>
      <w:proofErr w:type="spellEnd"/>
      <w:r w:rsidRPr="00591726">
        <w:rPr>
          <w:szCs w:val="18"/>
        </w:rPr>
        <w:t xml:space="preserve"> zal de Belastingdienst daarnaast een intensief communicatietraject starten om belastingplichtigen te ondersteunen bij het doen van aangifte. </w:t>
      </w:r>
      <w:r w:rsidR="006A295E">
        <w:rPr>
          <w:szCs w:val="18"/>
        </w:rPr>
        <w:t>De uitvoeringstoets van de Belastingdienst zal worden herijkt op basis van de nieuwe invoeringsdatum van 1 januari 2029.</w:t>
      </w:r>
    </w:p>
    <w:p w:rsidR="00FA644A" w:rsidP="00FA644A" w:rsidRDefault="00FA644A" w14:paraId="1FCAD6C9" w14:textId="77777777">
      <w:pPr>
        <w:rPr>
          <w:szCs w:val="18"/>
        </w:rPr>
      </w:pPr>
    </w:p>
    <w:p w:rsidR="00DB54F9" w:rsidP="00DB54F9" w:rsidRDefault="00DB54F9" w14:paraId="23F65B64" w14:textId="3BADA692">
      <w:pPr>
        <w:spacing w:line="240" w:lineRule="auto"/>
        <w:rPr>
          <w:szCs w:val="18"/>
        </w:rPr>
      </w:pPr>
      <w:r>
        <w:rPr>
          <w:szCs w:val="18"/>
        </w:rPr>
        <w:br w:type="page"/>
      </w:r>
    </w:p>
    <w:p w:rsidR="000C1598" w:rsidP="002751D9" w:rsidRDefault="006A1091" w14:paraId="2D8435E4" w14:textId="50BD5431">
      <w:pPr>
        <w:pStyle w:val="Kop1"/>
        <w:rPr>
          <w:sz w:val="18"/>
          <w:szCs w:val="18"/>
        </w:rPr>
      </w:pPr>
      <w:bookmarkStart w:name="_Toc244590636" w:id="19"/>
      <w:r w:rsidRPr="0088604D">
        <w:rPr>
          <w:sz w:val="18"/>
          <w:szCs w:val="18"/>
        </w:rPr>
        <w:lastRenderedPageBreak/>
        <w:t xml:space="preserve">II. </w:t>
      </w:r>
      <w:r w:rsidRPr="0088604D" w:rsidR="007B766D">
        <w:rPr>
          <w:sz w:val="18"/>
          <w:szCs w:val="18"/>
        </w:rPr>
        <w:t>ARTIKELSGEWIJZE TOELICHTING</w:t>
      </w:r>
      <w:bookmarkEnd w:id="18"/>
      <w:bookmarkEnd w:id="19"/>
    </w:p>
    <w:p w:rsidRPr="00282ED9" w:rsidR="00282ED9" w:rsidP="00282ED9" w:rsidRDefault="00282ED9" w14:paraId="14488856" w14:textId="77777777"/>
    <w:p w:rsidR="00DB54F9" w:rsidP="00DB54F9" w:rsidRDefault="00DB54F9" w14:paraId="2E57888D" w14:textId="77777777">
      <w:pPr>
        <w:pStyle w:val="Artikel"/>
        <w:rPr>
          <w:b w:val="0"/>
          <w:bCs/>
        </w:rPr>
      </w:pPr>
      <w:r w:rsidRPr="00B137D0">
        <w:rPr>
          <w:b w:val="0"/>
          <w:bCs/>
          <w:i/>
          <w:iCs/>
        </w:rPr>
        <w:t xml:space="preserve">Artikel </w:t>
      </w:r>
      <w:r>
        <w:rPr>
          <w:b w:val="0"/>
          <w:bCs/>
          <w:i/>
          <w:iCs/>
        </w:rPr>
        <w:t>I</w:t>
      </w:r>
      <w:r w:rsidRPr="00B137D0">
        <w:rPr>
          <w:b w:val="0"/>
          <w:bCs/>
          <w:i/>
          <w:iCs/>
        </w:rPr>
        <w:t>,</w:t>
      </w:r>
      <w:r>
        <w:rPr>
          <w:b w:val="0"/>
          <w:bCs/>
          <w:i/>
          <w:iCs/>
        </w:rPr>
        <w:t xml:space="preserve"> aanhef</w:t>
      </w:r>
    </w:p>
    <w:p w:rsidRPr="004D6CC6" w:rsidR="00DB54F9" w:rsidP="00DB54F9" w:rsidRDefault="00DB54F9" w14:paraId="6F1E4B75" w14:textId="77777777">
      <w:pPr>
        <w:pStyle w:val="Artikel"/>
        <w:rPr>
          <w:b w:val="0"/>
          <w:bCs/>
          <w:i/>
          <w:iCs/>
        </w:rPr>
      </w:pPr>
      <w:r>
        <w:rPr>
          <w:b w:val="0"/>
          <w:bCs/>
        </w:rPr>
        <w:t xml:space="preserve">De wijzigingen die zijn opgenomen in </w:t>
      </w:r>
      <w:r w:rsidRPr="004D6CC6">
        <w:rPr>
          <w:b w:val="0"/>
          <w:bCs/>
        </w:rPr>
        <w:t>artikel</w:t>
      </w:r>
      <w:r>
        <w:rPr>
          <w:b w:val="0"/>
          <w:bCs/>
        </w:rPr>
        <w:t xml:space="preserve"> I betreffen </w:t>
      </w:r>
      <w:r w:rsidRPr="004245F1">
        <w:rPr>
          <w:b w:val="0"/>
          <w:bCs/>
        </w:rPr>
        <w:t>het bij koninklijke boodschap van 16 mei 2025 ingediende voorstel van wet houdende wijziging van de Wet inkomstenbelasting 2001 om werkelijke inkomsten uit bezittingen en schulden in box 3 te belasten (Wet werkelijk rendement box 3) (Kamerstukken 36748)</w:t>
      </w:r>
      <w:r>
        <w:rPr>
          <w:b w:val="0"/>
          <w:bCs/>
        </w:rPr>
        <w:t xml:space="preserve">. </w:t>
      </w:r>
      <w:proofErr w:type="gramStart"/>
      <w:r>
        <w:rPr>
          <w:b w:val="0"/>
          <w:bCs/>
        </w:rPr>
        <w:t>Indien</w:t>
      </w:r>
      <w:proofErr w:type="gramEnd"/>
      <w:r>
        <w:rPr>
          <w:b w:val="0"/>
          <w:bCs/>
        </w:rPr>
        <w:t xml:space="preserve"> dat wetsvoorstel</w:t>
      </w:r>
      <w:r w:rsidRPr="004245F1">
        <w:rPr>
          <w:b w:val="0"/>
          <w:bCs/>
        </w:rPr>
        <w:t xml:space="preserve"> tot wet wordt verheven, </w:t>
      </w:r>
      <w:r>
        <w:rPr>
          <w:b w:val="0"/>
          <w:bCs/>
        </w:rPr>
        <w:t xml:space="preserve">wijzigt artikel I </w:t>
      </w:r>
      <w:r w:rsidRPr="004245F1">
        <w:rPr>
          <w:b w:val="0"/>
          <w:bCs/>
        </w:rPr>
        <w:t>die wet</w:t>
      </w:r>
      <w:r>
        <w:rPr>
          <w:b w:val="0"/>
          <w:bCs/>
        </w:rPr>
        <w:t xml:space="preserve">. </w:t>
      </w:r>
      <w:proofErr w:type="gramStart"/>
      <w:r>
        <w:rPr>
          <w:b w:val="0"/>
          <w:bCs/>
        </w:rPr>
        <w:t>Indien</w:t>
      </w:r>
      <w:proofErr w:type="gramEnd"/>
      <w:r>
        <w:rPr>
          <w:b w:val="0"/>
          <w:bCs/>
        </w:rPr>
        <w:t xml:space="preserve"> dat wetsvoorstel niet tot wet wordt verheven, vinden de in artikel I opgenomen wijzigingen geen doorgang. Hierna wordt artikel I per onderdeel toegelicht. </w:t>
      </w:r>
    </w:p>
    <w:p w:rsidRPr="00B137D0" w:rsidR="00DB54F9" w:rsidP="00DB54F9" w:rsidRDefault="00DB54F9" w14:paraId="7841B738" w14:textId="77777777">
      <w:pPr>
        <w:pStyle w:val="Artikel"/>
        <w:rPr>
          <w:b w:val="0"/>
          <w:bCs/>
          <w:i/>
          <w:iCs/>
        </w:rPr>
      </w:pPr>
    </w:p>
    <w:p w:rsidRPr="006F658C" w:rsidR="00DB54F9" w:rsidP="00DB54F9" w:rsidRDefault="00DB54F9" w14:paraId="0C1ED8F5" w14:textId="77777777">
      <w:pPr>
        <w:rPr>
          <w:bCs/>
          <w:i/>
          <w:iCs/>
        </w:rPr>
      </w:pPr>
      <w:r w:rsidRPr="006F658C">
        <w:rPr>
          <w:bCs/>
          <w:i/>
          <w:iCs/>
        </w:rPr>
        <w:t xml:space="preserve">Artikel </w:t>
      </w:r>
      <w:r>
        <w:rPr>
          <w:bCs/>
          <w:i/>
          <w:iCs/>
        </w:rPr>
        <w:t>I</w:t>
      </w:r>
      <w:r w:rsidRPr="006F658C">
        <w:rPr>
          <w:bCs/>
          <w:i/>
          <w:iCs/>
        </w:rPr>
        <w:t>, onderdelen</w:t>
      </w:r>
      <w:r>
        <w:rPr>
          <w:bCs/>
          <w:i/>
          <w:iCs/>
        </w:rPr>
        <w:t xml:space="preserve"> </w:t>
      </w:r>
      <w:bookmarkStart w:name="_Hlk236320969" w:id="20"/>
      <w:r>
        <w:rPr>
          <w:bCs/>
          <w:i/>
          <w:iCs/>
        </w:rPr>
        <w:t>A,</w:t>
      </w:r>
      <w:r w:rsidRPr="00106646">
        <w:rPr>
          <w:bCs/>
          <w:i/>
          <w:iCs/>
        </w:rPr>
        <w:t xml:space="preserve"> </w:t>
      </w:r>
      <w:r>
        <w:rPr>
          <w:bCs/>
          <w:i/>
          <w:iCs/>
        </w:rPr>
        <w:t>C, G, I, J, M, N, O, P, Q, R, S en T</w:t>
      </w:r>
      <w:r w:rsidRPr="006F658C">
        <w:rPr>
          <w:bCs/>
          <w:i/>
          <w:iCs/>
        </w:rPr>
        <w:t xml:space="preserve"> </w:t>
      </w:r>
      <w:bookmarkEnd w:id="20"/>
      <w:r>
        <w:rPr>
          <w:bCs/>
          <w:i/>
          <w:iCs/>
        </w:rPr>
        <w:t>(artikel I, onderdelen R en HH, en</w:t>
      </w:r>
      <w:r w:rsidRPr="006F658C">
        <w:rPr>
          <w:bCs/>
          <w:i/>
          <w:iCs/>
        </w:rPr>
        <w:t xml:space="preserve"> </w:t>
      </w:r>
      <w:r>
        <w:rPr>
          <w:bCs/>
          <w:i/>
          <w:iCs/>
        </w:rPr>
        <w:t xml:space="preserve">artikel </w:t>
      </w:r>
      <w:r w:rsidRPr="006F658C">
        <w:rPr>
          <w:bCs/>
          <w:i/>
          <w:iCs/>
        </w:rPr>
        <w:t xml:space="preserve">IV, onderdelen B en C, van </w:t>
      </w:r>
      <w:r>
        <w:rPr>
          <w:bCs/>
          <w:i/>
          <w:iCs/>
        </w:rPr>
        <w:t xml:space="preserve">de </w:t>
      </w:r>
      <w:r w:rsidRPr="006F658C">
        <w:rPr>
          <w:bCs/>
          <w:i/>
          <w:iCs/>
        </w:rPr>
        <w:t>Wet werkelijk rendement box 3</w:t>
      </w:r>
      <w:r>
        <w:rPr>
          <w:bCs/>
          <w:i/>
          <w:iCs/>
        </w:rPr>
        <w:t xml:space="preserve">) </w:t>
      </w:r>
      <w:r w:rsidRPr="006F658C">
        <w:rPr>
          <w:bCs/>
          <w:i/>
          <w:iCs/>
        </w:rPr>
        <w:t>(artikelen 5.3, 5.24, 5.29, 5.30, 5.33, 5.35, 5.36, 5.37</w:t>
      </w:r>
      <w:r>
        <w:rPr>
          <w:bCs/>
          <w:i/>
          <w:iCs/>
        </w:rPr>
        <w:t xml:space="preserve"> en</w:t>
      </w:r>
      <w:r w:rsidRPr="006F658C">
        <w:rPr>
          <w:bCs/>
          <w:i/>
          <w:iCs/>
        </w:rPr>
        <w:t xml:space="preserve"> 10a.31 en opschrift van paragraaf 5.3.2 van de Wet inkomstenbelasting 2001)</w:t>
      </w:r>
    </w:p>
    <w:p w:rsidRPr="00D70C59" w:rsidR="00DB54F9" w:rsidP="00DB54F9" w:rsidRDefault="00DB54F9" w14:paraId="1675DAFD" w14:textId="77777777">
      <w:pPr>
        <w:rPr>
          <w:bCs/>
        </w:rPr>
      </w:pPr>
      <w:r w:rsidRPr="006F658C">
        <w:rPr>
          <w:bCs/>
        </w:rPr>
        <w:t xml:space="preserve">De voorgestelde wijzigingen in artikel </w:t>
      </w:r>
      <w:r>
        <w:rPr>
          <w:bCs/>
        </w:rPr>
        <w:t>I</w:t>
      </w:r>
      <w:r w:rsidRPr="006F658C">
        <w:rPr>
          <w:bCs/>
        </w:rPr>
        <w:t xml:space="preserve">, </w:t>
      </w:r>
      <w:r w:rsidRPr="00F139EB">
        <w:rPr>
          <w:bCs/>
        </w:rPr>
        <w:t xml:space="preserve">onderdelen </w:t>
      </w:r>
      <w:r>
        <w:rPr>
          <w:bCs/>
        </w:rPr>
        <w:t>A</w:t>
      </w:r>
      <w:r w:rsidRPr="00F139EB">
        <w:rPr>
          <w:bCs/>
        </w:rPr>
        <w:t xml:space="preserve">, </w:t>
      </w:r>
      <w:r>
        <w:rPr>
          <w:bCs/>
        </w:rPr>
        <w:t>C</w:t>
      </w:r>
      <w:r w:rsidRPr="00F139EB">
        <w:rPr>
          <w:bCs/>
        </w:rPr>
        <w:t xml:space="preserve">, </w:t>
      </w:r>
      <w:r>
        <w:rPr>
          <w:bCs/>
        </w:rPr>
        <w:t>G</w:t>
      </w:r>
      <w:r w:rsidRPr="00F139EB">
        <w:rPr>
          <w:bCs/>
        </w:rPr>
        <w:t xml:space="preserve">, </w:t>
      </w:r>
      <w:r>
        <w:rPr>
          <w:bCs/>
        </w:rPr>
        <w:t>I</w:t>
      </w:r>
      <w:r w:rsidRPr="00F139EB">
        <w:rPr>
          <w:bCs/>
        </w:rPr>
        <w:t xml:space="preserve">, </w:t>
      </w:r>
      <w:r>
        <w:rPr>
          <w:bCs/>
        </w:rPr>
        <w:t>J</w:t>
      </w:r>
      <w:r w:rsidRPr="00F139EB">
        <w:rPr>
          <w:bCs/>
        </w:rPr>
        <w:t xml:space="preserve">, </w:t>
      </w:r>
      <w:r>
        <w:rPr>
          <w:bCs/>
        </w:rPr>
        <w:t>M</w:t>
      </w:r>
      <w:r w:rsidRPr="00F139EB">
        <w:rPr>
          <w:bCs/>
        </w:rPr>
        <w:t xml:space="preserve">, </w:t>
      </w:r>
      <w:r>
        <w:rPr>
          <w:bCs/>
        </w:rPr>
        <w:t>N</w:t>
      </w:r>
      <w:r w:rsidRPr="00F139EB">
        <w:rPr>
          <w:bCs/>
        </w:rPr>
        <w:t xml:space="preserve">, </w:t>
      </w:r>
      <w:r>
        <w:rPr>
          <w:bCs/>
        </w:rPr>
        <w:t>O</w:t>
      </w:r>
      <w:r w:rsidRPr="00F139EB">
        <w:rPr>
          <w:bCs/>
        </w:rPr>
        <w:t xml:space="preserve">, </w:t>
      </w:r>
      <w:r>
        <w:rPr>
          <w:bCs/>
        </w:rPr>
        <w:t>P</w:t>
      </w:r>
      <w:r w:rsidRPr="00F139EB">
        <w:rPr>
          <w:bCs/>
        </w:rPr>
        <w:t xml:space="preserve">, </w:t>
      </w:r>
      <w:r>
        <w:rPr>
          <w:bCs/>
        </w:rPr>
        <w:t>Q</w:t>
      </w:r>
      <w:r w:rsidRPr="00F139EB">
        <w:rPr>
          <w:bCs/>
        </w:rPr>
        <w:t xml:space="preserve">, </w:t>
      </w:r>
      <w:r>
        <w:rPr>
          <w:bCs/>
        </w:rPr>
        <w:t>R</w:t>
      </w:r>
      <w:r w:rsidRPr="00F139EB">
        <w:rPr>
          <w:bCs/>
        </w:rPr>
        <w:t xml:space="preserve">, </w:t>
      </w:r>
      <w:r>
        <w:rPr>
          <w:bCs/>
        </w:rPr>
        <w:t>S</w:t>
      </w:r>
      <w:r w:rsidRPr="00F139EB">
        <w:rPr>
          <w:bCs/>
        </w:rPr>
        <w:t xml:space="preserve"> en </w:t>
      </w:r>
      <w:r>
        <w:rPr>
          <w:bCs/>
        </w:rPr>
        <w:t>T</w:t>
      </w:r>
      <w:r w:rsidRPr="00F139EB">
        <w:rPr>
          <w:bCs/>
        </w:rPr>
        <w:t>,</w:t>
      </w:r>
      <w:r w:rsidRPr="006F658C">
        <w:rPr>
          <w:bCs/>
        </w:rPr>
        <w:t xml:space="preserve"> zijn nodig om het vermogenswinstregime dat in het wetsvoorstel Wet werkelijk rendement box 3 is opgenomen voor aandelen </w:t>
      </w:r>
      <w:r>
        <w:rPr>
          <w:bCs/>
        </w:rPr>
        <w:t xml:space="preserve">in </w:t>
      </w:r>
      <w:r w:rsidRPr="006F658C">
        <w:rPr>
          <w:bCs/>
        </w:rPr>
        <w:t xml:space="preserve">en winstbewijzen </w:t>
      </w:r>
      <w:r>
        <w:rPr>
          <w:bCs/>
        </w:rPr>
        <w:t>van</w:t>
      </w:r>
      <w:r w:rsidRPr="006F658C">
        <w:rPr>
          <w:bCs/>
        </w:rPr>
        <w:t xml:space="preserve"> een </w:t>
      </w:r>
      <w:r>
        <w:rPr>
          <w:bCs/>
        </w:rPr>
        <w:t xml:space="preserve">zogenoemde </w:t>
      </w:r>
      <w:r w:rsidRPr="006F658C">
        <w:rPr>
          <w:bCs/>
        </w:rPr>
        <w:t xml:space="preserve">startende onderneming uit te breiden </w:t>
      </w:r>
      <w:r>
        <w:rPr>
          <w:bCs/>
        </w:rPr>
        <w:t>naar</w:t>
      </w:r>
      <w:r w:rsidRPr="006F658C">
        <w:rPr>
          <w:bCs/>
        </w:rPr>
        <w:t xml:space="preserve"> een vermogenswinstregime voor alle financiële instrumenten in box 3. Afgezien van deze uitbreiding in de reikwijdte wordt geen inhoudelijke wijziging van deze artikelen voorgesteld. In de artikelsgewijze toelichting bij de</w:t>
      </w:r>
      <w:r>
        <w:rPr>
          <w:bCs/>
        </w:rPr>
        <w:t xml:space="preserve"> in </w:t>
      </w:r>
      <w:r>
        <w:t>a</w:t>
      </w:r>
      <w:r w:rsidRPr="00D70C59">
        <w:t xml:space="preserve">rtikel </w:t>
      </w:r>
      <w:r>
        <w:rPr>
          <w:bCs/>
        </w:rPr>
        <w:t>I</w:t>
      </w:r>
      <w:r w:rsidRPr="00D70C59">
        <w:t xml:space="preserve">, onderdeel </w:t>
      </w:r>
      <w:r>
        <w:t>D,</w:t>
      </w:r>
      <w:r w:rsidRPr="006F658C">
        <w:rPr>
          <w:bCs/>
        </w:rPr>
        <w:t xml:space="preserve"> voorgestelde wijziging van artikel 5.16 </w:t>
      </w:r>
      <w:r>
        <w:rPr>
          <w:bCs/>
        </w:rPr>
        <w:t>van de Wet inkomstenbelasting 2001 (</w:t>
      </w:r>
      <w:r w:rsidRPr="006F658C">
        <w:rPr>
          <w:bCs/>
        </w:rPr>
        <w:t xml:space="preserve">Wet IB </w:t>
      </w:r>
      <w:r w:rsidRPr="00D70C59">
        <w:rPr>
          <w:bCs/>
        </w:rPr>
        <w:t>2001</w:t>
      </w:r>
      <w:r>
        <w:rPr>
          <w:bCs/>
        </w:rPr>
        <w:t>)</w:t>
      </w:r>
      <w:r w:rsidRPr="00D70C59">
        <w:rPr>
          <w:bCs/>
        </w:rPr>
        <w:t xml:space="preserve"> wordt toegelicht wat </w:t>
      </w:r>
      <w:r>
        <w:rPr>
          <w:bCs/>
        </w:rPr>
        <w:t xml:space="preserve">in dit kader </w:t>
      </w:r>
      <w:r w:rsidRPr="00D70C59">
        <w:rPr>
          <w:bCs/>
        </w:rPr>
        <w:t xml:space="preserve">onder ‘financiële instrumenten’ wordt verstaan. </w:t>
      </w:r>
    </w:p>
    <w:p w:rsidRPr="00745094" w:rsidR="00DB54F9" w:rsidP="00DB54F9" w:rsidRDefault="00DB54F9" w14:paraId="425EE74A" w14:textId="77777777"/>
    <w:p w:rsidRPr="00745094" w:rsidR="00DB54F9" w:rsidP="00DB54F9" w:rsidRDefault="00DB54F9" w14:paraId="4DDBD162" w14:textId="77777777">
      <w:pPr>
        <w:rPr>
          <w:i/>
          <w:iCs/>
        </w:rPr>
      </w:pPr>
      <w:r w:rsidRPr="00745094">
        <w:rPr>
          <w:i/>
          <w:iCs/>
        </w:rPr>
        <w:t xml:space="preserve">Artikel </w:t>
      </w:r>
      <w:r>
        <w:rPr>
          <w:bCs/>
          <w:i/>
          <w:iCs/>
        </w:rPr>
        <w:t>I</w:t>
      </w:r>
      <w:r w:rsidRPr="00745094">
        <w:rPr>
          <w:i/>
          <w:iCs/>
        </w:rPr>
        <w:t xml:space="preserve">, onderdeel </w:t>
      </w:r>
      <w:r>
        <w:rPr>
          <w:i/>
          <w:iCs/>
        </w:rPr>
        <w:t>B</w:t>
      </w:r>
      <w:r w:rsidRPr="00745094">
        <w:rPr>
          <w:i/>
          <w:iCs/>
        </w:rPr>
        <w:t xml:space="preserve"> </w:t>
      </w:r>
      <w:r>
        <w:rPr>
          <w:i/>
          <w:iCs/>
        </w:rPr>
        <w:t xml:space="preserve">(artikel I, onderdeel R, van de Wet werkelijk rendement box 3) </w:t>
      </w:r>
      <w:r w:rsidRPr="00745094">
        <w:rPr>
          <w:i/>
          <w:iCs/>
        </w:rPr>
        <w:t>(artikel 5.6 van de Wet inkomstenbelasting 2001)</w:t>
      </w:r>
    </w:p>
    <w:p w:rsidRPr="00745094" w:rsidR="00DB54F9" w:rsidP="00DB54F9" w:rsidRDefault="00DB54F9" w14:paraId="04FC6BBB" w14:textId="77777777">
      <w:r w:rsidRPr="00745094">
        <w:t>In het in artikel</w:t>
      </w:r>
      <w:r>
        <w:rPr>
          <w:b/>
          <w:bCs/>
        </w:rPr>
        <w:t xml:space="preserve"> </w:t>
      </w:r>
      <w:r w:rsidRPr="009D3471">
        <w:t>I</w:t>
      </w:r>
      <w:r w:rsidRPr="00745094">
        <w:t>, onderdeel R, van het wetsvoorstel Wet werkelijk rendement box 3 opgenomen artikel 5.6, derde lid, Wet IB 2001 wordt geregeld welke bezittingen in box 3 worden uitgezonderd van het vermogensaanwasregime. Met de in deze novelle voorgestelde uitbreiding van het vermogenswinstregime naar alle financiële instrumenten in box 3, zullen ook vermogensbestanddelen die een negatieve waarde kunnen hebben van het vermogensaanwasregime worden uitgezonderd. Vanwege de ruime definitie van ‘schulden’ in het in artikel</w:t>
      </w:r>
      <w:r>
        <w:rPr>
          <w:b/>
          <w:bCs/>
        </w:rPr>
        <w:t xml:space="preserve"> </w:t>
      </w:r>
      <w:r w:rsidRPr="00B426A6">
        <w:t>I</w:t>
      </w:r>
      <w:r w:rsidRPr="00745094">
        <w:t xml:space="preserve">, onderdeel R, van het wetsvoorstel Wet werkelijk rendement box 3 opgenomen artikel 5.5 Wet IB 2001 worden vermogensbestanddelen met een negatieve waarde als hoofdregel in box 3 aangemerkt als ‘schuld’. Om die reden wordt voorgesteld om in artikel 5.6, derde lid, aanhef, Wet IB 2001 na ‘bezittingen’ in te voegen ‘en schulden’. Daarnaast wordt </w:t>
      </w:r>
      <w:r>
        <w:t>voorgesteld de tekst van</w:t>
      </w:r>
      <w:r w:rsidRPr="00745094">
        <w:t xml:space="preserve"> artikel 5.6, derde lid, onderdeel b, Wet IB 2001 </w:t>
      </w:r>
      <w:r>
        <w:t xml:space="preserve">te vervangen, waarmee wordt bewerkstelligd dat </w:t>
      </w:r>
      <w:r w:rsidRPr="00745094">
        <w:t xml:space="preserve">alle financiële instrumenten in box 3 </w:t>
      </w:r>
      <w:r>
        <w:t xml:space="preserve">worden </w:t>
      </w:r>
      <w:r w:rsidRPr="00745094">
        <w:t>uit</w:t>
      </w:r>
      <w:r>
        <w:t>ge</w:t>
      </w:r>
      <w:r w:rsidRPr="00745094">
        <w:t>zonder</w:t>
      </w:r>
      <w:r>
        <w:t>d</w:t>
      </w:r>
      <w:r w:rsidRPr="00745094">
        <w:t xml:space="preserve"> van de bezittingen en schulden die onder het vermogensaanwasregime vallen. </w:t>
      </w:r>
    </w:p>
    <w:p w:rsidRPr="00745094" w:rsidR="00DB54F9" w:rsidP="00DB54F9" w:rsidRDefault="00DB54F9" w14:paraId="62BD9137" w14:textId="77777777">
      <w:pPr>
        <w:rPr>
          <w:i/>
          <w:iCs/>
        </w:rPr>
      </w:pPr>
    </w:p>
    <w:p w:rsidRPr="00745094" w:rsidR="00DB54F9" w:rsidP="00DB54F9" w:rsidRDefault="00DB54F9" w14:paraId="1D78D23C" w14:textId="77777777">
      <w:pPr>
        <w:rPr>
          <w:i/>
          <w:iCs/>
        </w:rPr>
      </w:pPr>
      <w:r w:rsidRPr="00745094">
        <w:rPr>
          <w:i/>
          <w:iCs/>
        </w:rPr>
        <w:t xml:space="preserve">Artikel </w:t>
      </w:r>
      <w:r>
        <w:rPr>
          <w:bCs/>
          <w:i/>
          <w:iCs/>
        </w:rPr>
        <w:t>I</w:t>
      </w:r>
      <w:r w:rsidRPr="00745094">
        <w:rPr>
          <w:i/>
          <w:iCs/>
        </w:rPr>
        <w:t xml:space="preserve">, onderdeel </w:t>
      </w:r>
      <w:r>
        <w:rPr>
          <w:i/>
          <w:iCs/>
        </w:rPr>
        <w:t>D</w:t>
      </w:r>
      <w:r w:rsidRPr="00745094">
        <w:rPr>
          <w:i/>
          <w:iCs/>
        </w:rPr>
        <w:t xml:space="preserve"> </w:t>
      </w:r>
      <w:r>
        <w:rPr>
          <w:i/>
          <w:iCs/>
        </w:rPr>
        <w:t xml:space="preserve">(artikel I, onderdeel R, van de Wet werkelijk rendement box 3) </w:t>
      </w:r>
      <w:r w:rsidRPr="00745094">
        <w:rPr>
          <w:i/>
          <w:iCs/>
        </w:rPr>
        <w:t>(artikel 5.16 van de Wet inkomstenbelasting 2001)</w:t>
      </w:r>
    </w:p>
    <w:p w:rsidRPr="00745094" w:rsidR="00DB54F9" w:rsidP="00DB54F9" w:rsidRDefault="00DB54F9" w14:paraId="3F2606D0" w14:textId="77777777">
      <w:r w:rsidRPr="00745094">
        <w:t>De voorgestelde wijziging van het in artikel</w:t>
      </w:r>
      <w:r>
        <w:rPr>
          <w:b/>
          <w:bCs/>
        </w:rPr>
        <w:t xml:space="preserve"> </w:t>
      </w:r>
      <w:r w:rsidRPr="007F79C1">
        <w:t>I</w:t>
      </w:r>
      <w:r w:rsidRPr="00745094">
        <w:t xml:space="preserve">, onderdeel R, van het wetsvoorstel Wet werkelijk rendement box 3 opgenomen artikel 5.16, opschrift en eerste lid, aanhef, onderdelen a en b, Wet </w:t>
      </w:r>
      <w:r w:rsidRPr="00745094">
        <w:lastRenderedPageBreak/>
        <w:t xml:space="preserve">IB 2001 is </w:t>
      </w:r>
      <w:r w:rsidRPr="00745094">
        <w:rPr>
          <w:bCs/>
        </w:rPr>
        <w:t xml:space="preserve">nodig om het vermogenswinstregime dat in het wetsvoorstel Wet werkelijk rendement box 3 is opgenomen voor aandelen </w:t>
      </w:r>
      <w:r>
        <w:rPr>
          <w:bCs/>
        </w:rPr>
        <w:t xml:space="preserve">in </w:t>
      </w:r>
      <w:r w:rsidRPr="00745094">
        <w:rPr>
          <w:bCs/>
        </w:rPr>
        <w:t xml:space="preserve">en winstbewijzen </w:t>
      </w:r>
      <w:r>
        <w:rPr>
          <w:bCs/>
        </w:rPr>
        <w:t>van</w:t>
      </w:r>
      <w:r w:rsidRPr="00745094">
        <w:rPr>
          <w:bCs/>
        </w:rPr>
        <w:t xml:space="preserve"> een startende onderneming uit te breiden </w:t>
      </w:r>
      <w:r>
        <w:rPr>
          <w:bCs/>
        </w:rPr>
        <w:t>naar</w:t>
      </w:r>
      <w:r w:rsidRPr="00745094">
        <w:rPr>
          <w:bCs/>
        </w:rPr>
        <w:t xml:space="preserve"> een vermogenswinstregime voor alle financiële instrumenten in box 3</w:t>
      </w:r>
      <w:r w:rsidRPr="00745094">
        <w:t>.</w:t>
      </w:r>
    </w:p>
    <w:p w:rsidRPr="00745094" w:rsidR="00DB54F9" w:rsidP="00DB54F9" w:rsidRDefault="00DB54F9" w14:paraId="30E02A30" w14:textId="77777777">
      <w:r>
        <w:t xml:space="preserve">Met de voorgestelde wijziging van </w:t>
      </w:r>
      <w:r w:rsidRPr="00745094">
        <w:t xml:space="preserve">het voorgestelde artikel 5.16, tweede lid, Wet IB 2001 </w:t>
      </w:r>
      <w:r>
        <w:t>wordt in die bepaling</w:t>
      </w:r>
      <w:r w:rsidRPr="00745094">
        <w:t xml:space="preserve"> een definitie opgenomen v</w:t>
      </w:r>
      <w:r>
        <w:t>an</w:t>
      </w:r>
      <w:r w:rsidRPr="00745094">
        <w:t xml:space="preserve"> financiële instrumenten. Deze definitie bepaalt de reikwijdte van de uitbreiding van het vermogenswinstregime naar alle financiële instrumenten in box 3. </w:t>
      </w:r>
      <w:r>
        <w:t xml:space="preserve">In de voorgestelde definitie </w:t>
      </w:r>
      <w:r w:rsidRPr="00745094">
        <w:t xml:space="preserve">worden </w:t>
      </w:r>
      <w:r>
        <w:t xml:space="preserve">in de eerste plaats </w:t>
      </w:r>
      <w:r w:rsidRPr="00745094">
        <w:t xml:space="preserve">financiële instrumenten als bedoeld in artikel 1:1 </w:t>
      </w:r>
      <w:proofErr w:type="spellStart"/>
      <w:r w:rsidRPr="00745094">
        <w:t>Wft</w:t>
      </w:r>
      <w:proofErr w:type="spellEnd"/>
      <w:r w:rsidRPr="00745094">
        <w:t xml:space="preserve"> aangemerkt als financiële instrumenten in box 3. Hieronder vallen verhandelbare aandelen, obligaties en vergelijkbare </w:t>
      </w:r>
      <w:proofErr w:type="spellStart"/>
      <w:r w:rsidRPr="00745094">
        <w:t>waardebewijzen</w:t>
      </w:r>
      <w:proofErr w:type="spellEnd"/>
      <w:r w:rsidRPr="00745094">
        <w:t xml:space="preserve">, rechten van deelneming in een beleggingsinstelling, maar ook meer complexe beleggingen zoals opties, </w:t>
      </w:r>
      <w:proofErr w:type="spellStart"/>
      <w:r w:rsidRPr="00745094">
        <w:t>futures</w:t>
      </w:r>
      <w:proofErr w:type="spellEnd"/>
      <w:r w:rsidRPr="00745094">
        <w:t xml:space="preserve">, swaps en andere termijncontracten en derivaten. Daarnaast strekt de definitie ertoe om bepaalde belangen die niet in box 2 vallen, omdat ze bijvoorbeeld kleiner zijn dan 5%, ook onder de uitbreiding van het vermogenswinstregime in box 3 te brengen. Deze relatief kleine belangen zijn niet altijd verhandelbaar in de zin van de </w:t>
      </w:r>
      <w:proofErr w:type="spellStart"/>
      <w:r w:rsidRPr="00745094">
        <w:t>Wft</w:t>
      </w:r>
      <w:proofErr w:type="spellEnd"/>
      <w:r w:rsidRPr="003531BC">
        <w:t xml:space="preserve"> en kwalificeren in dat geval niet als financieel instrument als bedoeld in artikel 1:1 </w:t>
      </w:r>
      <w:proofErr w:type="spellStart"/>
      <w:r w:rsidRPr="003531BC">
        <w:t>Wft</w:t>
      </w:r>
      <w:proofErr w:type="spellEnd"/>
      <w:r w:rsidRPr="00745094">
        <w:t>.</w:t>
      </w:r>
      <w:r w:rsidRPr="00745094">
        <w:rPr>
          <w:vertAlign w:val="superscript"/>
        </w:rPr>
        <w:footnoteReference w:id="5"/>
      </w:r>
      <w:r w:rsidRPr="00745094">
        <w:t xml:space="preserve"> Daarom wordt voorgesteld om in box 3 een ruimere definitie van ‘financieel instrument’ te hanteren dan in de </w:t>
      </w:r>
      <w:proofErr w:type="spellStart"/>
      <w:r w:rsidRPr="00745094">
        <w:t>Wft</w:t>
      </w:r>
      <w:proofErr w:type="spellEnd"/>
      <w:r w:rsidRPr="00745094">
        <w:t>. Naast de financiële instrumenten</w:t>
      </w:r>
      <w:r>
        <w:t>,</w:t>
      </w:r>
      <w:r w:rsidRPr="00745094">
        <w:t xml:space="preserve"> bedoeld in artikel 1:1 </w:t>
      </w:r>
      <w:proofErr w:type="spellStart"/>
      <w:r w:rsidRPr="00745094">
        <w:t>Wft</w:t>
      </w:r>
      <w:proofErr w:type="spellEnd"/>
      <w:r>
        <w:t>,</w:t>
      </w:r>
      <w:r w:rsidRPr="00745094">
        <w:t xml:space="preserve"> omvat de voorgestelde definitie van ‘financieel instrument’ in box 3 ook </w:t>
      </w:r>
      <w:r>
        <w:t xml:space="preserve">andere </w:t>
      </w:r>
      <w:r w:rsidRPr="00745094">
        <w:t xml:space="preserve">aandelen in of winstbewijzen van een vennootschap, rechten op voordelen uit dergelijke aandelen, onderscheidenlijk dergelijke winstbewijzen, </w:t>
      </w:r>
      <w:r>
        <w:t>en</w:t>
      </w:r>
      <w:r w:rsidRPr="00745094">
        <w:t xml:space="preserve"> rechten of termijncontracten om dergelijke aandelen, onderscheidenlijk dergelijke winstbewijzen, te verwerven of te vervreemden. Voor deze omschrijving is de tekst van artikel 5.6, derde lid, onderdeel b, Wet IB 2001, zoals deze is opgenomen in artikel</w:t>
      </w:r>
      <w:r>
        <w:rPr>
          <w:b/>
          <w:bCs/>
        </w:rPr>
        <w:t xml:space="preserve"> </w:t>
      </w:r>
      <w:r w:rsidRPr="007F79C1">
        <w:t>I</w:t>
      </w:r>
      <w:r w:rsidRPr="00745094">
        <w:t xml:space="preserve">, onderdeel R, van het wetsvoorstel Wet werkelijk rendement box 3, als uitgangspunt genomen, waarbij uiteraard de verwijzing naar startende ondernemingen is </w:t>
      </w:r>
      <w:r>
        <w:t>weg</w:t>
      </w:r>
      <w:r w:rsidRPr="00745094">
        <w:t xml:space="preserve">gelaten. Daarnaast is de tekst uitgebreid door </w:t>
      </w:r>
      <w:r>
        <w:t xml:space="preserve">daarin </w:t>
      </w:r>
      <w:r w:rsidRPr="00745094">
        <w:t xml:space="preserve">ook termijncontracten om </w:t>
      </w:r>
      <w:r>
        <w:t xml:space="preserve">andere </w:t>
      </w:r>
      <w:r w:rsidRPr="00745094">
        <w:t xml:space="preserve">aandelen of winstbewijzen te verwerven of </w:t>
      </w:r>
      <w:r>
        <w:t xml:space="preserve">te </w:t>
      </w:r>
      <w:r w:rsidRPr="00745094">
        <w:t xml:space="preserve">vervreemden te noemen. Voor zover het verhandelbare aandelen of winstbewijzen betreft, vallen dergelijke termijncontracten onder de definitie van artikel 1:1 </w:t>
      </w:r>
      <w:proofErr w:type="spellStart"/>
      <w:r w:rsidRPr="00745094">
        <w:t>Wft</w:t>
      </w:r>
      <w:proofErr w:type="spellEnd"/>
      <w:r w:rsidRPr="00745094">
        <w:t xml:space="preserve"> en </w:t>
      </w:r>
      <w:proofErr w:type="gramStart"/>
      <w:r>
        <w:t>ingevolge</w:t>
      </w:r>
      <w:proofErr w:type="gramEnd"/>
      <w:r>
        <w:t xml:space="preserve"> het voorgestelde </w:t>
      </w:r>
      <w:r w:rsidRPr="00745094">
        <w:t xml:space="preserve">artikel 5.6, derde lid, onderdeel </w:t>
      </w:r>
      <w:r>
        <w:t>a</w:t>
      </w:r>
      <w:r w:rsidRPr="00745094">
        <w:t>, Wet IB 200</w:t>
      </w:r>
      <w:r>
        <w:t xml:space="preserve">1 </w:t>
      </w:r>
      <w:r w:rsidRPr="00745094">
        <w:t xml:space="preserve">dus </w:t>
      </w:r>
      <w:r>
        <w:t xml:space="preserve">reeds </w:t>
      </w:r>
      <w:r w:rsidRPr="00745094">
        <w:t xml:space="preserve">onder de uitbreiding van het vermogenswinstregime. Met het oog op consistentie wordt voorgesteld om deze termijncontracten ook onder de uitbreiding van het vermogenswinstregime te brengen, </w:t>
      </w:r>
      <w:proofErr w:type="gramStart"/>
      <w:r w:rsidRPr="00745094">
        <w:t>indien</w:t>
      </w:r>
      <w:proofErr w:type="gramEnd"/>
      <w:r w:rsidRPr="00745094">
        <w:t xml:space="preserve"> ze zien op aandelen of winstbewijzen die wel in box 3 zitten, maar niet onder het toepassingsbereik van de </w:t>
      </w:r>
      <w:proofErr w:type="spellStart"/>
      <w:r w:rsidRPr="00745094">
        <w:t>Wft</w:t>
      </w:r>
      <w:proofErr w:type="spellEnd"/>
      <w:r w:rsidRPr="00745094">
        <w:t xml:space="preserve"> vallen. </w:t>
      </w:r>
    </w:p>
    <w:p w:rsidRPr="00745094" w:rsidR="00DB54F9" w:rsidP="00DB54F9" w:rsidRDefault="00DB54F9" w14:paraId="22BF3800" w14:textId="77777777"/>
    <w:p w:rsidRPr="00745094" w:rsidR="00DB54F9" w:rsidP="00DB54F9" w:rsidRDefault="00DB54F9" w14:paraId="1CD41332" w14:textId="77777777">
      <w:pPr>
        <w:rPr>
          <w:i/>
          <w:iCs/>
        </w:rPr>
      </w:pPr>
      <w:r w:rsidRPr="00745094">
        <w:rPr>
          <w:i/>
          <w:iCs/>
        </w:rPr>
        <w:t xml:space="preserve">Artikel </w:t>
      </w:r>
      <w:r>
        <w:rPr>
          <w:bCs/>
          <w:i/>
          <w:iCs/>
        </w:rPr>
        <w:t>I</w:t>
      </w:r>
      <w:r w:rsidRPr="00745094">
        <w:rPr>
          <w:i/>
          <w:iCs/>
        </w:rPr>
        <w:t xml:space="preserve">, onderdeel </w:t>
      </w:r>
      <w:r>
        <w:rPr>
          <w:i/>
          <w:iCs/>
        </w:rPr>
        <w:t>E</w:t>
      </w:r>
      <w:r w:rsidRPr="00745094">
        <w:rPr>
          <w:i/>
          <w:iCs/>
        </w:rPr>
        <w:t xml:space="preserve"> </w:t>
      </w:r>
      <w:r>
        <w:rPr>
          <w:i/>
          <w:iCs/>
        </w:rPr>
        <w:t xml:space="preserve">(artikel I, onderdeel R, van de Wet werkelijk rendement box 3) </w:t>
      </w:r>
      <w:r w:rsidRPr="00745094">
        <w:rPr>
          <w:i/>
          <w:iCs/>
        </w:rPr>
        <w:t>(artikel 5.17 van de Wet inkomstenbelasting 2001)</w:t>
      </w:r>
    </w:p>
    <w:p w:rsidRPr="00745094" w:rsidR="00DB54F9" w:rsidP="00DB54F9" w:rsidRDefault="00DB54F9" w14:paraId="0EF12BAD" w14:textId="77777777">
      <w:r w:rsidRPr="00745094">
        <w:rPr>
          <w:bCs/>
        </w:rPr>
        <w:t xml:space="preserve">Zoals is toegelicht in de artikelsgewijze toelichting bij de voorgestelde wijziging van artikel 5.16 Wet IB 2001 worden </w:t>
      </w:r>
      <w:r>
        <w:rPr>
          <w:bCs/>
        </w:rPr>
        <w:t xml:space="preserve">met die voorgestelde wijziging </w:t>
      </w:r>
      <w:r w:rsidRPr="00745094">
        <w:rPr>
          <w:bCs/>
        </w:rPr>
        <w:t xml:space="preserve">bepaalde belangen </w:t>
      </w:r>
      <w:r w:rsidRPr="00745094">
        <w:t>die niet in box 2 vallen, omdat ze bijvoorbeeld kleiner zijn dan 5%, onder de reikwijdte van het vermogenswinstregime in box 3 gebracht. Het hoeft daarbij niet altijd te gaan om aandelenbelangen in vennootschappen. Het kan ook belangen betreffen die in box 2 in principe daarmee worden gelijkgesteld</w:t>
      </w:r>
      <w:r>
        <w:t>,</w:t>
      </w:r>
      <w:r>
        <w:rPr>
          <w:rStyle w:val="Voetnootmarkering"/>
        </w:rPr>
        <w:footnoteReference w:id="6"/>
      </w:r>
      <w:r w:rsidRPr="00745094">
        <w:t xml:space="preserve"> maar die toch buiten box 2 vallen vanwege de relatief kleine omvang van het belang. Om die reden bevat het </w:t>
      </w:r>
      <w:r w:rsidRPr="00745094">
        <w:lastRenderedPageBreak/>
        <w:t xml:space="preserve">voorgestelde artikel 5.17 Wet IB 2001 enkele gelijkstellingen die zijn ontleend aan de gelijkstellingen in box 2 die zijn opgenomen in de artikelen 4.5a en 4.5b Wet IB 2001. Deze gelijkstellingen hebben betrekking op coöperaties, </w:t>
      </w:r>
      <w:r>
        <w:t xml:space="preserve">op </w:t>
      </w:r>
      <w:r w:rsidRPr="00745094">
        <w:t xml:space="preserve">verenigingen op coöperatieve grondslag en op lichamen als bedoeld in </w:t>
      </w:r>
      <w:r>
        <w:t xml:space="preserve">de </w:t>
      </w:r>
      <w:r w:rsidRPr="00745094">
        <w:t>artikel</w:t>
      </w:r>
      <w:r>
        <w:t>en</w:t>
      </w:r>
      <w:r w:rsidRPr="00745094">
        <w:t xml:space="preserve"> 2, eerste lid, onderdeel h, of 3, tweede lid, van de Wet op de vennootschapsbelasting 1969. Voor de volledigheid wordt opgemerkt dat een gelijkstelling met een fonds voor gemene rekening (</w:t>
      </w:r>
      <w:proofErr w:type="spellStart"/>
      <w:r w:rsidRPr="00745094">
        <w:t>fgr</w:t>
      </w:r>
      <w:proofErr w:type="spellEnd"/>
      <w:r w:rsidRPr="00745094">
        <w:t xml:space="preserve">) niet nodig is, omdat deelnemingen in </w:t>
      </w:r>
      <w:proofErr w:type="spellStart"/>
      <w:r w:rsidRPr="00745094">
        <w:t>fgr’s</w:t>
      </w:r>
      <w:proofErr w:type="spellEnd"/>
      <w:r w:rsidRPr="00745094">
        <w:t xml:space="preserve"> altijd onder de definitie van financieel instrument als bedoeld in artikel 1:1 </w:t>
      </w:r>
      <w:proofErr w:type="spellStart"/>
      <w:r w:rsidRPr="00745094">
        <w:t>Wft</w:t>
      </w:r>
      <w:proofErr w:type="spellEnd"/>
      <w:r w:rsidRPr="00745094">
        <w:t xml:space="preserve"> vallen.</w:t>
      </w:r>
    </w:p>
    <w:p w:rsidRPr="00745094" w:rsidR="00DB54F9" w:rsidP="00DB54F9" w:rsidRDefault="00DB54F9" w14:paraId="55253C66" w14:textId="77777777">
      <w:r w:rsidRPr="00745094">
        <w:t>In de tekst van artikel 5.17 Wet IB 2001 zoals deze is opgenomen in artikel</w:t>
      </w:r>
      <w:r>
        <w:rPr>
          <w:b/>
          <w:bCs/>
        </w:rPr>
        <w:t xml:space="preserve"> </w:t>
      </w:r>
      <w:r w:rsidRPr="007F79C1">
        <w:t>I</w:t>
      </w:r>
      <w:r w:rsidRPr="00745094">
        <w:t>, onderdeel R, van het wetsvoorstel Wet werkelijk rendement box 3 staat een definitie van startende ondernemingen. Deze definitie is niet meer nodig, vanwege de in deze novelle voorgestelde uitbreiding van het vermogenswinstregime naar</w:t>
      </w:r>
      <w:r w:rsidRPr="00745094">
        <w:rPr>
          <w:bCs/>
        </w:rPr>
        <w:t xml:space="preserve"> alle financiële instrumenten in box 3</w:t>
      </w:r>
      <w:r>
        <w:rPr>
          <w:bCs/>
        </w:rPr>
        <w:t>, en is daarom niet meer opgenomen</w:t>
      </w:r>
      <w:r w:rsidRPr="00745094">
        <w:rPr>
          <w:bCs/>
        </w:rPr>
        <w:t>.</w:t>
      </w:r>
    </w:p>
    <w:p w:rsidRPr="00745094" w:rsidR="00DB54F9" w:rsidP="00DB54F9" w:rsidRDefault="00DB54F9" w14:paraId="108B09DF" w14:textId="77777777"/>
    <w:p w:rsidRPr="00745094" w:rsidR="00DB54F9" w:rsidP="00DB54F9" w:rsidRDefault="00DB54F9" w14:paraId="41066A4E" w14:textId="77777777">
      <w:pPr>
        <w:rPr>
          <w:i/>
          <w:iCs/>
        </w:rPr>
      </w:pPr>
      <w:r w:rsidRPr="00745094">
        <w:rPr>
          <w:i/>
          <w:iCs/>
        </w:rPr>
        <w:t xml:space="preserve">Artikel </w:t>
      </w:r>
      <w:r>
        <w:rPr>
          <w:bCs/>
          <w:i/>
          <w:iCs/>
        </w:rPr>
        <w:t>I</w:t>
      </w:r>
      <w:r w:rsidRPr="00745094">
        <w:rPr>
          <w:i/>
          <w:iCs/>
        </w:rPr>
        <w:t xml:space="preserve">, onderdeel </w:t>
      </w:r>
      <w:r>
        <w:rPr>
          <w:i/>
          <w:iCs/>
        </w:rPr>
        <w:t>F</w:t>
      </w:r>
      <w:r w:rsidRPr="00745094">
        <w:rPr>
          <w:i/>
          <w:iCs/>
        </w:rPr>
        <w:t xml:space="preserve"> </w:t>
      </w:r>
      <w:r>
        <w:rPr>
          <w:i/>
          <w:iCs/>
        </w:rPr>
        <w:t xml:space="preserve">(artikel I, onderdeel R, van de Wet werkelijk rendement box 3) </w:t>
      </w:r>
      <w:r w:rsidRPr="00745094">
        <w:rPr>
          <w:i/>
          <w:iCs/>
        </w:rPr>
        <w:t>(artikel 5.18 van de Wet inkomstenbelasting 2001)</w:t>
      </w:r>
    </w:p>
    <w:p w:rsidRPr="00745094" w:rsidR="00DB54F9" w:rsidP="00DB54F9" w:rsidRDefault="00DB54F9" w14:paraId="2E291851" w14:textId="77777777">
      <w:r w:rsidRPr="00745094">
        <w:t>Het in artikel</w:t>
      </w:r>
      <w:r>
        <w:t xml:space="preserve"> I</w:t>
      </w:r>
      <w:r w:rsidRPr="00745094">
        <w:t xml:space="preserve">, onderdeel R, van het wetsvoorstel Wet werkelijk rendement box 3 opgenomen artikel 5.18, eerste lid, Wet IB 2001 </w:t>
      </w:r>
      <w:r>
        <w:t xml:space="preserve">bevat </w:t>
      </w:r>
      <w:r w:rsidRPr="003E4E78">
        <w:t xml:space="preserve">een </w:t>
      </w:r>
      <w:r>
        <w:t>enuntiatieve</w:t>
      </w:r>
      <w:r w:rsidRPr="003E4E78">
        <w:t xml:space="preserve"> opsomming van reguliere voordelen</w:t>
      </w:r>
      <w:r>
        <w:t xml:space="preserve"> van onroerende zaken en van aandelen in en winstbewijzen van een startende onderneming</w:t>
      </w:r>
      <w:r w:rsidRPr="00745094">
        <w:t>. Voorgesteld wordt om het toepassingsbereik van dat artikel</w:t>
      </w:r>
      <w:r>
        <w:t>lid</w:t>
      </w:r>
      <w:r w:rsidRPr="00745094">
        <w:t xml:space="preserve"> uit te breiden naar alle financiële instrumenten in box 3.</w:t>
      </w:r>
      <w:r w:rsidRPr="003E4E78">
        <w:t xml:space="preserve"> </w:t>
      </w:r>
      <w:r w:rsidRPr="00745094">
        <w:t xml:space="preserve">Er zijn financiële instrumenten waarover rente wordt ontvangen (bijvoorbeeld obligaties) en ook financiële instrumenten waarover rente wordt betaald (bijvoorbeeld swaps). Om die reden wordt voorgesteld om ‘rente’ toe te voegen aan de opsomming </w:t>
      </w:r>
      <w:r>
        <w:t>van</w:t>
      </w:r>
      <w:r w:rsidRPr="00745094">
        <w:t xml:space="preserve"> reguliere voordelen en om </w:t>
      </w:r>
      <w:r>
        <w:t xml:space="preserve">een tweede lid in te voegen </w:t>
      </w:r>
      <w:proofErr w:type="gramStart"/>
      <w:r>
        <w:t xml:space="preserve">waarin  </w:t>
      </w:r>
      <w:r w:rsidRPr="00745094">
        <w:t>‘</w:t>
      </w:r>
      <w:proofErr w:type="gramEnd"/>
      <w:r>
        <w:t>over financi</w:t>
      </w:r>
      <w:r w:rsidRPr="00745094">
        <w:t>ë</w:t>
      </w:r>
      <w:r>
        <w:t xml:space="preserve">le instrumenten </w:t>
      </w:r>
      <w:r w:rsidRPr="00745094">
        <w:t xml:space="preserve">verschuldigde rente’ </w:t>
      </w:r>
      <w:r>
        <w:t>wordt aangemerkt</w:t>
      </w:r>
      <w:r w:rsidRPr="00745094">
        <w:t xml:space="preserve"> als negatief regulier voordeel. </w:t>
      </w:r>
    </w:p>
    <w:p w:rsidR="00DB54F9" w:rsidP="00DB54F9" w:rsidRDefault="00DB54F9" w14:paraId="79969711" w14:textId="77777777">
      <w:pPr>
        <w:rPr>
          <w:i/>
          <w:iCs/>
        </w:rPr>
      </w:pPr>
    </w:p>
    <w:p w:rsidRPr="00EF2714" w:rsidR="00DB54F9" w:rsidP="00DB54F9" w:rsidRDefault="00DB54F9" w14:paraId="212E577F" w14:textId="77777777">
      <w:pPr>
        <w:rPr>
          <w:i/>
          <w:iCs/>
        </w:rPr>
      </w:pPr>
      <w:r w:rsidRPr="00EF2714">
        <w:rPr>
          <w:i/>
          <w:iCs/>
        </w:rPr>
        <w:t xml:space="preserve">Artikel </w:t>
      </w:r>
      <w:r>
        <w:rPr>
          <w:bCs/>
          <w:i/>
          <w:iCs/>
        </w:rPr>
        <w:t>I</w:t>
      </w:r>
      <w:r w:rsidRPr="00EF2714">
        <w:rPr>
          <w:i/>
          <w:iCs/>
        </w:rPr>
        <w:t xml:space="preserve">, onderdeel </w:t>
      </w:r>
      <w:r>
        <w:rPr>
          <w:i/>
          <w:iCs/>
        </w:rPr>
        <w:t>H</w:t>
      </w:r>
      <w:r w:rsidRPr="00EF2714">
        <w:rPr>
          <w:i/>
          <w:iCs/>
        </w:rPr>
        <w:t xml:space="preserve"> </w:t>
      </w:r>
      <w:r>
        <w:rPr>
          <w:i/>
          <w:iCs/>
        </w:rPr>
        <w:t xml:space="preserve">(artikel I, onderdeel R, van de Wet werkelijk rendement box 3) </w:t>
      </w:r>
      <w:r w:rsidRPr="00EF2714">
        <w:rPr>
          <w:i/>
          <w:iCs/>
        </w:rPr>
        <w:t>(artikel 5.26 van de Wet inkomstenbelasting 2001)</w:t>
      </w:r>
    </w:p>
    <w:p w:rsidRPr="00EF2714" w:rsidR="00DB54F9" w:rsidP="00DB54F9" w:rsidRDefault="00DB54F9" w14:paraId="09DF6168" w14:textId="77777777">
      <w:r w:rsidRPr="00EF2714">
        <w:t xml:space="preserve">Het </w:t>
      </w:r>
      <w:r w:rsidRPr="00745094">
        <w:t>in artikel</w:t>
      </w:r>
      <w:r>
        <w:t xml:space="preserve"> I</w:t>
      </w:r>
      <w:r w:rsidRPr="00745094">
        <w:t>, onderdeel R, van het wetsvoorstel Wet werkelijk rendement box 3 opgenomen</w:t>
      </w:r>
      <w:r w:rsidRPr="00EF2714">
        <w:t xml:space="preserve"> artikel 5.26 Wet IB 2001 bevat regels over een gemiddelde verkrijgingsprijs</w:t>
      </w:r>
      <w:r w:rsidRPr="005152BA">
        <w:t xml:space="preserve"> </w:t>
      </w:r>
      <w:r>
        <w:t>van aandelen in en winstbewijzen van een startende onderneming</w:t>
      </w:r>
      <w:r w:rsidRPr="00EF2714">
        <w:t xml:space="preserve">. </w:t>
      </w:r>
      <w:r w:rsidRPr="00745094">
        <w:t>Voorgesteld wordt om het toepassingsbereik van dat artikel uit te breiden naar alle financiële instrumenten in box 3.</w:t>
      </w:r>
      <w:r>
        <w:t xml:space="preserve"> </w:t>
      </w:r>
      <w:r w:rsidRPr="00EF2714">
        <w:t>Het voorgestelde artikel 5.26, eerste lid, eerste zin, Wet IB 2001 heeft dezelfde strekking als artikel 4.21, tweede lid, Wet IB 2001, waarin een regeling is opgenomen over een gemiddelde verkrijgingsprijs voor aandelen en winstbewijzen in box 2. Het voorgestelde artikel 5.26, eerste lid, tweede zin, Wet IB 2001 verklaart de eerste zin van overeenkomstige toepassing op andere financiële instrumenten. Het voorgestelde artikel 5.26, tweede lid, Wet IB 2001 heeft dezelfde strekking als artikel 4.21, derde lid, Wet IB 2001.</w:t>
      </w:r>
    </w:p>
    <w:p w:rsidRPr="00EF2714" w:rsidR="00DB54F9" w:rsidP="00DB54F9" w:rsidRDefault="00DB54F9" w14:paraId="59A88415" w14:textId="77777777">
      <w:r w:rsidRPr="00EF2714">
        <w:t>Voor de volledigheid wordt opgemerkt dat het voorgestelde artikel 5.26 Wet IB 2001 geen artikellid bevat dat vergelijkbaar is met het in artikel</w:t>
      </w:r>
      <w:r>
        <w:rPr>
          <w:b/>
          <w:bCs/>
        </w:rPr>
        <w:t xml:space="preserve"> </w:t>
      </w:r>
      <w:r w:rsidRPr="007F79C1">
        <w:t>I</w:t>
      </w:r>
      <w:r w:rsidRPr="00EF2714">
        <w:t xml:space="preserve">, onderdeel R, van het wetsvoorstel Wet werkelijk rendement box 3 opgenomen artikel 5.26, eerste lid, Wet IB 2001. Een dergelijk artikellid is niet meer nodig, omdat de daarin opgenomen regel alleen relevant is in de situatie waarin alleen voor aandelen </w:t>
      </w:r>
      <w:r>
        <w:t xml:space="preserve">in </w:t>
      </w:r>
      <w:r w:rsidRPr="00EF2714">
        <w:t xml:space="preserve">en winstbewijzen </w:t>
      </w:r>
      <w:r>
        <w:t>van</w:t>
      </w:r>
      <w:r w:rsidRPr="00EF2714">
        <w:t xml:space="preserve"> een startende onderneming een vermogenswinstregime geldt en voor andere aandelen en winstbewijzen niet. </w:t>
      </w:r>
    </w:p>
    <w:p w:rsidRPr="00EF2714" w:rsidR="00DB54F9" w:rsidP="00DB54F9" w:rsidRDefault="00DB54F9" w14:paraId="30E00766" w14:textId="77777777"/>
    <w:p w:rsidRPr="00EF2714" w:rsidR="00DB54F9" w:rsidP="00DB54F9" w:rsidRDefault="00DB54F9" w14:paraId="1D88B1DE" w14:textId="77777777">
      <w:pPr>
        <w:rPr>
          <w:i/>
          <w:iCs/>
        </w:rPr>
      </w:pPr>
      <w:r w:rsidRPr="00EF2714">
        <w:rPr>
          <w:i/>
          <w:iCs/>
        </w:rPr>
        <w:t xml:space="preserve">Artikel </w:t>
      </w:r>
      <w:r>
        <w:rPr>
          <w:bCs/>
          <w:i/>
          <w:iCs/>
        </w:rPr>
        <w:t>I</w:t>
      </w:r>
      <w:r w:rsidRPr="00EF2714">
        <w:rPr>
          <w:i/>
          <w:iCs/>
        </w:rPr>
        <w:t xml:space="preserve">, onderdeel </w:t>
      </w:r>
      <w:r>
        <w:rPr>
          <w:i/>
          <w:iCs/>
        </w:rPr>
        <w:t>K</w:t>
      </w:r>
      <w:r w:rsidRPr="00EF2714">
        <w:rPr>
          <w:i/>
          <w:iCs/>
        </w:rPr>
        <w:t xml:space="preserve"> </w:t>
      </w:r>
      <w:r>
        <w:rPr>
          <w:i/>
          <w:iCs/>
        </w:rPr>
        <w:t xml:space="preserve">(artikel I, onderdeel R, van de Wet werkelijk rendement box 3) </w:t>
      </w:r>
      <w:r w:rsidRPr="00EF2714">
        <w:rPr>
          <w:i/>
          <w:iCs/>
        </w:rPr>
        <w:t>(artikelen 5.30a en 5.30b van de Wet inkomstenbelasting 2001)</w:t>
      </w:r>
    </w:p>
    <w:p w:rsidRPr="00EF2714" w:rsidR="00DB54F9" w:rsidP="00DB54F9" w:rsidRDefault="00DB54F9" w14:paraId="201C5503" w14:textId="77777777">
      <w:r w:rsidRPr="00EF2714">
        <w:t xml:space="preserve">De voorgestelde artikelen 5.30a en 5.30b Wet IB 2001 hebben betrekking op termijncontracten om </w:t>
      </w:r>
      <w:r>
        <w:t xml:space="preserve">een of meer </w:t>
      </w:r>
      <w:r w:rsidRPr="00EF2714">
        <w:t>financiële instrumenten te verwerven of te vervreemden. De strekking van deze artikelen is zoveel mogelijk in lijn met de in artikel</w:t>
      </w:r>
      <w:r>
        <w:rPr>
          <w:b/>
          <w:bCs/>
        </w:rPr>
        <w:t xml:space="preserve"> </w:t>
      </w:r>
      <w:r w:rsidRPr="007F79C1">
        <w:t>I</w:t>
      </w:r>
      <w:r w:rsidRPr="00EF2714">
        <w:t xml:space="preserve">, onderdeel R, van het wetsvoorstel Wet werkelijk rendement box 3 opgenomen artikelen 5.29 en 5.30 Wet IB 2001 over koopopties en verkoopopties, rekening houdend met de specifieke kenmerken van termijncontracten om </w:t>
      </w:r>
      <w:r>
        <w:t xml:space="preserve">een of meer </w:t>
      </w:r>
      <w:r w:rsidRPr="00EF2714">
        <w:t xml:space="preserve">financiële instrumenten te verwerven of te vervreemden. Een belangrijk verschil tussen opties en dergelijke termijncontracten is dat </w:t>
      </w:r>
      <w:r w:rsidRPr="00145A8A">
        <w:t xml:space="preserve">een termijncontract voor beide partijen verplichtend is terwijl de koper van een optie een recht maar geen verplichting heeft. </w:t>
      </w:r>
      <w:r>
        <w:t>Hierdoor kan</w:t>
      </w:r>
      <w:r w:rsidRPr="00EF2714">
        <w:t xml:space="preserve"> een termijncontract om </w:t>
      </w:r>
      <w:r>
        <w:t xml:space="preserve">een of meer </w:t>
      </w:r>
      <w:r w:rsidRPr="00EF2714">
        <w:t>financiële instrumenten te verwerven of te vervreemden zowel een positieve als een negatieve waarde hebben</w:t>
      </w:r>
      <w:r>
        <w:t xml:space="preserve"> en</w:t>
      </w:r>
      <w:r w:rsidRPr="00EF2714">
        <w:t xml:space="preserve"> zullen er situaties zijn waarin de belastingplichtige betaalt voor een dergelijk termijncontract, maar ook situaties waarin de belastingplichtige juist een tegenprestatie ontvangt.</w:t>
      </w:r>
    </w:p>
    <w:p w:rsidRPr="00EF2714" w:rsidR="00DB54F9" w:rsidP="00DB54F9" w:rsidRDefault="00DB54F9" w14:paraId="79F612E0" w14:textId="77777777">
      <w:r w:rsidRPr="00EF2714">
        <w:t xml:space="preserve">Het voorgestelde artikel 5.30a Wet IB 2001 bevat regels voor termijncontracten om </w:t>
      </w:r>
      <w:r>
        <w:t xml:space="preserve">een of meer </w:t>
      </w:r>
      <w:r w:rsidRPr="00EF2714">
        <w:t>financiële instrumenten te verwerven. Het voorgestelde artikel 5.30a, eerste lid, Wet IB 2001 betreft de situatie dat een belastingplichtige betaalt voor een dergelijk termijncontract en het termijncontract vervolgens wordt uitgeoefend. In dat geval wordt de verkrijgingsprijs van dat termijncontract gerekend tot de verkrijgingsprijs van de verworven financiële instrumenten. Het voorgestelde artikel 5.30a, eerste lid, Wet IB 2001 is grotendeels gelijkluidend aan het in artikel</w:t>
      </w:r>
      <w:r>
        <w:rPr>
          <w:b/>
          <w:bCs/>
        </w:rPr>
        <w:t xml:space="preserve"> </w:t>
      </w:r>
      <w:r w:rsidRPr="007F79C1">
        <w:t>I</w:t>
      </w:r>
      <w:r w:rsidRPr="00EF2714">
        <w:t xml:space="preserve">, onderdeel R, van het wetsvoorstel Wet werkelijk rendement box 3 opgenomen artikel 5.29, eerste lid, Wet IB 2001, dat betrekking heeft op het uitoefenen van een koopoptie. </w:t>
      </w:r>
    </w:p>
    <w:p w:rsidRPr="00EF2714" w:rsidR="00DB54F9" w:rsidP="00DB54F9" w:rsidRDefault="00DB54F9" w14:paraId="703F23D1" w14:textId="77777777">
      <w:r w:rsidRPr="00EF2714">
        <w:t>Het voorgestelde artikel 5.30a, tweede lid, Wet IB 2001 betreft de situatie dat de belastingplichtige een tegenprestatie ontvangt voor een termijncontract om</w:t>
      </w:r>
      <w:r>
        <w:t xml:space="preserve"> een of meer</w:t>
      </w:r>
      <w:r w:rsidRPr="00EF2714">
        <w:t xml:space="preserve"> financiële instrumenten te verwerven. In dat geval wordt het vervreemdingsvoordeel gesteld op het bedrag van de overdrachtsprijs. </w:t>
      </w:r>
      <w:r w:rsidRPr="007A755E">
        <w:t>Het voordeel wordt geacht te zijn genoten op het tijdstip waarop dat termijncontract is</w:t>
      </w:r>
      <w:r>
        <w:t xml:space="preserve"> gesloten</w:t>
      </w:r>
      <w:r w:rsidRPr="00EF2714">
        <w:t>. Het voorgestelde artikel 5.30a, tweede lid, Wet IB 2001 is grotendeels gelijkluidend aan het in artikel</w:t>
      </w:r>
      <w:r>
        <w:rPr>
          <w:b/>
          <w:bCs/>
        </w:rPr>
        <w:t xml:space="preserve"> </w:t>
      </w:r>
      <w:r w:rsidRPr="007F79C1">
        <w:t>I</w:t>
      </w:r>
      <w:r w:rsidRPr="00EF2714">
        <w:t xml:space="preserve">, onderdeel R, van het wetsvoorstel Wet werkelijk rendement box 3 opgenomen artikel 5.29, tweede lid, Wet IB 2001, dat betrekking heeft op het verlenen van een koopoptie. </w:t>
      </w:r>
    </w:p>
    <w:p w:rsidRPr="00EF2714" w:rsidR="00DB54F9" w:rsidP="00DB54F9" w:rsidRDefault="00DB54F9" w14:paraId="414E0049" w14:textId="77777777">
      <w:r w:rsidRPr="00EF2714">
        <w:t xml:space="preserve">Het voorgestelde artikel 5.30b Wet IB 2001 bevat regels voor termijncontracten om </w:t>
      </w:r>
      <w:r>
        <w:t xml:space="preserve">een of meer </w:t>
      </w:r>
      <w:r w:rsidRPr="00EF2714">
        <w:t>financiële instrument</w:t>
      </w:r>
      <w:r>
        <w:t>en</w:t>
      </w:r>
      <w:r w:rsidRPr="00EF2714">
        <w:t xml:space="preserve"> te vervreemden. Het voorgestelde artikel 5.30b, eerste lid, Wet IB 2001 betreft de situatie dat een belastingplichtige betaalt voor een dergelijk termijncontract en het termijncontract vervolgens wordt uitgeoefend. In dat geval wordt de verkrijgingsprijs van dat termijncontract aangemerkt als kosten ter zake van de vervreemding. Het voorgestelde artikel 5.30b, eerste lid, Wet IB 2001 is grotendeels gelijkluidend aan het in artikel</w:t>
      </w:r>
      <w:r>
        <w:rPr>
          <w:b/>
          <w:bCs/>
        </w:rPr>
        <w:t xml:space="preserve"> </w:t>
      </w:r>
      <w:r w:rsidRPr="002762AE">
        <w:t>I</w:t>
      </w:r>
      <w:r w:rsidRPr="00EF2714">
        <w:t xml:space="preserve">, onderdeel R, van het wetsvoorstel Wet werkelijk rendement box 3 opgenomen artikel 5.30, eerste lid, Wet IB 2001, dat betrekking heeft op het uitoefenen van een verkoopoptie. </w:t>
      </w:r>
    </w:p>
    <w:p w:rsidRPr="00EF2714" w:rsidR="00DB54F9" w:rsidP="00DB54F9" w:rsidRDefault="00DB54F9" w14:paraId="686DD7FE" w14:textId="77777777">
      <w:r w:rsidRPr="00EF2714">
        <w:t xml:space="preserve">Het voorgestelde artikel 5.30b, tweede lid, Wet IB 2001 betreft de situatie dat de belastingplichtige een tegenprestatie ontvangt voor een termijncontract om financiële instrumenten te vervreemden. In dat geval wordt het vervreemdingsvoordeel gesteld op het bedrag van de overdrachtsprijs. </w:t>
      </w:r>
      <w:r w:rsidRPr="007A755E">
        <w:t>Het voordeel wordt geacht te zijn genoten op het tijdstip waarop dat termijncontract is</w:t>
      </w:r>
      <w:r>
        <w:t xml:space="preserve"> gesloten</w:t>
      </w:r>
      <w:r w:rsidRPr="007A755E">
        <w:t>.</w:t>
      </w:r>
      <w:r w:rsidRPr="00EF2714">
        <w:t xml:space="preserve"> Het </w:t>
      </w:r>
      <w:r w:rsidRPr="00EF2714">
        <w:lastRenderedPageBreak/>
        <w:t>voorgestelde artikel 5.30b, tweede lid, Wet IB 2001 is grotendeels gelijkluidend aan het in artikel</w:t>
      </w:r>
      <w:r>
        <w:rPr>
          <w:b/>
          <w:bCs/>
        </w:rPr>
        <w:t xml:space="preserve"> </w:t>
      </w:r>
      <w:r w:rsidRPr="002762AE">
        <w:t>I</w:t>
      </w:r>
      <w:r w:rsidRPr="00EF2714">
        <w:t xml:space="preserve">, onderdeel R, van het wetsvoorstel Wet werkelijk rendement box 3 opgenomen artikel 5.30, tweede lid, Wet IB 2001, dat betrekking heeft op het verlenen van een verkoopoptie. </w:t>
      </w:r>
    </w:p>
    <w:p w:rsidRPr="00EF2714" w:rsidR="00DB54F9" w:rsidP="00DB54F9" w:rsidRDefault="00DB54F9" w14:paraId="5904258E" w14:textId="77777777">
      <w:pPr>
        <w:rPr>
          <w:i/>
          <w:iCs/>
        </w:rPr>
      </w:pPr>
    </w:p>
    <w:p w:rsidRPr="00EF2714" w:rsidR="00DB54F9" w:rsidP="00DB54F9" w:rsidRDefault="00DB54F9" w14:paraId="0F21A336" w14:textId="77777777">
      <w:pPr>
        <w:rPr>
          <w:i/>
          <w:iCs/>
        </w:rPr>
      </w:pPr>
      <w:r w:rsidRPr="00EF2714">
        <w:rPr>
          <w:i/>
          <w:iCs/>
        </w:rPr>
        <w:t xml:space="preserve">Artikel </w:t>
      </w:r>
      <w:r>
        <w:rPr>
          <w:bCs/>
          <w:i/>
          <w:iCs/>
        </w:rPr>
        <w:t>I</w:t>
      </w:r>
      <w:r w:rsidRPr="00EF2714">
        <w:rPr>
          <w:i/>
          <w:iCs/>
        </w:rPr>
        <w:t xml:space="preserve">, onderdeel </w:t>
      </w:r>
      <w:r>
        <w:rPr>
          <w:i/>
          <w:iCs/>
        </w:rPr>
        <w:t>L</w:t>
      </w:r>
      <w:r w:rsidRPr="00EF2714">
        <w:rPr>
          <w:i/>
          <w:iCs/>
        </w:rPr>
        <w:t xml:space="preserve"> </w:t>
      </w:r>
      <w:r>
        <w:rPr>
          <w:i/>
          <w:iCs/>
        </w:rPr>
        <w:t xml:space="preserve">(artikel I, onderdeel R, van de Wet werkelijk rendement box 3) </w:t>
      </w:r>
      <w:r w:rsidRPr="00EF2714">
        <w:rPr>
          <w:i/>
          <w:iCs/>
        </w:rPr>
        <w:t>(artikel 5.32 van de Wet inkomstenbelasting 2001)</w:t>
      </w:r>
    </w:p>
    <w:p w:rsidR="00DB54F9" w:rsidP="00DB54F9" w:rsidRDefault="00DB54F9" w14:paraId="187F144E" w14:textId="77777777">
      <w:r w:rsidRPr="00EF2714">
        <w:t>Het voorgestelde artikel 5.32 Wet IB 2001 heeft dezelfde strekking als het in artikel</w:t>
      </w:r>
      <w:r>
        <w:rPr>
          <w:b/>
          <w:bCs/>
        </w:rPr>
        <w:t xml:space="preserve"> </w:t>
      </w:r>
      <w:r w:rsidRPr="002762AE">
        <w:t>I</w:t>
      </w:r>
      <w:r w:rsidRPr="00EF2714">
        <w:t xml:space="preserve">, onderdeel R, van het wetsvoorstel Wet werkelijk rendement box 3 opgenomen artikel 5.32 Wet IB 2001, met dien verstande dat de reikwijdte </w:t>
      </w:r>
      <w:r>
        <w:t xml:space="preserve">overeenkomstig de andere wijzigingen in dit wetsvoorstel op dat punt </w:t>
      </w:r>
      <w:r w:rsidRPr="00EF2714">
        <w:t xml:space="preserve">is uitgebreid </w:t>
      </w:r>
      <w:r>
        <w:t xml:space="preserve">van aandelen in en winstbewijzen van een startende onderneming </w:t>
      </w:r>
      <w:r w:rsidRPr="00EF2714">
        <w:t>naar alle financiële instrumenten in box 3</w:t>
      </w:r>
      <w:r>
        <w:t xml:space="preserve"> (of delen daarvan)</w:t>
      </w:r>
      <w:r w:rsidRPr="00EF2714">
        <w:t xml:space="preserve">. </w:t>
      </w:r>
    </w:p>
    <w:p w:rsidR="00DB54F9" w:rsidP="00DB54F9" w:rsidRDefault="00DB54F9" w14:paraId="5E3AA4F6" w14:textId="77777777"/>
    <w:p w:rsidRPr="00AE7015" w:rsidR="00DB54F9" w:rsidP="00DB54F9" w:rsidRDefault="00DB54F9" w14:paraId="0AD76D27" w14:textId="77777777">
      <w:pPr>
        <w:rPr>
          <w:i/>
          <w:iCs/>
        </w:rPr>
      </w:pPr>
      <w:r>
        <w:rPr>
          <w:i/>
          <w:iCs/>
        </w:rPr>
        <w:t xml:space="preserve">Artikel II, onderdeel A </w:t>
      </w:r>
      <w:r w:rsidRPr="008E1605">
        <w:rPr>
          <w:i/>
          <w:iCs/>
        </w:rPr>
        <w:t>(artikel 2.12 van de Wet inkomstenbelasting 2001)</w:t>
      </w:r>
    </w:p>
    <w:p w:rsidR="00DB54F9" w:rsidP="00DB54F9" w:rsidRDefault="00DB54F9" w14:paraId="05832758" w14:textId="77777777">
      <w:r>
        <w:t xml:space="preserve">Met de voorgestelde wijziging van de in artikel 2.12 Wet IB 2001 opgenomen tabel wordt het tarief van de eerste schijf van box 2 verlaagd van 24,5% naar 23,5% en wordt het tarief van de tweede schijf van box 2 verlaagd van 31% naar 29%. </w:t>
      </w:r>
    </w:p>
    <w:p w:rsidR="00DB54F9" w:rsidP="00DB54F9" w:rsidRDefault="00DB54F9" w14:paraId="13891AF6" w14:textId="77777777"/>
    <w:p w:rsidRPr="008E1605" w:rsidR="00DB54F9" w:rsidP="00DB54F9" w:rsidRDefault="00DB54F9" w14:paraId="0DDC077E" w14:textId="77777777">
      <w:pPr>
        <w:rPr>
          <w:i/>
          <w:iCs/>
        </w:rPr>
      </w:pPr>
      <w:r w:rsidRPr="008E1605">
        <w:rPr>
          <w:i/>
          <w:iCs/>
        </w:rPr>
        <w:t xml:space="preserve">Artikel </w:t>
      </w:r>
      <w:r>
        <w:rPr>
          <w:i/>
          <w:iCs/>
        </w:rPr>
        <w:t xml:space="preserve">II, onderdeel B, artikelen III, IV en V en artikel VI, onderdeel B </w:t>
      </w:r>
      <w:r w:rsidRPr="008E1605">
        <w:rPr>
          <w:i/>
          <w:iCs/>
        </w:rPr>
        <w:t>(artikelen 4.14a, 4.14b en 4.14c van de Wet inkomstenbelasting 2001)</w:t>
      </w:r>
    </w:p>
    <w:p w:rsidR="00DB54F9" w:rsidP="00DB54F9" w:rsidRDefault="00DB54F9" w14:paraId="4D18221F" w14:textId="77777777">
      <w:r>
        <w:t xml:space="preserve">Sinds 1 januari 2023 geldt </w:t>
      </w:r>
      <w:proofErr w:type="gramStart"/>
      <w:r>
        <w:t>ingevolge</w:t>
      </w:r>
      <w:proofErr w:type="gramEnd"/>
      <w:r>
        <w:t xml:space="preserve"> de artikelen 4.13, eerste lid, onderdeel h, 4.14a tot en met 4.14d, 4.43, derde lid, 7.5, achtste lid, 7.5a en 10a.23 Wet IB 2001 ook een box 2-heffing over het bovenmatige deel van zogenoemde excessieve leningen die de aanmerkelijkbelanghouder is aangegaan bij de vennootschap waarin hij dat belang heeft. Om het bovenmatige deel van een dergelijke lening te bepalen, geldt op grond van artikel 4.14a Wet IB 2001 een kwantitatieve grens die is vormgegeven als het zogenoemde maximumbedrag. Het maximumbedrag geldt voor de aanmerkelijkbelanghouder en zijn partner gezamenlijk. Dit maximumbedrag wordt als gevolg van de voorgestelde aanpassingen van de artikelen 4.14a, tweede lid, 4.14b, eerste en tweede lid, en 4.14c, eerste lid, Wet IB 2001 de komende vijf jaar in jaarlijkse stappen van € 80.000 verlaagd van € 500.000 in 2026 naar € 100.000 per 1 januari 2031. Wanneer het totaal aan relevante schulden op de peildatum meer bedraagt dan het maximumbedrag (van uiteindelijk € 100.000 of het bedrag dat resulteert na verhoging met een bij de betreffende heffing eerder in aanmerking genomen schuld), dan wordt het meerdere in box 2 belast. </w:t>
      </w:r>
    </w:p>
    <w:p w:rsidR="00DB54F9" w:rsidP="00DB54F9" w:rsidRDefault="00DB54F9" w14:paraId="31E1E5B1" w14:textId="77777777"/>
    <w:p w:rsidRPr="003B5578" w:rsidR="00DB54F9" w:rsidP="00DB54F9" w:rsidRDefault="00DB54F9" w14:paraId="42357664" w14:textId="77777777">
      <w:pPr>
        <w:rPr>
          <w:i/>
          <w:iCs/>
        </w:rPr>
      </w:pPr>
      <w:r w:rsidRPr="003B5578">
        <w:rPr>
          <w:i/>
          <w:iCs/>
        </w:rPr>
        <w:t xml:space="preserve">Artikel </w:t>
      </w:r>
      <w:r>
        <w:rPr>
          <w:i/>
          <w:iCs/>
        </w:rPr>
        <w:t xml:space="preserve">VI, onderdeel A </w:t>
      </w:r>
      <w:r w:rsidRPr="003B5578">
        <w:rPr>
          <w:i/>
          <w:iCs/>
        </w:rPr>
        <w:t>(artikel 2.12 van de Wet inkomstenbelasting 2001)</w:t>
      </w:r>
    </w:p>
    <w:p w:rsidR="00DB54F9" w:rsidP="00DB54F9" w:rsidRDefault="00DB54F9" w14:paraId="180BB1EC" w14:textId="77777777">
      <w:r>
        <w:t xml:space="preserve">Met de voorgestelde wijziging van de in artikel 2.12 Wet IB 2001 opgenomen tabel wordt per 1 januari 2031 het tarief van de eerste schijf van box 2 verhoogd naar 24,5% en het tarief van de tweede schijf van box 2 verhoogd naar 31%. </w:t>
      </w:r>
    </w:p>
    <w:p w:rsidR="00DB54F9" w:rsidP="00DB54F9" w:rsidRDefault="00DB54F9" w14:paraId="13B56B2D" w14:textId="77777777"/>
    <w:p w:rsidRPr="005D09E9" w:rsidR="00DB54F9" w:rsidP="00DB54F9" w:rsidRDefault="00DB54F9" w14:paraId="31DD58EB" w14:textId="77777777">
      <w:pPr>
        <w:pStyle w:val="Artikel"/>
        <w:rPr>
          <w:b w:val="0"/>
          <w:bCs/>
          <w:i/>
          <w:iCs/>
        </w:rPr>
      </w:pPr>
      <w:r w:rsidRPr="005D09E9">
        <w:rPr>
          <w:b w:val="0"/>
          <w:bCs/>
          <w:i/>
          <w:iCs/>
        </w:rPr>
        <w:t xml:space="preserve">Artikel </w:t>
      </w:r>
      <w:r>
        <w:rPr>
          <w:b w:val="0"/>
          <w:bCs/>
          <w:i/>
          <w:iCs/>
        </w:rPr>
        <w:t>VII (inwerkingtreding)</w:t>
      </w:r>
    </w:p>
    <w:p w:rsidR="00DB54F9" w:rsidP="00DB54F9" w:rsidRDefault="00DB54F9" w14:paraId="13A8F25C" w14:textId="77777777">
      <w:r w:rsidRPr="00E465F7">
        <w:t xml:space="preserve">Dit artikel regelt </w:t>
      </w:r>
      <w:r>
        <w:t xml:space="preserve">de inwerkingtreding per 1 januari 2027. In afwijking van de genoemde datum van inwerkingtreding treedt artikel I </w:t>
      </w:r>
      <w:r w:rsidRPr="00E465F7">
        <w:t>op hetzelfde tijdstip in werking</w:t>
      </w:r>
      <w:r>
        <w:t xml:space="preserve"> </w:t>
      </w:r>
      <w:r w:rsidRPr="00E465F7">
        <w:t>als</w:t>
      </w:r>
      <w:r>
        <w:t xml:space="preserve"> het nieuwe box 3-stelsel dat is opgenomen in het wetsvoorstel Wet werkelijk rendement box 3. </w:t>
      </w:r>
      <w:r w:rsidRPr="0009415A">
        <w:t xml:space="preserve">Voor de volledigheid wordt opgemerkt dat </w:t>
      </w:r>
      <w:r>
        <w:t xml:space="preserve">ook </w:t>
      </w:r>
      <w:r w:rsidRPr="0009415A">
        <w:t xml:space="preserve">in de aanhef van de artikelen </w:t>
      </w:r>
      <w:r>
        <w:t>III, IV, V en VI</w:t>
      </w:r>
      <w:r w:rsidRPr="0009415A">
        <w:t xml:space="preserve"> een regeling is getroffen met </w:t>
      </w:r>
      <w:r w:rsidRPr="0009415A">
        <w:lastRenderedPageBreak/>
        <w:t xml:space="preserve">betrekking tot </w:t>
      </w:r>
      <w:r>
        <w:t>een afwijkende</w:t>
      </w:r>
      <w:r w:rsidRPr="0009415A">
        <w:t xml:space="preserve"> </w:t>
      </w:r>
      <w:r>
        <w:t xml:space="preserve">datum van </w:t>
      </w:r>
      <w:r w:rsidRPr="0009415A">
        <w:t>inwerkingtreding, die wordt toegelicht in de artikelsgewijze toelichting bij d</w:t>
      </w:r>
      <w:r>
        <w:t>i</w:t>
      </w:r>
      <w:r w:rsidRPr="0009415A">
        <w:t>e artikelen.</w:t>
      </w:r>
    </w:p>
    <w:p w:rsidR="00DB54F9" w:rsidP="00DB54F9" w:rsidRDefault="00DB54F9" w14:paraId="536675BC" w14:textId="77777777"/>
    <w:p w:rsidRPr="00666A1F" w:rsidR="00DB54F9" w:rsidP="00DB54F9" w:rsidRDefault="00DB54F9" w14:paraId="1CBF7D9F" w14:textId="77777777">
      <w:r w:rsidRPr="00AF42B3">
        <w:t>De Staatssecretaris van Financiën,</w:t>
      </w:r>
      <w:r>
        <w:t xml:space="preserve"> </w:t>
      </w:r>
    </w:p>
    <w:p w:rsidRPr="00B00B31" w:rsidR="00DB54F9" w:rsidP="00DB54F9" w:rsidRDefault="00DB54F9" w14:paraId="79430BCF" w14:textId="77777777">
      <w:pPr>
        <w:rPr>
          <w:lang w:val="de-DE"/>
        </w:rPr>
      </w:pPr>
    </w:p>
    <w:p w:rsidRPr="00B00B31" w:rsidR="00DB54F9" w:rsidP="00DB54F9" w:rsidRDefault="00DB54F9" w14:paraId="1C28F63E" w14:textId="77777777">
      <w:pPr>
        <w:rPr>
          <w:lang w:val="de-DE"/>
        </w:rPr>
      </w:pPr>
    </w:p>
    <w:p w:rsidRPr="00B00B31" w:rsidR="00DB54F9" w:rsidP="00DB54F9" w:rsidRDefault="00DB54F9" w14:paraId="6A7B6DAE" w14:textId="77777777">
      <w:pPr>
        <w:rPr>
          <w:lang w:val="de-DE"/>
        </w:rPr>
      </w:pPr>
    </w:p>
    <w:p w:rsidRPr="00B00B31" w:rsidR="00DB54F9" w:rsidP="00DB54F9" w:rsidRDefault="00DB54F9" w14:paraId="1C2B9F27" w14:textId="77777777">
      <w:pPr>
        <w:rPr>
          <w:lang w:val="de-DE"/>
        </w:rPr>
      </w:pPr>
    </w:p>
    <w:p w:rsidRPr="00A86444" w:rsidR="00A86444" w:rsidP="002751D9" w:rsidRDefault="00A86444" w14:paraId="58BC31DE" w14:textId="77777777"/>
    <w:sectPr w:rsidRPr="00A86444" w:rsidR="00A86444" w:rsidSect="0051312F">
      <w:footerReference w:type="default" r:id="rId7"/>
      <w:pgSz w:w="11906" w:h="16838"/>
      <w:pgMar w:top="1417" w:right="1417" w:bottom="1417" w:left="1417" w:header="708" w:footer="708" w:gutter="0"/>
      <w:pgNumType w:start="1"/>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98994" w14:textId="77777777" w:rsidR="00385A78" w:rsidRDefault="00385A78" w:rsidP="003E1991">
      <w:pPr>
        <w:spacing w:line="240" w:lineRule="auto"/>
      </w:pPr>
      <w:r>
        <w:separator/>
      </w:r>
    </w:p>
  </w:endnote>
  <w:endnote w:type="continuationSeparator" w:id="0">
    <w:p w14:paraId="28E405BA" w14:textId="77777777" w:rsidR="00385A78" w:rsidRDefault="00385A78" w:rsidP="003E19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albaum Display SemiBold">
    <w:charset w:val="00"/>
    <w:family w:val="roman"/>
    <w:pitch w:val="variable"/>
    <w:sig w:usb0="8000002F" w:usb1="0000000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506427"/>
      <w:docPartObj>
        <w:docPartGallery w:val="Page Numbers (Bottom of Page)"/>
        <w:docPartUnique/>
      </w:docPartObj>
    </w:sdtPr>
    <w:sdtEndPr/>
    <w:sdtContent>
      <w:p w14:paraId="0F60E0CE" w14:textId="31219271" w:rsidR="001A7B8A" w:rsidRDefault="001A7B8A">
        <w:pPr>
          <w:pStyle w:val="Voettekst"/>
          <w:jc w:val="right"/>
        </w:pPr>
        <w:r>
          <w:fldChar w:fldCharType="begin"/>
        </w:r>
        <w:r>
          <w:instrText>PAGE   \* MERGEFORMAT</w:instrText>
        </w:r>
        <w:r>
          <w:fldChar w:fldCharType="separate"/>
        </w:r>
        <w:r>
          <w:t>2</w:t>
        </w:r>
        <w:r>
          <w:fldChar w:fldCharType="end"/>
        </w:r>
      </w:p>
    </w:sdtContent>
  </w:sdt>
  <w:p w14:paraId="6E1DFD9C" w14:textId="77777777" w:rsidR="002904B4" w:rsidRDefault="002904B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A1DF7" w14:textId="77777777" w:rsidR="00385A78" w:rsidRDefault="00385A78" w:rsidP="003E1991">
      <w:pPr>
        <w:spacing w:line="240" w:lineRule="auto"/>
      </w:pPr>
      <w:r>
        <w:separator/>
      </w:r>
    </w:p>
  </w:footnote>
  <w:footnote w:type="continuationSeparator" w:id="0">
    <w:p w14:paraId="130EEF71" w14:textId="77777777" w:rsidR="00385A78" w:rsidRDefault="00385A78" w:rsidP="003E1991">
      <w:pPr>
        <w:spacing w:line="240" w:lineRule="auto"/>
      </w:pPr>
      <w:r>
        <w:continuationSeparator/>
      </w:r>
    </w:p>
  </w:footnote>
  <w:footnote w:id="1">
    <w:p w14:paraId="29C76589" w14:textId="5B780203" w:rsidR="0067019E" w:rsidRPr="0067019E" w:rsidRDefault="0067019E">
      <w:pPr>
        <w:pStyle w:val="Voetnoottekst"/>
        <w:rPr>
          <w:sz w:val="13"/>
          <w:szCs w:val="13"/>
        </w:rPr>
      </w:pPr>
      <w:r w:rsidRPr="0067019E">
        <w:rPr>
          <w:rStyle w:val="Voetnootmarkering"/>
          <w:sz w:val="13"/>
          <w:szCs w:val="13"/>
        </w:rPr>
        <w:footnoteRef/>
      </w:r>
      <w:r w:rsidRPr="0067019E">
        <w:rPr>
          <w:sz w:val="13"/>
          <w:szCs w:val="13"/>
        </w:rPr>
        <w:t xml:space="preserve">  Voor zover vorderingen en schulden niet kwalificeren als financieel instrument. Verhandelbare schuldinstrumenten zoals obligaties kwalificeren als financieel instrument.</w:t>
      </w:r>
    </w:p>
  </w:footnote>
  <w:footnote w:id="2">
    <w:p w14:paraId="533756D7" w14:textId="5CAC803D" w:rsidR="007E1859" w:rsidRPr="007E1859" w:rsidRDefault="007E1859">
      <w:pPr>
        <w:pStyle w:val="Voetnoottekst"/>
        <w:rPr>
          <w:sz w:val="13"/>
          <w:szCs w:val="13"/>
        </w:rPr>
      </w:pPr>
      <w:r w:rsidRPr="007E1859">
        <w:rPr>
          <w:rStyle w:val="Voetnootmarkering"/>
          <w:sz w:val="13"/>
          <w:szCs w:val="13"/>
        </w:rPr>
        <w:footnoteRef/>
      </w:r>
      <w:r w:rsidRPr="007E1859">
        <w:rPr>
          <w:sz w:val="13"/>
          <w:szCs w:val="13"/>
        </w:rPr>
        <w:t xml:space="preserve"> Kamerstukken II 2026/27, 37 020, nr. 62.</w:t>
      </w:r>
    </w:p>
  </w:footnote>
  <w:footnote w:id="3">
    <w:p w14:paraId="53466E00" w14:textId="447DB507" w:rsidR="001044A2" w:rsidRPr="001044A2" w:rsidRDefault="001044A2">
      <w:pPr>
        <w:pStyle w:val="Voetnoottekst"/>
        <w:rPr>
          <w:sz w:val="13"/>
          <w:szCs w:val="13"/>
        </w:rPr>
      </w:pPr>
      <w:r w:rsidRPr="001044A2">
        <w:rPr>
          <w:rStyle w:val="Voetnootmarkering"/>
          <w:sz w:val="13"/>
          <w:szCs w:val="13"/>
        </w:rPr>
        <w:footnoteRef/>
      </w:r>
      <w:r w:rsidRPr="001044A2">
        <w:rPr>
          <w:sz w:val="13"/>
          <w:szCs w:val="13"/>
        </w:rPr>
        <w:t xml:space="preserve"> Kamerstukken II 2025/26, 36 748, nr. 45.</w:t>
      </w:r>
    </w:p>
  </w:footnote>
  <w:footnote w:id="4">
    <w:p w14:paraId="37525C29" w14:textId="4E378F35" w:rsidR="001044A2" w:rsidRDefault="001044A2">
      <w:pPr>
        <w:pStyle w:val="Voetnoottekst"/>
      </w:pPr>
      <w:r w:rsidRPr="001044A2">
        <w:rPr>
          <w:rStyle w:val="Voetnootmarkering"/>
          <w:sz w:val="13"/>
          <w:szCs w:val="13"/>
        </w:rPr>
        <w:footnoteRef/>
      </w:r>
      <w:r w:rsidRPr="001044A2">
        <w:rPr>
          <w:sz w:val="13"/>
          <w:szCs w:val="13"/>
        </w:rPr>
        <w:t xml:space="preserve"> Kamerstukken II 2025/26, 36 748, nr. 47.</w:t>
      </w:r>
    </w:p>
  </w:footnote>
  <w:footnote w:id="5">
    <w:p w14:paraId="50856712" w14:textId="77777777" w:rsidR="00DB54F9" w:rsidRPr="000E053C" w:rsidRDefault="00DB54F9" w:rsidP="00DB54F9">
      <w:pPr>
        <w:pStyle w:val="Voetnoottekst"/>
        <w:rPr>
          <w:sz w:val="16"/>
          <w:szCs w:val="16"/>
        </w:rPr>
      </w:pPr>
      <w:r w:rsidRPr="000E053C">
        <w:rPr>
          <w:rStyle w:val="Voetnootmarkering"/>
          <w:sz w:val="16"/>
          <w:szCs w:val="16"/>
        </w:rPr>
        <w:footnoteRef/>
      </w:r>
      <w:r w:rsidRPr="000E053C">
        <w:rPr>
          <w:sz w:val="16"/>
          <w:szCs w:val="16"/>
        </w:rPr>
        <w:t xml:space="preserve"> In de Beleidsregel verhandelbaarheid wordt verduidelijkt wat in de Wft wordt bedoeld met het begrip ‘verhandelbaar’.</w:t>
      </w:r>
    </w:p>
  </w:footnote>
  <w:footnote w:id="6">
    <w:p w14:paraId="28CFF774" w14:textId="77777777" w:rsidR="00DB54F9" w:rsidRPr="000E053C" w:rsidRDefault="00DB54F9" w:rsidP="00DB54F9">
      <w:pPr>
        <w:pStyle w:val="Voetnoottekst"/>
        <w:rPr>
          <w:sz w:val="16"/>
          <w:szCs w:val="16"/>
        </w:rPr>
      </w:pPr>
      <w:r w:rsidRPr="000E053C">
        <w:rPr>
          <w:rStyle w:val="Voetnootmarkering"/>
          <w:sz w:val="16"/>
          <w:szCs w:val="16"/>
        </w:rPr>
        <w:footnoteRef/>
      </w:r>
      <w:r w:rsidRPr="000E053C">
        <w:rPr>
          <w:sz w:val="16"/>
          <w:szCs w:val="16"/>
        </w:rPr>
        <w:t xml:space="preserve"> </w:t>
      </w:r>
      <w:r w:rsidRPr="00DB54F9">
        <w:rPr>
          <w:sz w:val="16"/>
          <w:szCs w:val="16"/>
        </w:rPr>
        <w:t>Zie de artikelen</w:t>
      </w:r>
      <w:r w:rsidRPr="000E053C">
        <w:rPr>
          <w:sz w:val="16"/>
          <w:szCs w:val="16"/>
        </w:rPr>
        <w:t xml:space="preserve"> </w:t>
      </w:r>
      <w:r w:rsidRPr="00DB54F9">
        <w:rPr>
          <w:sz w:val="16"/>
          <w:szCs w:val="16"/>
        </w:rPr>
        <w:t xml:space="preserve">4.5a </w:t>
      </w:r>
      <w:r w:rsidRPr="000E053C">
        <w:rPr>
          <w:sz w:val="16"/>
          <w:szCs w:val="16"/>
        </w:rPr>
        <w:t xml:space="preserve">en 4.5b </w:t>
      </w:r>
      <w:r w:rsidRPr="00DB54F9">
        <w:rPr>
          <w:sz w:val="16"/>
          <w:szCs w:val="16"/>
        </w:rPr>
        <w:t>Wet I</w:t>
      </w:r>
      <w:r w:rsidRPr="000E053C">
        <w:rPr>
          <w:sz w:val="16"/>
          <w:szCs w:val="16"/>
        </w:rPr>
        <w:t>B 2001.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D5804"/>
    <w:multiLevelType w:val="hybridMultilevel"/>
    <w:tmpl w:val="24DA3B62"/>
    <w:lvl w:ilvl="0" w:tplc="CCE6118A">
      <w:start w:val="3"/>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87719B"/>
    <w:multiLevelType w:val="hybridMultilevel"/>
    <w:tmpl w:val="04BA91E2"/>
    <w:lvl w:ilvl="0" w:tplc="0413000F">
      <w:start w:val="1"/>
      <w:numFmt w:val="decimal"/>
      <w:lvlText w:val="%1."/>
      <w:lvlJc w:val="left"/>
      <w:pPr>
        <w:ind w:left="720" w:hanging="360"/>
      </w:pPr>
      <w:rPr>
        <w:rFonts w:hint="default"/>
      </w:rPr>
    </w:lvl>
    <w:lvl w:ilvl="1" w:tplc="04130019">
      <w:start w:val="1"/>
      <w:numFmt w:val="lowerLetter"/>
      <w:lvlText w:val="%2."/>
      <w:lvlJc w:val="left"/>
      <w:pPr>
        <w:ind w:left="1069" w:hanging="360"/>
      </w:pPr>
    </w:lvl>
    <w:lvl w:ilvl="2" w:tplc="0413001B">
      <w:start w:val="1"/>
      <w:numFmt w:val="lowerRoman"/>
      <w:lvlText w:val="%3."/>
      <w:lvlJc w:val="right"/>
      <w:pPr>
        <w:ind w:left="2160" w:hanging="180"/>
      </w:pPr>
    </w:lvl>
    <w:lvl w:ilvl="3" w:tplc="2068B4C4">
      <w:start w:val="1"/>
      <w:numFmt w:val="decimal"/>
      <w:lvlText w:val="%4."/>
      <w:lvlJc w:val="left"/>
      <w:pPr>
        <w:ind w:left="2880" w:hanging="360"/>
      </w:pPr>
      <w:rPr>
        <w:rFonts w:asciiTheme="minorHAnsi" w:eastAsiaTheme="minorHAnsi" w:hAnsiTheme="minorHAnsi" w:cstheme="minorBidi"/>
      </w:r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4310D88"/>
    <w:multiLevelType w:val="hybridMultilevel"/>
    <w:tmpl w:val="2FE27842"/>
    <w:lvl w:ilvl="0" w:tplc="0413000F">
      <w:start w:val="1"/>
      <w:numFmt w:val="decimal"/>
      <w:lvlText w:val="%1."/>
      <w:lvlJc w:val="left"/>
      <w:pPr>
        <w:ind w:left="720" w:hanging="360"/>
      </w:pPr>
      <w:rPr>
        <w:rFonts w:hint="default"/>
      </w:rPr>
    </w:lvl>
    <w:lvl w:ilvl="1" w:tplc="0413000B">
      <w:start w:val="1"/>
      <w:numFmt w:val="bullet"/>
      <w:lvlText w:val=""/>
      <w:lvlJc w:val="left"/>
      <w:pPr>
        <w:ind w:left="1440" w:hanging="360"/>
      </w:pPr>
      <w:rPr>
        <w:rFonts w:ascii="Wingdings" w:hAnsi="Wingdings" w:hint="default"/>
      </w:rPr>
    </w:lvl>
    <w:lvl w:ilvl="2" w:tplc="FC4A41DA">
      <w:start w:val="1"/>
      <w:numFmt w:val="lowerRoman"/>
      <w:lvlText w:val="%3."/>
      <w:lvlJc w:val="right"/>
      <w:pPr>
        <w:ind w:left="605" w:hanging="180"/>
      </w:pPr>
      <w:rPr>
        <w:rFonts w:ascii="Verdana" w:eastAsiaTheme="minorHAnsi" w:hAnsi="Verdana" w:cstheme="minorBidi"/>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581FF8"/>
    <w:multiLevelType w:val="hybridMultilevel"/>
    <w:tmpl w:val="87BEF304"/>
    <w:lvl w:ilvl="0" w:tplc="73421CF0">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069A7872"/>
    <w:multiLevelType w:val="hybridMultilevel"/>
    <w:tmpl w:val="0C44C7AE"/>
    <w:lvl w:ilvl="0" w:tplc="8928239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290511B"/>
    <w:multiLevelType w:val="hybridMultilevel"/>
    <w:tmpl w:val="0FDA5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390393F"/>
    <w:multiLevelType w:val="hybridMultilevel"/>
    <w:tmpl w:val="DF9642C8"/>
    <w:lvl w:ilvl="0" w:tplc="855C8C82">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D236E9"/>
    <w:multiLevelType w:val="hybridMultilevel"/>
    <w:tmpl w:val="82FEEB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950069"/>
    <w:multiLevelType w:val="hybridMultilevel"/>
    <w:tmpl w:val="B3CC2AC4"/>
    <w:lvl w:ilvl="0" w:tplc="26A4EF0E">
      <w:start w:val="1"/>
      <w:numFmt w:val="decimal"/>
      <w:pStyle w:val="Kop3"/>
      <w:lvlText w:val="5.%1"/>
      <w:lvlJc w:val="left"/>
      <w:pPr>
        <w:ind w:left="360" w:hanging="360"/>
      </w:pPr>
      <w:rPr>
        <w:rFonts w:hint="default"/>
        <w:b w:val="0"/>
        <w:bCs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F8E34E4"/>
    <w:multiLevelType w:val="hybridMultilevel"/>
    <w:tmpl w:val="D0BEA188"/>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50C0284A">
      <w:start w:val="1"/>
      <w:numFmt w:val="lowerRoman"/>
      <w:lvlText w:val="%3."/>
      <w:lvlJc w:val="right"/>
      <w:pPr>
        <w:ind w:left="747" w:hanging="180"/>
      </w:pPr>
      <w:rPr>
        <w:rFonts w:ascii="Verdana" w:eastAsiaTheme="minorHAnsi" w:hAnsi="Verdana" w:cstheme="minorBid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330A25"/>
    <w:multiLevelType w:val="multilevel"/>
    <w:tmpl w:val="118A4890"/>
    <w:name w:val="Artikelnummer"/>
    <w:lvl w:ilvl="0">
      <w:start w:val="1"/>
      <w:numFmt w:val="upperRoman"/>
      <w:lvlText w:val="%1"/>
      <w:lvlJc w:val="left"/>
      <w:pPr>
        <w:tabs>
          <w:tab w:val="num" w:pos="360"/>
        </w:tabs>
        <w:ind w:left="360" w:hanging="360"/>
      </w:pPr>
      <w:rPr>
        <w:rFonts w:hint="default"/>
      </w:rPr>
    </w:lvl>
    <w:lvl w:ilvl="1">
      <w:start w:val="1"/>
      <w:numFmt w:val="upperLetter"/>
      <w:suff w:val="nothing"/>
      <w:lvlText w:val="%2."/>
      <w:lvlJc w:val="left"/>
      <w:pPr>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1253FF0"/>
    <w:multiLevelType w:val="hybridMultilevel"/>
    <w:tmpl w:val="1AB295E4"/>
    <w:lvl w:ilvl="0" w:tplc="249484C6">
      <w:start w:val="1"/>
      <w:numFmt w:val="lowerRoman"/>
      <w:lvlText w:val="%1."/>
      <w:lvlJc w:val="left"/>
      <w:pPr>
        <w:ind w:left="1080" w:hanging="72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0313D9"/>
    <w:multiLevelType w:val="hybridMultilevel"/>
    <w:tmpl w:val="6206ED38"/>
    <w:lvl w:ilvl="0" w:tplc="855C8C82">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6332034"/>
    <w:multiLevelType w:val="hybridMultilevel"/>
    <w:tmpl w:val="61CE6F6A"/>
    <w:lvl w:ilvl="0" w:tplc="50C0284A">
      <w:start w:val="1"/>
      <w:numFmt w:val="lowerRoman"/>
      <w:lvlText w:val="%1."/>
      <w:lvlJc w:val="right"/>
      <w:pPr>
        <w:ind w:left="747" w:hanging="180"/>
      </w:pPr>
      <w:rPr>
        <w:rFonts w:ascii="Verdana" w:eastAsiaTheme="minorHAnsi" w:hAnsi="Verdana" w:cstheme="minorBi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BF75E1C"/>
    <w:multiLevelType w:val="hybridMultilevel"/>
    <w:tmpl w:val="610EED6A"/>
    <w:lvl w:ilvl="0" w:tplc="80A2627A">
      <w:start w:val="1"/>
      <w:numFmt w:val="decimal"/>
      <w:lvlText w:val="%1."/>
      <w:lvlJc w:val="left"/>
      <w:pPr>
        <w:ind w:left="1020" w:hanging="360"/>
      </w:pPr>
    </w:lvl>
    <w:lvl w:ilvl="1" w:tplc="660E87F0">
      <w:start w:val="1"/>
      <w:numFmt w:val="decimal"/>
      <w:lvlText w:val="%2."/>
      <w:lvlJc w:val="left"/>
      <w:pPr>
        <w:ind w:left="1020" w:hanging="360"/>
      </w:pPr>
    </w:lvl>
    <w:lvl w:ilvl="2" w:tplc="89A86C1A">
      <w:start w:val="1"/>
      <w:numFmt w:val="decimal"/>
      <w:lvlText w:val="%3."/>
      <w:lvlJc w:val="left"/>
      <w:pPr>
        <w:ind w:left="1020" w:hanging="360"/>
      </w:pPr>
    </w:lvl>
    <w:lvl w:ilvl="3" w:tplc="B4F46C20">
      <w:start w:val="1"/>
      <w:numFmt w:val="decimal"/>
      <w:lvlText w:val="%4."/>
      <w:lvlJc w:val="left"/>
      <w:pPr>
        <w:ind w:left="1020" w:hanging="360"/>
      </w:pPr>
    </w:lvl>
    <w:lvl w:ilvl="4" w:tplc="9EEC38DC">
      <w:start w:val="1"/>
      <w:numFmt w:val="decimal"/>
      <w:lvlText w:val="%5."/>
      <w:lvlJc w:val="left"/>
      <w:pPr>
        <w:ind w:left="1020" w:hanging="360"/>
      </w:pPr>
    </w:lvl>
    <w:lvl w:ilvl="5" w:tplc="CFD82EFA">
      <w:start w:val="1"/>
      <w:numFmt w:val="decimal"/>
      <w:lvlText w:val="%6."/>
      <w:lvlJc w:val="left"/>
      <w:pPr>
        <w:ind w:left="1020" w:hanging="360"/>
      </w:pPr>
    </w:lvl>
    <w:lvl w:ilvl="6" w:tplc="AE3E219A">
      <w:start w:val="1"/>
      <w:numFmt w:val="decimal"/>
      <w:lvlText w:val="%7."/>
      <w:lvlJc w:val="left"/>
      <w:pPr>
        <w:ind w:left="1020" w:hanging="360"/>
      </w:pPr>
    </w:lvl>
    <w:lvl w:ilvl="7" w:tplc="5B08A6C0">
      <w:start w:val="1"/>
      <w:numFmt w:val="decimal"/>
      <w:lvlText w:val="%8."/>
      <w:lvlJc w:val="left"/>
      <w:pPr>
        <w:ind w:left="1020" w:hanging="360"/>
      </w:pPr>
    </w:lvl>
    <w:lvl w:ilvl="8" w:tplc="C3D8DDC2">
      <w:start w:val="1"/>
      <w:numFmt w:val="decimal"/>
      <w:lvlText w:val="%9."/>
      <w:lvlJc w:val="left"/>
      <w:pPr>
        <w:ind w:left="1020" w:hanging="360"/>
      </w:pPr>
    </w:lvl>
  </w:abstractNum>
  <w:abstractNum w:abstractNumId="15" w15:restartNumberingAfterBreak="0">
    <w:nsid w:val="2D23580F"/>
    <w:multiLevelType w:val="hybridMultilevel"/>
    <w:tmpl w:val="61CE6F6A"/>
    <w:lvl w:ilvl="0" w:tplc="FFFFFFFF">
      <w:start w:val="1"/>
      <w:numFmt w:val="lowerRoman"/>
      <w:lvlText w:val="%1."/>
      <w:lvlJc w:val="right"/>
      <w:pPr>
        <w:ind w:left="747" w:hanging="180"/>
      </w:pPr>
      <w:rPr>
        <w:rFonts w:ascii="Verdana" w:eastAsiaTheme="minorHAnsi" w:hAnsi="Verdana" w:cstheme="minorBidi"/>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D2E7E3B"/>
    <w:multiLevelType w:val="hybridMultilevel"/>
    <w:tmpl w:val="A7EA4C6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3627F45"/>
    <w:multiLevelType w:val="hybridMultilevel"/>
    <w:tmpl w:val="9F9A7A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5B06A4C"/>
    <w:multiLevelType w:val="hybridMultilevel"/>
    <w:tmpl w:val="B7C81F8A"/>
    <w:lvl w:ilvl="0" w:tplc="A22E4E64">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9826DC1"/>
    <w:multiLevelType w:val="hybridMultilevel"/>
    <w:tmpl w:val="18BE9018"/>
    <w:lvl w:ilvl="0" w:tplc="348AEAD2">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7EA1549"/>
    <w:multiLevelType w:val="hybridMultilevel"/>
    <w:tmpl w:val="8B76C2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82A455E"/>
    <w:multiLevelType w:val="hybridMultilevel"/>
    <w:tmpl w:val="B84E17E6"/>
    <w:lvl w:ilvl="0" w:tplc="855C8C82">
      <w:start w:val="10"/>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A7C3D07"/>
    <w:multiLevelType w:val="hybridMultilevel"/>
    <w:tmpl w:val="2098BD28"/>
    <w:lvl w:ilvl="0" w:tplc="4524FC98">
      <w:start w:val="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B716EE8"/>
    <w:multiLevelType w:val="hybridMultilevel"/>
    <w:tmpl w:val="3C084A24"/>
    <w:lvl w:ilvl="0" w:tplc="3F12298C">
      <w:start w:val="1"/>
      <w:numFmt w:val="bullet"/>
      <w:lvlText w:val="-"/>
      <w:lvlJc w:val="left"/>
      <w:pPr>
        <w:ind w:left="360" w:hanging="360"/>
      </w:pPr>
      <w:rPr>
        <w:rFonts w:ascii="Walbaum Display SemiBold" w:hAnsi="Walbaum Display SemiBold"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0021B8B"/>
    <w:multiLevelType w:val="hybridMultilevel"/>
    <w:tmpl w:val="045EF138"/>
    <w:lvl w:ilvl="0" w:tplc="04130011">
      <w:start w:val="1"/>
      <w:numFmt w:val="decimal"/>
      <w:lvlText w:val="%1)"/>
      <w:lvlJc w:val="left"/>
      <w:pPr>
        <w:ind w:left="720" w:hanging="360"/>
      </w:pPr>
    </w:lvl>
    <w:lvl w:ilvl="1" w:tplc="855C8C82">
      <w:start w:val="10"/>
      <w:numFmt w:val="bullet"/>
      <w:lvlText w:val="-"/>
      <w:lvlJc w:val="left"/>
      <w:pPr>
        <w:ind w:left="1440" w:hanging="360"/>
      </w:pPr>
      <w:rPr>
        <w:rFonts w:ascii="Verdana" w:eastAsiaTheme="minorHAnsi" w:hAnsi="Verdana"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2136A2F"/>
    <w:multiLevelType w:val="hybridMultilevel"/>
    <w:tmpl w:val="CC2E8D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2792A70"/>
    <w:multiLevelType w:val="hybridMultilevel"/>
    <w:tmpl w:val="781429F6"/>
    <w:lvl w:ilvl="0" w:tplc="1138FBF4">
      <w:start w:val="1"/>
      <w:numFmt w:val="decimal"/>
      <w:lvlText w:val="%1."/>
      <w:lvlJc w:val="left"/>
      <w:pPr>
        <w:ind w:left="1020" w:hanging="360"/>
      </w:pPr>
    </w:lvl>
    <w:lvl w:ilvl="1" w:tplc="7A56BF00">
      <w:start w:val="1"/>
      <w:numFmt w:val="decimal"/>
      <w:lvlText w:val="%2."/>
      <w:lvlJc w:val="left"/>
      <w:pPr>
        <w:ind w:left="1020" w:hanging="360"/>
      </w:pPr>
    </w:lvl>
    <w:lvl w:ilvl="2" w:tplc="F0742388">
      <w:start w:val="1"/>
      <w:numFmt w:val="decimal"/>
      <w:lvlText w:val="%3."/>
      <w:lvlJc w:val="left"/>
      <w:pPr>
        <w:ind w:left="1020" w:hanging="360"/>
      </w:pPr>
    </w:lvl>
    <w:lvl w:ilvl="3" w:tplc="67DE3554">
      <w:start w:val="1"/>
      <w:numFmt w:val="decimal"/>
      <w:lvlText w:val="%4."/>
      <w:lvlJc w:val="left"/>
      <w:pPr>
        <w:ind w:left="1020" w:hanging="360"/>
      </w:pPr>
    </w:lvl>
    <w:lvl w:ilvl="4" w:tplc="59B4E74A">
      <w:start w:val="1"/>
      <w:numFmt w:val="decimal"/>
      <w:lvlText w:val="%5."/>
      <w:lvlJc w:val="left"/>
      <w:pPr>
        <w:ind w:left="1020" w:hanging="360"/>
      </w:pPr>
    </w:lvl>
    <w:lvl w:ilvl="5" w:tplc="A510F444">
      <w:start w:val="1"/>
      <w:numFmt w:val="decimal"/>
      <w:lvlText w:val="%6."/>
      <w:lvlJc w:val="left"/>
      <w:pPr>
        <w:ind w:left="1020" w:hanging="360"/>
      </w:pPr>
    </w:lvl>
    <w:lvl w:ilvl="6" w:tplc="6636B138">
      <w:start w:val="1"/>
      <w:numFmt w:val="decimal"/>
      <w:lvlText w:val="%7."/>
      <w:lvlJc w:val="left"/>
      <w:pPr>
        <w:ind w:left="1020" w:hanging="360"/>
      </w:pPr>
    </w:lvl>
    <w:lvl w:ilvl="7" w:tplc="2DF8CB1C">
      <w:start w:val="1"/>
      <w:numFmt w:val="decimal"/>
      <w:lvlText w:val="%8."/>
      <w:lvlJc w:val="left"/>
      <w:pPr>
        <w:ind w:left="1020" w:hanging="360"/>
      </w:pPr>
    </w:lvl>
    <w:lvl w:ilvl="8" w:tplc="AF723250">
      <w:start w:val="1"/>
      <w:numFmt w:val="decimal"/>
      <w:lvlText w:val="%9."/>
      <w:lvlJc w:val="left"/>
      <w:pPr>
        <w:ind w:left="1020" w:hanging="360"/>
      </w:pPr>
    </w:lvl>
  </w:abstractNum>
  <w:abstractNum w:abstractNumId="27" w15:restartNumberingAfterBreak="0">
    <w:nsid w:val="54E06CD2"/>
    <w:multiLevelType w:val="hybridMultilevel"/>
    <w:tmpl w:val="85243E6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DE605F7"/>
    <w:multiLevelType w:val="hybridMultilevel"/>
    <w:tmpl w:val="2FE27842"/>
    <w:lvl w:ilvl="0" w:tplc="FFFFFFF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Wingdings" w:hAnsi="Wingdings" w:hint="default"/>
      </w:rPr>
    </w:lvl>
    <w:lvl w:ilvl="2" w:tplc="FFFFFFFF">
      <w:start w:val="1"/>
      <w:numFmt w:val="lowerRoman"/>
      <w:lvlText w:val="%3."/>
      <w:lvlJc w:val="right"/>
      <w:pPr>
        <w:ind w:left="605" w:hanging="180"/>
      </w:pPr>
      <w:rPr>
        <w:rFonts w:ascii="Verdana" w:eastAsiaTheme="minorHAnsi" w:hAnsi="Verdana" w:cstheme="minorBid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C3F7390"/>
    <w:multiLevelType w:val="hybridMultilevel"/>
    <w:tmpl w:val="3CA6F770"/>
    <w:lvl w:ilvl="0" w:tplc="3CD0439A">
      <w:start w:val="1"/>
      <w:numFmt w:val="decimal"/>
      <w:lvlText w:val="%1."/>
      <w:lvlJc w:val="left"/>
      <w:pPr>
        <w:ind w:left="720" w:hanging="360"/>
      </w:pPr>
    </w:lvl>
    <w:lvl w:ilvl="1" w:tplc="F3B2A902">
      <w:start w:val="1"/>
      <w:numFmt w:val="decimal"/>
      <w:lvlText w:val="%2."/>
      <w:lvlJc w:val="left"/>
      <w:pPr>
        <w:ind w:left="720" w:hanging="360"/>
      </w:pPr>
    </w:lvl>
    <w:lvl w:ilvl="2" w:tplc="60588888">
      <w:start w:val="1"/>
      <w:numFmt w:val="decimal"/>
      <w:lvlText w:val="%3."/>
      <w:lvlJc w:val="left"/>
      <w:pPr>
        <w:ind w:left="720" w:hanging="360"/>
      </w:pPr>
    </w:lvl>
    <w:lvl w:ilvl="3" w:tplc="3272B2DE">
      <w:start w:val="1"/>
      <w:numFmt w:val="decimal"/>
      <w:lvlText w:val="%4."/>
      <w:lvlJc w:val="left"/>
      <w:pPr>
        <w:ind w:left="720" w:hanging="360"/>
      </w:pPr>
    </w:lvl>
    <w:lvl w:ilvl="4" w:tplc="841E10AA">
      <w:start w:val="1"/>
      <w:numFmt w:val="decimal"/>
      <w:lvlText w:val="%5."/>
      <w:lvlJc w:val="left"/>
      <w:pPr>
        <w:ind w:left="720" w:hanging="360"/>
      </w:pPr>
    </w:lvl>
    <w:lvl w:ilvl="5" w:tplc="97562C2E">
      <w:start w:val="1"/>
      <w:numFmt w:val="decimal"/>
      <w:lvlText w:val="%6."/>
      <w:lvlJc w:val="left"/>
      <w:pPr>
        <w:ind w:left="720" w:hanging="360"/>
      </w:pPr>
    </w:lvl>
    <w:lvl w:ilvl="6" w:tplc="4FA4DE2C">
      <w:start w:val="1"/>
      <w:numFmt w:val="decimal"/>
      <w:lvlText w:val="%7."/>
      <w:lvlJc w:val="left"/>
      <w:pPr>
        <w:ind w:left="720" w:hanging="360"/>
      </w:pPr>
    </w:lvl>
    <w:lvl w:ilvl="7" w:tplc="D6422B3A">
      <w:start w:val="1"/>
      <w:numFmt w:val="decimal"/>
      <w:lvlText w:val="%8."/>
      <w:lvlJc w:val="left"/>
      <w:pPr>
        <w:ind w:left="720" w:hanging="360"/>
      </w:pPr>
    </w:lvl>
    <w:lvl w:ilvl="8" w:tplc="A3BE40A0">
      <w:start w:val="1"/>
      <w:numFmt w:val="decimal"/>
      <w:lvlText w:val="%9."/>
      <w:lvlJc w:val="left"/>
      <w:pPr>
        <w:ind w:left="720" w:hanging="360"/>
      </w:pPr>
    </w:lvl>
  </w:abstractNum>
  <w:abstractNum w:abstractNumId="30" w15:restartNumberingAfterBreak="0">
    <w:nsid w:val="6C862E8F"/>
    <w:multiLevelType w:val="hybridMultilevel"/>
    <w:tmpl w:val="9C422486"/>
    <w:lvl w:ilvl="0" w:tplc="63FC54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E7E174A"/>
    <w:multiLevelType w:val="hybridMultilevel"/>
    <w:tmpl w:val="25B260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FBE2236"/>
    <w:multiLevelType w:val="hybridMultilevel"/>
    <w:tmpl w:val="62F601E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15632B0"/>
    <w:multiLevelType w:val="hybridMultilevel"/>
    <w:tmpl w:val="4EC65C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74A001DC"/>
    <w:multiLevelType w:val="hybridMultilevel"/>
    <w:tmpl w:val="457AE1DC"/>
    <w:lvl w:ilvl="0" w:tplc="3D06771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5E22D0F"/>
    <w:multiLevelType w:val="hybridMultilevel"/>
    <w:tmpl w:val="B01CB232"/>
    <w:lvl w:ilvl="0" w:tplc="BC4C5260">
      <w:start w:val="1"/>
      <w:numFmt w:val="decimal"/>
      <w:lvlText w:val="%1)"/>
      <w:lvlJc w:val="left"/>
      <w:pPr>
        <w:ind w:left="1020" w:hanging="360"/>
      </w:pPr>
    </w:lvl>
    <w:lvl w:ilvl="1" w:tplc="7CF66ED2">
      <w:start w:val="1"/>
      <w:numFmt w:val="decimal"/>
      <w:lvlText w:val="%2)"/>
      <w:lvlJc w:val="left"/>
      <w:pPr>
        <w:ind w:left="1020" w:hanging="360"/>
      </w:pPr>
    </w:lvl>
    <w:lvl w:ilvl="2" w:tplc="FDF0792C">
      <w:start w:val="1"/>
      <w:numFmt w:val="decimal"/>
      <w:lvlText w:val="%3)"/>
      <w:lvlJc w:val="left"/>
      <w:pPr>
        <w:ind w:left="1020" w:hanging="360"/>
      </w:pPr>
    </w:lvl>
    <w:lvl w:ilvl="3" w:tplc="FEEC5DB6">
      <w:start w:val="1"/>
      <w:numFmt w:val="decimal"/>
      <w:lvlText w:val="%4)"/>
      <w:lvlJc w:val="left"/>
      <w:pPr>
        <w:ind w:left="1020" w:hanging="360"/>
      </w:pPr>
    </w:lvl>
    <w:lvl w:ilvl="4" w:tplc="7E9C8E5C">
      <w:start w:val="1"/>
      <w:numFmt w:val="decimal"/>
      <w:lvlText w:val="%5)"/>
      <w:lvlJc w:val="left"/>
      <w:pPr>
        <w:ind w:left="1020" w:hanging="360"/>
      </w:pPr>
    </w:lvl>
    <w:lvl w:ilvl="5" w:tplc="FBFEC530">
      <w:start w:val="1"/>
      <w:numFmt w:val="decimal"/>
      <w:lvlText w:val="%6)"/>
      <w:lvlJc w:val="left"/>
      <w:pPr>
        <w:ind w:left="1020" w:hanging="360"/>
      </w:pPr>
    </w:lvl>
    <w:lvl w:ilvl="6" w:tplc="64EC23CA">
      <w:start w:val="1"/>
      <w:numFmt w:val="decimal"/>
      <w:lvlText w:val="%7)"/>
      <w:lvlJc w:val="left"/>
      <w:pPr>
        <w:ind w:left="1020" w:hanging="360"/>
      </w:pPr>
    </w:lvl>
    <w:lvl w:ilvl="7" w:tplc="8196C104">
      <w:start w:val="1"/>
      <w:numFmt w:val="decimal"/>
      <w:lvlText w:val="%8)"/>
      <w:lvlJc w:val="left"/>
      <w:pPr>
        <w:ind w:left="1020" w:hanging="360"/>
      </w:pPr>
    </w:lvl>
    <w:lvl w:ilvl="8" w:tplc="398AACC8">
      <w:start w:val="1"/>
      <w:numFmt w:val="decimal"/>
      <w:lvlText w:val="%9)"/>
      <w:lvlJc w:val="left"/>
      <w:pPr>
        <w:ind w:left="1020" w:hanging="360"/>
      </w:pPr>
    </w:lvl>
  </w:abstractNum>
  <w:abstractNum w:abstractNumId="36" w15:restartNumberingAfterBreak="0">
    <w:nsid w:val="76672D4F"/>
    <w:multiLevelType w:val="hybridMultilevel"/>
    <w:tmpl w:val="D012E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A68286E"/>
    <w:multiLevelType w:val="hybridMultilevel"/>
    <w:tmpl w:val="81FAB9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CBA5221"/>
    <w:multiLevelType w:val="multilevel"/>
    <w:tmpl w:val="6706B6F0"/>
    <w:lvl w:ilvl="0">
      <w:start w:val="1"/>
      <w:numFmt w:val="decimal"/>
      <w:pStyle w:val="Kop2"/>
      <w:lvlText w:val="%1."/>
      <w:lvlJc w:val="left"/>
      <w:pPr>
        <w:ind w:left="360" w:hanging="360"/>
      </w:pPr>
    </w:lvl>
    <w:lvl w:ilvl="1">
      <w:start w:val="1"/>
      <w:numFmt w:val="decimal"/>
      <w:isLgl/>
      <w:lvlText w:val="%1.%2"/>
      <w:lvlJc w:val="left"/>
      <w:pPr>
        <w:ind w:left="390" w:hanging="39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num w:numId="1" w16cid:durableId="201678313">
    <w:abstractNumId w:val="38"/>
  </w:num>
  <w:num w:numId="2" w16cid:durableId="1187056334">
    <w:abstractNumId w:val="20"/>
  </w:num>
  <w:num w:numId="3" w16cid:durableId="235625699">
    <w:abstractNumId w:val="24"/>
  </w:num>
  <w:num w:numId="4" w16cid:durableId="1698576738">
    <w:abstractNumId w:val="8"/>
  </w:num>
  <w:num w:numId="5" w16cid:durableId="396973507">
    <w:abstractNumId w:val="21"/>
  </w:num>
  <w:num w:numId="6" w16cid:durableId="1993943376">
    <w:abstractNumId w:val="33"/>
  </w:num>
  <w:num w:numId="7" w16cid:durableId="1150750362">
    <w:abstractNumId w:val="25"/>
  </w:num>
  <w:num w:numId="8" w16cid:durableId="1286932597">
    <w:abstractNumId w:val="7"/>
  </w:num>
  <w:num w:numId="9" w16cid:durableId="2015836857">
    <w:abstractNumId w:val="23"/>
  </w:num>
  <w:num w:numId="10" w16cid:durableId="1749769307">
    <w:abstractNumId w:val="16"/>
  </w:num>
  <w:num w:numId="11" w16cid:durableId="1160845782">
    <w:abstractNumId w:val="0"/>
  </w:num>
  <w:num w:numId="12" w16cid:durableId="840583883">
    <w:abstractNumId w:val="6"/>
  </w:num>
  <w:num w:numId="13" w16cid:durableId="613053138">
    <w:abstractNumId w:val="12"/>
  </w:num>
  <w:num w:numId="14" w16cid:durableId="820542503">
    <w:abstractNumId w:val="4"/>
  </w:num>
  <w:num w:numId="15" w16cid:durableId="1776242400">
    <w:abstractNumId w:val="30"/>
  </w:num>
  <w:num w:numId="16" w16cid:durableId="1727947522">
    <w:abstractNumId w:val="34"/>
  </w:num>
  <w:num w:numId="17" w16cid:durableId="1624116905">
    <w:abstractNumId w:val="11"/>
  </w:num>
  <w:num w:numId="18" w16cid:durableId="356004314">
    <w:abstractNumId w:val="2"/>
  </w:num>
  <w:num w:numId="19" w16cid:durableId="2078697456">
    <w:abstractNumId w:val="28"/>
  </w:num>
  <w:num w:numId="20" w16cid:durableId="1242331766">
    <w:abstractNumId w:val="9"/>
  </w:num>
  <w:num w:numId="21" w16cid:durableId="764617517">
    <w:abstractNumId w:val="13"/>
  </w:num>
  <w:num w:numId="22" w16cid:durableId="1947887752">
    <w:abstractNumId w:val="15"/>
  </w:num>
  <w:num w:numId="23" w16cid:durableId="295721912">
    <w:abstractNumId w:val="32"/>
  </w:num>
  <w:num w:numId="24" w16cid:durableId="641888334">
    <w:abstractNumId w:val="27"/>
  </w:num>
  <w:num w:numId="25" w16cid:durableId="1803500591">
    <w:abstractNumId w:val="31"/>
  </w:num>
  <w:num w:numId="26" w16cid:durableId="448664348">
    <w:abstractNumId w:val="18"/>
  </w:num>
  <w:num w:numId="27" w16cid:durableId="229971601">
    <w:abstractNumId w:val="3"/>
  </w:num>
  <w:num w:numId="28" w16cid:durableId="612908137">
    <w:abstractNumId w:val="37"/>
  </w:num>
  <w:num w:numId="29" w16cid:durableId="1976910381">
    <w:abstractNumId w:val="36"/>
  </w:num>
  <w:num w:numId="30" w16cid:durableId="1645085141">
    <w:abstractNumId w:val="1"/>
  </w:num>
  <w:num w:numId="31" w16cid:durableId="1156343129">
    <w:abstractNumId w:val="5"/>
  </w:num>
  <w:num w:numId="32" w16cid:durableId="40448685">
    <w:abstractNumId w:val="14"/>
  </w:num>
  <w:num w:numId="33" w16cid:durableId="1106148863">
    <w:abstractNumId w:val="26"/>
  </w:num>
  <w:num w:numId="34" w16cid:durableId="1703751917">
    <w:abstractNumId w:val="29"/>
  </w:num>
  <w:num w:numId="35" w16cid:durableId="67001648">
    <w:abstractNumId w:val="35"/>
  </w:num>
  <w:num w:numId="36" w16cid:durableId="594705239">
    <w:abstractNumId w:val="38"/>
  </w:num>
  <w:num w:numId="37" w16cid:durableId="882448522">
    <w:abstractNumId w:val="22"/>
  </w:num>
  <w:num w:numId="38" w16cid:durableId="1745643469">
    <w:abstractNumId w:val="38"/>
  </w:num>
  <w:num w:numId="39" w16cid:durableId="716318375">
    <w:abstractNumId w:val="38"/>
  </w:num>
  <w:num w:numId="40" w16cid:durableId="395787758">
    <w:abstractNumId w:val="19"/>
  </w:num>
  <w:num w:numId="41" w16cid:durableId="1766999117">
    <w:abstractNumId w:val="38"/>
  </w:num>
  <w:num w:numId="42" w16cid:durableId="1829666261">
    <w:abstractNumId w:val="38"/>
  </w:num>
  <w:num w:numId="43" w16cid:durableId="539048070">
    <w:abstractNumId w:val="38"/>
  </w:num>
  <w:num w:numId="44" w16cid:durableId="1877619913">
    <w:abstractNumId w:val="17"/>
  </w:num>
  <w:num w:numId="45" w16cid:durableId="552161145">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2A1"/>
    <w:rsid w:val="00000083"/>
    <w:rsid w:val="00000446"/>
    <w:rsid w:val="000034D4"/>
    <w:rsid w:val="00004DF3"/>
    <w:rsid w:val="00005605"/>
    <w:rsid w:val="000108D4"/>
    <w:rsid w:val="00010995"/>
    <w:rsid w:val="00012B1C"/>
    <w:rsid w:val="00013402"/>
    <w:rsid w:val="00014FEE"/>
    <w:rsid w:val="0001504B"/>
    <w:rsid w:val="000153AE"/>
    <w:rsid w:val="00015F1B"/>
    <w:rsid w:val="0001631C"/>
    <w:rsid w:val="00016416"/>
    <w:rsid w:val="00020A38"/>
    <w:rsid w:val="00025D6E"/>
    <w:rsid w:val="000264EB"/>
    <w:rsid w:val="0002655F"/>
    <w:rsid w:val="00026801"/>
    <w:rsid w:val="0002706C"/>
    <w:rsid w:val="000278D7"/>
    <w:rsid w:val="00030E7A"/>
    <w:rsid w:val="00031334"/>
    <w:rsid w:val="00032003"/>
    <w:rsid w:val="00033361"/>
    <w:rsid w:val="00033543"/>
    <w:rsid w:val="00035030"/>
    <w:rsid w:val="00037B4E"/>
    <w:rsid w:val="0004076F"/>
    <w:rsid w:val="00040869"/>
    <w:rsid w:val="0004097D"/>
    <w:rsid w:val="00040E2C"/>
    <w:rsid w:val="00041380"/>
    <w:rsid w:val="00041626"/>
    <w:rsid w:val="000417D8"/>
    <w:rsid w:val="00042A68"/>
    <w:rsid w:val="00044548"/>
    <w:rsid w:val="000470F2"/>
    <w:rsid w:val="00050121"/>
    <w:rsid w:val="00050FC1"/>
    <w:rsid w:val="00051070"/>
    <w:rsid w:val="00052E35"/>
    <w:rsid w:val="00053A88"/>
    <w:rsid w:val="00056071"/>
    <w:rsid w:val="00056A3D"/>
    <w:rsid w:val="00056D2A"/>
    <w:rsid w:val="00056E92"/>
    <w:rsid w:val="00057CAE"/>
    <w:rsid w:val="00057CBB"/>
    <w:rsid w:val="00061EBC"/>
    <w:rsid w:val="00062644"/>
    <w:rsid w:val="00063DFD"/>
    <w:rsid w:val="00064E6E"/>
    <w:rsid w:val="0006571D"/>
    <w:rsid w:val="00065932"/>
    <w:rsid w:val="00065F2B"/>
    <w:rsid w:val="00066369"/>
    <w:rsid w:val="00066758"/>
    <w:rsid w:val="000667B8"/>
    <w:rsid w:val="00066DBB"/>
    <w:rsid w:val="00070151"/>
    <w:rsid w:val="00070799"/>
    <w:rsid w:val="000713CC"/>
    <w:rsid w:val="000715A7"/>
    <w:rsid w:val="00071931"/>
    <w:rsid w:val="00071944"/>
    <w:rsid w:val="00071C29"/>
    <w:rsid w:val="00071C4F"/>
    <w:rsid w:val="00071D3D"/>
    <w:rsid w:val="00071EFD"/>
    <w:rsid w:val="000737F0"/>
    <w:rsid w:val="0007422A"/>
    <w:rsid w:val="0007764F"/>
    <w:rsid w:val="00077C60"/>
    <w:rsid w:val="00080285"/>
    <w:rsid w:val="000808DD"/>
    <w:rsid w:val="00082D5D"/>
    <w:rsid w:val="00082DBA"/>
    <w:rsid w:val="00083943"/>
    <w:rsid w:val="00083C59"/>
    <w:rsid w:val="000867CC"/>
    <w:rsid w:val="00086AAB"/>
    <w:rsid w:val="00087741"/>
    <w:rsid w:val="0009015C"/>
    <w:rsid w:val="00091C8F"/>
    <w:rsid w:val="00092291"/>
    <w:rsid w:val="000923CA"/>
    <w:rsid w:val="00093921"/>
    <w:rsid w:val="0009396F"/>
    <w:rsid w:val="00094DA2"/>
    <w:rsid w:val="00095692"/>
    <w:rsid w:val="00095A10"/>
    <w:rsid w:val="00096017"/>
    <w:rsid w:val="0009625B"/>
    <w:rsid w:val="00097E37"/>
    <w:rsid w:val="000A0EB3"/>
    <w:rsid w:val="000A16E1"/>
    <w:rsid w:val="000A3888"/>
    <w:rsid w:val="000A3ED0"/>
    <w:rsid w:val="000A5A8C"/>
    <w:rsid w:val="000A5BAC"/>
    <w:rsid w:val="000B01DB"/>
    <w:rsid w:val="000B0651"/>
    <w:rsid w:val="000B139E"/>
    <w:rsid w:val="000B34AD"/>
    <w:rsid w:val="000B36A5"/>
    <w:rsid w:val="000B4D3B"/>
    <w:rsid w:val="000B52A2"/>
    <w:rsid w:val="000B5EE6"/>
    <w:rsid w:val="000C1598"/>
    <w:rsid w:val="000C23E7"/>
    <w:rsid w:val="000C28B2"/>
    <w:rsid w:val="000C4781"/>
    <w:rsid w:val="000C4EB6"/>
    <w:rsid w:val="000C6467"/>
    <w:rsid w:val="000C6C6C"/>
    <w:rsid w:val="000C6C7C"/>
    <w:rsid w:val="000C713D"/>
    <w:rsid w:val="000C76B4"/>
    <w:rsid w:val="000C7A87"/>
    <w:rsid w:val="000C7C5F"/>
    <w:rsid w:val="000D030E"/>
    <w:rsid w:val="000D0BFD"/>
    <w:rsid w:val="000D1A3F"/>
    <w:rsid w:val="000D1FAF"/>
    <w:rsid w:val="000D29DC"/>
    <w:rsid w:val="000D3910"/>
    <w:rsid w:val="000D3C8A"/>
    <w:rsid w:val="000D42CF"/>
    <w:rsid w:val="000D59C7"/>
    <w:rsid w:val="000D5BA9"/>
    <w:rsid w:val="000D69D6"/>
    <w:rsid w:val="000D7377"/>
    <w:rsid w:val="000D7A69"/>
    <w:rsid w:val="000D7BAF"/>
    <w:rsid w:val="000E300A"/>
    <w:rsid w:val="000E386F"/>
    <w:rsid w:val="000E6841"/>
    <w:rsid w:val="000E696E"/>
    <w:rsid w:val="000E7713"/>
    <w:rsid w:val="000F02C5"/>
    <w:rsid w:val="000F0E49"/>
    <w:rsid w:val="000F121C"/>
    <w:rsid w:val="000F197A"/>
    <w:rsid w:val="000F2542"/>
    <w:rsid w:val="000F3486"/>
    <w:rsid w:val="000F36AC"/>
    <w:rsid w:val="000F4D48"/>
    <w:rsid w:val="000F4D4A"/>
    <w:rsid w:val="000F5324"/>
    <w:rsid w:val="000F5564"/>
    <w:rsid w:val="000F7D11"/>
    <w:rsid w:val="00100AC9"/>
    <w:rsid w:val="00101044"/>
    <w:rsid w:val="001014AE"/>
    <w:rsid w:val="0010257F"/>
    <w:rsid w:val="001026E9"/>
    <w:rsid w:val="00102FA1"/>
    <w:rsid w:val="001044A2"/>
    <w:rsid w:val="001056DD"/>
    <w:rsid w:val="00105DB0"/>
    <w:rsid w:val="0010617D"/>
    <w:rsid w:val="001061D0"/>
    <w:rsid w:val="0010793F"/>
    <w:rsid w:val="00107E89"/>
    <w:rsid w:val="0011073A"/>
    <w:rsid w:val="00110D7E"/>
    <w:rsid w:val="001117D6"/>
    <w:rsid w:val="00112040"/>
    <w:rsid w:val="001120BE"/>
    <w:rsid w:val="00113915"/>
    <w:rsid w:val="00113C89"/>
    <w:rsid w:val="0011434F"/>
    <w:rsid w:val="0011443D"/>
    <w:rsid w:val="00114A7C"/>
    <w:rsid w:val="00114B4D"/>
    <w:rsid w:val="00114BA1"/>
    <w:rsid w:val="00114F48"/>
    <w:rsid w:val="00116076"/>
    <w:rsid w:val="001168FE"/>
    <w:rsid w:val="00116FDF"/>
    <w:rsid w:val="0011702C"/>
    <w:rsid w:val="001172D3"/>
    <w:rsid w:val="0012052F"/>
    <w:rsid w:val="00120AD5"/>
    <w:rsid w:val="00120B1A"/>
    <w:rsid w:val="00120E01"/>
    <w:rsid w:val="0012130E"/>
    <w:rsid w:val="00121CE3"/>
    <w:rsid w:val="00121DDE"/>
    <w:rsid w:val="00122F9D"/>
    <w:rsid w:val="00123F41"/>
    <w:rsid w:val="00124A81"/>
    <w:rsid w:val="00125465"/>
    <w:rsid w:val="00125618"/>
    <w:rsid w:val="00125C96"/>
    <w:rsid w:val="0012639E"/>
    <w:rsid w:val="00127630"/>
    <w:rsid w:val="0012783C"/>
    <w:rsid w:val="00127E54"/>
    <w:rsid w:val="00130FC7"/>
    <w:rsid w:val="00132085"/>
    <w:rsid w:val="00133FB9"/>
    <w:rsid w:val="00134293"/>
    <w:rsid w:val="001355B4"/>
    <w:rsid w:val="0013606D"/>
    <w:rsid w:val="00136161"/>
    <w:rsid w:val="00136684"/>
    <w:rsid w:val="00136CF1"/>
    <w:rsid w:val="00136D8B"/>
    <w:rsid w:val="00137497"/>
    <w:rsid w:val="00140C8D"/>
    <w:rsid w:val="001430DD"/>
    <w:rsid w:val="0014377E"/>
    <w:rsid w:val="00145069"/>
    <w:rsid w:val="00146045"/>
    <w:rsid w:val="001462CA"/>
    <w:rsid w:val="00146C65"/>
    <w:rsid w:val="001477D0"/>
    <w:rsid w:val="0015150B"/>
    <w:rsid w:val="00152453"/>
    <w:rsid w:val="00153527"/>
    <w:rsid w:val="00153651"/>
    <w:rsid w:val="0015366E"/>
    <w:rsid w:val="00153F22"/>
    <w:rsid w:val="00154A87"/>
    <w:rsid w:val="001558F9"/>
    <w:rsid w:val="00155DD5"/>
    <w:rsid w:val="00156A0F"/>
    <w:rsid w:val="001579EC"/>
    <w:rsid w:val="001603A0"/>
    <w:rsid w:val="001637D4"/>
    <w:rsid w:val="00163C87"/>
    <w:rsid w:val="0016423B"/>
    <w:rsid w:val="00164597"/>
    <w:rsid w:val="00164A05"/>
    <w:rsid w:val="00164FEB"/>
    <w:rsid w:val="00166C39"/>
    <w:rsid w:val="0016733B"/>
    <w:rsid w:val="00170111"/>
    <w:rsid w:val="00173303"/>
    <w:rsid w:val="00173FB0"/>
    <w:rsid w:val="00174463"/>
    <w:rsid w:val="00174946"/>
    <w:rsid w:val="00175A7C"/>
    <w:rsid w:val="00177A0F"/>
    <w:rsid w:val="0018013E"/>
    <w:rsid w:val="001802A2"/>
    <w:rsid w:val="001806F7"/>
    <w:rsid w:val="0018093A"/>
    <w:rsid w:val="00180C7D"/>
    <w:rsid w:val="00181A5B"/>
    <w:rsid w:val="001821C5"/>
    <w:rsid w:val="00182AEF"/>
    <w:rsid w:val="00183A7A"/>
    <w:rsid w:val="00183D74"/>
    <w:rsid w:val="00184A39"/>
    <w:rsid w:val="00185B09"/>
    <w:rsid w:val="00185FAC"/>
    <w:rsid w:val="001862C6"/>
    <w:rsid w:val="00187C19"/>
    <w:rsid w:val="0019101D"/>
    <w:rsid w:val="00191644"/>
    <w:rsid w:val="001921FE"/>
    <w:rsid w:val="0019228F"/>
    <w:rsid w:val="00194299"/>
    <w:rsid w:val="00194BC0"/>
    <w:rsid w:val="00195377"/>
    <w:rsid w:val="00195CB7"/>
    <w:rsid w:val="00196000"/>
    <w:rsid w:val="0019610F"/>
    <w:rsid w:val="001965F5"/>
    <w:rsid w:val="00197CD2"/>
    <w:rsid w:val="001A0834"/>
    <w:rsid w:val="001A108A"/>
    <w:rsid w:val="001A10DC"/>
    <w:rsid w:val="001A12B6"/>
    <w:rsid w:val="001A130E"/>
    <w:rsid w:val="001A1425"/>
    <w:rsid w:val="001A176C"/>
    <w:rsid w:val="001A1C21"/>
    <w:rsid w:val="001A300E"/>
    <w:rsid w:val="001A3A83"/>
    <w:rsid w:val="001A563A"/>
    <w:rsid w:val="001A66FE"/>
    <w:rsid w:val="001A6EB1"/>
    <w:rsid w:val="001A7B8A"/>
    <w:rsid w:val="001A7E2D"/>
    <w:rsid w:val="001B0259"/>
    <w:rsid w:val="001B07A7"/>
    <w:rsid w:val="001B0DFF"/>
    <w:rsid w:val="001B12BE"/>
    <w:rsid w:val="001B1A48"/>
    <w:rsid w:val="001B1AD7"/>
    <w:rsid w:val="001B2DA9"/>
    <w:rsid w:val="001B2DD8"/>
    <w:rsid w:val="001B381B"/>
    <w:rsid w:val="001B4957"/>
    <w:rsid w:val="001B5603"/>
    <w:rsid w:val="001B57E7"/>
    <w:rsid w:val="001C13EF"/>
    <w:rsid w:val="001C3274"/>
    <w:rsid w:val="001C3F68"/>
    <w:rsid w:val="001C4503"/>
    <w:rsid w:val="001C6C1F"/>
    <w:rsid w:val="001C7050"/>
    <w:rsid w:val="001D115A"/>
    <w:rsid w:val="001D235F"/>
    <w:rsid w:val="001D25B5"/>
    <w:rsid w:val="001D476B"/>
    <w:rsid w:val="001D4C0D"/>
    <w:rsid w:val="001D4F7E"/>
    <w:rsid w:val="001D6757"/>
    <w:rsid w:val="001D734D"/>
    <w:rsid w:val="001E0A21"/>
    <w:rsid w:val="001E34B7"/>
    <w:rsid w:val="001E450A"/>
    <w:rsid w:val="001E4A52"/>
    <w:rsid w:val="001E4B97"/>
    <w:rsid w:val="001E5218"/>
    <w:rsid w:val="001E52FB"/>
    <w:rsid w:val="001E5B43"/>
    <w:rsid w:val="001E5B5A"/>
    <w:rsid w:val="001E5C45"/>
    <w:rsid w:val="001E5D5F"/>
    <w:rsid w:val="001E670D"/>
    <w:rsid w:val="001E6E8C"/>
    <w:rsid w:val="001F00B9"/>
    <w:rsid w:val="001F09E0"/>
    <w:rsid w:val="001F0F1F"/>
    <w:rsid w:val="001F1126"/>
    <w:rsid w:val="001F2D68"/>
    <w:rsid w:val="001F4F35"/>
    <w:rsid w:val="001F5DEF"/>
    <w:rsid w:val="001F6D9A"/>
    <w:rsid w:val="001F7540"/>
    <w:rsid w:val="00200C55"/>
    <w:rsid w:val="0020240C"/>
    <w:rsid w:val="00203879"/>
    <w:rsid w:val="00203CAE"/>
    <w:rsid w:val="002040B9"/>
    <w:rsid w:val="00204D2F"/>
    <w:rsid w:val="00205083"/>
    <w:rsid w:val="0020575A"/>
    <w:rsid w:val="0020577A"/>
    <w:rsid w:val="00205BEE"/>
    <w:rsid w:val="00210BDC"/>
    <w:rsid w:val="00210E79"/>
    <w:rsid w:val="00211270"/>
    <w:rsid w:val="00211B2C"/>
    <w:rsid w:val="00212E75"/>
    <w:rsid w:val="00213B02"/>
    <w:rsid w:val="002143EC"/>
    <w:rsid w:val="00214C51"/>
    <w:rsid w:val="00214C93"/>
    <w:rsid w:val="00215907"/>
    <w:rsid w:val="002159CB"/>
    <w:rsid w:val="002168DA"/>
    <w:rsid w:val="00217261"/>
    <w:rsid w:val="00221167"/>
    <w:rsid w:val="002214F5"/>
    <w:rsid w:val="00222675"/>
    <w:rsid w:val="00222BA0"/>
    <w:rsid w:val="002230E5"/>
    <w:rsid w:val="002241BC"/>
    <w:rsid w:val="002250B2"/>
    <w:rsid w:val="00225C6D"/>
    <w:rsid w:val="0022623F"/>
    <w:rsid w:val="00226974"/>
    <w:rsid w:val="00226EC1"/>
    <w:rsid w:val="00226F4E"/>
    <w:rsid w:val="00227133"/>
    <w:rsid w:val="00227256"/>
    <w:rsid w:val="002277CD"/>
    <w:rsid w:val="00230A2C"/>
    <w:rsid w:val="00230EE3"/>
    <w:rsid w:val="002332CB"/>
    <w:rsid w:val="002351AD"/>
    <w:rsid w:val="0023783A"/>
    <w:rsid w:val="00240C4C"/>
    <w:rsid w:val="002426DE"/>
    <w:rsid w:val="00244028"/>
    <w:rsid w:val="0024415D"/>
    <w:rsid w:val="00245311"/>
    <w:rsid w:val="00246A81"/>
    <w:rsid w:val="002500CE"/>
    <w:rsid w:val="00250760"/>
    <w:rsid w:val="00250EEF"/>
    <w:rsid w:val="00251C07"/>
    <w:rsid w:val="00252C2B"/>
    <w:rsid w:val="00252DF3"/>
    <w:rsid w:val="00253325"/>
    <w:rsid w:val="002558EE"/>
    <w:rsid w:val="00257BA3"/>
    <w:rsid w:val="00261D52"/>
    <w:rsid w:val="002633FA"/>
    <w:rsid w:val="00263FA9"/>
    <w:rsid w:val="00264918"/>
    <w:rsid w:val="002650FE"/>
    <w:rsid w:val="0026529A"/>
    <w:rsid w:val="0026538A"/>
    <w:rsid w:val="00265A43"/>
    <w:rsid w:val="00266B77"/>
    <w:rsid w:val="0027056C"/>
    <w:rsid w:val="002708DA"/>
    <w:rsid w:val="00270C7B"/>
    <w:rsid w:val="00271094"/>
    <w:rsid w:val="002715CA"/>
    <w:rsid w:val="00271C26"/>
    <w:rsid w:val="00271DAB"/>
    <w:rsid w:val="00272272"/>
    <w:rsid w:val="00273851"/>
    <w:rsid w:val="00273B17"/>
    <w:rsid w:val="00274252"/>
    <w:rsid w:val="002744A4"/>
    <w:rsid w:val="002751D9"/>
    <w:rsid w:val="0027559C"/>
    <w:rsid w:val="00276469"/>
    <w:rsid w:val="00276B90"/>
    <w:rsid w:val="00276F2D"/>
    <w:rsid w:val="0027743C"/>
    <w:rsid w:val="00280006"/>
    <w:rsid w:val="002809CF"/>
    <w:rsid w:val="002812B7"/>
    <w:rsid w:val="002816CB"/>
    <w:rsid w:val="0028239F"/>
    <w:rsid w:val="00282AAA"/>
    <w:rsid w:val="00282E59"/>
    <w:rsid w:val="00282ED9"/>
    <w:rsid w:val="0028616E"/>
    <w:rsid w:val="002862FB"/>
    <w:rsid w:val="00286DBA"/>
    <w:rsid w:val="002904B4"/>
    <w:rsid w:val="0029060D"/>
    <w:rsid w:val="00291943"/>
    <w:rsid w:val="00292DB4"/>
    <w:rsid w:val="00292E2F"/>
    <w:rsid w:val="00293102"/>
    <w:rsid w:val="00293458"/>
    <w:rsid w:val="0029510C"/>
    <w:rsid w:val="0029554B"/>
    <w:rsid w:val="00296431"/>
    <w:rsid w:val="0029680C"/>
    <w:rsid w:val="00297252"/>
    <w:rsid w:val="00297996"/>
    <w:rsid w:val="002979A6"/>
    <w:rsid w:val="002A0F41"/>
    <w:rsid w:val="002A103A"/>
    <w:rsid w:val="002A2008"/>
    <w:rsid w:val="002A235E"/>
    <w:rsid w:val="002A50E8"/>
    <w:rsid w:val="002A5ADE"/>
    <w:rsid w:val="002A62BE"/>
    <w:rsid w:val="002B0131"/>
    <w:rsid w:val="002B03F9"/>
    <w:rsid w:val="002B1D25"/>
    <w:rsid w:val="002B2F8A"/>
    <w:rsid w:val="002B3E7B"/>
    <w:rsid w:val="002B42BF"/>
    <w:rsid w:val="002B49F6"/>
    <w:rsid w:val="002B4D72"/>
    <w:rsid w:val="002B524D"/>
    <w:rsid w:val="002B723E"/>
    <w:rsid w:val="002B7C52"/>
    <w:rsid w:val="002C0371"/>
    <w:rsid w:val="002C0532"/>
    <w:rsid w:val="002C06E6"/>
    <w:rsid w:val="002C2100"/>
    <w:rsid w:val="002C253A"/>
    <w:rsid w:val="002C306A"/>
    <w:rsid w:val="002C398C"/>
    <w:rsid w:val="002C3AD9"/>
    <w:rsid w:val="002C59DE"/>
    <w:rsid w:val="002C62DA"/>
    <w:rsid w:val="002C6EE7"/>
    <w:rsid w:val="002C78F0"/>
    <w:rsid w:val="002C7C24"/>
    <w:rsid w:val="002D2A56"/>
    <w:rsid w:val="002D2E01"/>
    <w:rsid w:val="002D2E3D"/>
    <w:rsid w:val="002D31A1"/>
    <w:rsid w:val="002D3815"/>
    <w:rsid w:val="002D686F"/>
    <w:rsid w:val="002D6C67"/>
    <w:rsid w:val="002D74AF"/>
    <w:rsid w:val="002D790C"/>
    <w:rsid w:val="002D7CBD"/>
    <w:rsid w:val="002E037D"/>
    <w:rsid w:val="002E0443"/>
    <w:rsid w:val="002E0831"/>
    <w:rsid w:val="002E094B"/>
    <w:rsid w:val="002E0C56"/>
    <w:rsid w:val="002E106D"/>
    <w:rsid w:val="002E1C39"/>
    <w:rsid w:val="002E29AF"/>
    <w:rsid w:val="002E2E74"/>
    <w:rsid w:val="002E30C9"/>
    <w:rsid w:val="002E3BE6"/>
    <w:rsid w:val="002E4014"/>
    <w:rsid w:val="002E475E"/>
    <w:rsid w:val="002E485B"/>
    <w:rsid w:val="002E4AD7"/>
    <w:rsid w:val="002E5F63"/>
    <w:rsid w:val="002E6238"/>
    <w:rsid w:val="002E6CC1"/>
    <w:rsid w:val="002F0228"/>
    <w:rsid w:val="002F0943"/>
    <w:rsid w:val="002F1ADD"/>
    <w:rsid w:val="002F27EE"/>
    <w:rsid w:val="002F3C0E"/>
    <w:rsid w:val="002F3D07"/>
    <w:rsid w:val="002F3DCC"/>
    <w:rsid w:val="002F4133"/>
    <w:rsid w:val="002F482A"/>
    <w:rsid w:val="002F48D3"/>
    <w:rsid w:val="002F54DB"/>
    <w:rsid w:val="002F6631"/>
    <w:rsid w:val="002F67AD"/>
    <w:rsid w:val="00301856"/>
    <w:rsid w:val="0030264E"/>
    <w:rsid w:val="00303324"/>
    <w:rsid w:val="00304128"/>
    <w:rsid w:val="00304BFB"/>
    <w:rsid w:val="00305964"/>
    <w:rsid w:val="00305D4E"/>
    <w:rsid w:val="003067B1"/>
    <w:rsid w:val="00306895"/>
    <w:rsid w:val="0031019A"/>
    <w:rsid w:val="0031033E"/>
    <w:rsid w:val="003103DB"/>
    <w:rsid w:val="00310993"/>
    <w:rsid w:val="00310CC1"/>
    <w:rsid w:val="003117E2"/>
    <w:rsid w:val="00312D4B"/>
    <w:rsid w:val="00312D7F"/>
    <w:rsid w:val="0031465F"/>
    <w:rsid w:val="003154A9"/>
    <w:rsid w:val="003154F1"/>
    <w:rsid w:val="00315E2F"/>
    <w:rsid w:val="00315F36"/>
    <w:rsid w:val="00316B26"/>
    <w:rsid w:val="003179A9"/>
    <w:rsid w:val="00320E64"/>
    <w:rsid w:val="003226D8"/>
    <w:rsid w:val="003229A8"/>
    <w:rsid w:val="00322D3B"/>
    <w:rsid w:val="0032333D"/>
    <w:rsid w:val="00323965"/>
    <w:rsid w:val="00323CAD"/>
    <w:rsid w:val="00324038"/>
    <w:rsid w:val="0032433F"/>
    <w:rsid w:val="003244A9"/>
    <w:rsid w:val="003256DE"/>
    <w:rsid w:val="00325726"/>
    <w:rsid w:val="00325E64"/>
    <w:rsid w:val="003274CD"/>
    <w:rsid w:val="00327954"/>
    <w:rsid w:val="00330FEA"/>
    <w:rsid w:val="00331901"/>
    <w:rsid w:val="00331C74"/>
    <w:rsid w:val="00331DD8"/>
    <w:rsid w:val="00332293"/>
    <w:rsid w:val="00333D7C"/>
    <w:rsid w:val="003349FE"/>
    <w:rsid w:val="00334D7C"/>
    <w:rsid w:val="003360D4"/>
    <w:rsid w:val="003366DF"/>
    <w:rsid w:val="00337256"/>
    <w:rsid w:val="0033796C"/>
    <w:rsid w:val="0034104A"/>
    <w:rsid w:val="003418AB"/>
    <w:rsid w:val="00341A2D"/>
    <w:rsid w:val="00342364"/>
    <w:rsid w:val="00344111"/>
    <w:rsid w:val="00344EB0"/>
    <w:rsid w:val="00345DBA"/>
    <w:rsid w:val="00345F59"/>
    <w:rsid w:val="003467CA"/>
    <w:rsid w:val="00346A99"/>
    <w:rsid w:val="0034739E"/>
    <w:rsid w:val="003477EE"/>
    <w:rsid w:val="003502C3"/>
    <w:rsid w:val="00350EFD"/>
    <w:rsid w:val="00351D3C"/>
    <w:rsid w:val="00351D46"/>
    <w:rsid w:val="0035216F"/>
    <w:rsid w:val="00352B4B"/>
    <w:rsid w:val="00352ECE"/>
    <w:rsid w:val="003535A9"/>
    <w:rsid w:val="003535F6"/>
    <w:rsid w:val="003545CF"/>
    <w:rsid w:val="00355F5A"/>
    <w:rsid w:val="00356CE1"/>
    <w:rsid w:val="00357353"/>
    <w:rsid w:val="00361F57"/>
    <w:rsid w:val="00363258"/>
    <w:rsid w:val="00363561"/>
    <w:rsid w:val="00363768"/>
    <w:rsid w:val="00363D57"/>
    <w:rsid w:val="00367998"/>
    <w:rsid w:val="0037130C"/>
    <w:rsid w:val="00371A45"/>
    <w:rsid w:val="003725C3"/>
    <w:rsid w:val="0037384A"/>
    <w:rsid w:val="00373D1C"/>
    <w:rsid w:val="00374666"/>
    <w:rsid w:val="0037568F"/>
    <w:rsid w:val="00375B2E"/>
    <w:rsid w:val="00376D44"/>
    <w:rsid w:val="0037725D"/>
    <w:rsid w:val="003774B4"/>
    <w:rsid w:val="00380E67"/>
    <w:rsid w:val="00381673"/>
    <w:rsid w:val="00382514"/>
    <w:rsid w:val="00382976"/>
    <w:rsid w:val="00382E49"/>
    <w:rsid w:val="00383794"/>
    <w:rsid w:val="00383AA1"/>
    <w:rsid w:val="00385A78"/>
    <w:rsid w:val="00385F6F"/>
    <w:rsid w:val="003865CF"/>
    <w:rsid w:val="00386A7B"/>
    <w:rsid w:val="003870B4"/>
    <w:rsid w:val="00387133"/>
    <w:rsid w:val="00390C44"/>
    <w:rsid w:val="003915C9"/>
    <w:rsid w:val="00391FF6"/>
    <w:rsid w:val="0039219C"/>
    <w:rsid w:val="00392641"/>
    <w:rsid w:val="0039488D"/>
    <w:rsid w:val="00394E3F"/>
    <w:rsid w:val="003950B4"/>
    <w:rsid w:val="0039545C"/>
    <w:rsid w:val="00395578"/>
    <w:rsid w:val="00396239"/>
    <w:rsid w:val="00397688"/>
    <w:rsid w:val="00397DCD"/>
    <w:rsid w:val="003A02AE"/>
    <w:rsid w:val="003A130E"/>
    <w:rsid w:val="003A1CBA"/>
    <w:rsid w:val="003A1FB7"/>
    <w:rsid w:val="003A275C"/>
    <w:rsid w:val="003A287E"/>
    <w:rsid w:val="003A2A4D"/>
    <w:rsid w:val="003A2CB3"/>
    <w:rsid w:val="003A3E29"/>
    <w:rsid w:val="003A4FB6"/>
    <w:rsid w:val="003A52AC"/>
    <w:rsid w:val="003A54DF"/>
    <w:rsid w:val="003A61A3"/>
    <w:rsid w:val="003A6629"/>
    <w:rsid w:val="003A79BF"/>
    <w:rsid w:val="003B0EFB"/>
    <w:rsid w:val="003B1261"/>
    <w:rsid w:val="003B1C90"/>
    <w:rsid w:val="003B2001"/>
    <w:rsid w:val="003B2182"/>
    <w:rsid w:val="003B5C46"/>
    <w:rsid w:val="003B5D11"/>
    <w:rsid w:val="003B689C"/>
    <w:rsid w:val="003B6939"/>
    <w:rsid w:val="003B6F6B"/>
    <w:rsid w:val="003B6F9A"/>
    <w:rsid w:val="003B7D50"/>
    <w:rsid w:val="003C0825"/>
    <w:rsid w:val="003C3D5A"/>
    <w:rsid w:val="003C3DBF"/>
    <w:rsid w:val="003C4B91"/>
    <w:rsid w:val="003C4E35"/>
    <w:rsid w:val="003C7F18"/>
    <w:rsid w:val="003D0E30"/>
    <w:rsid w:val="003D12DE"/>
    <w:rsid w:val="003D1B91"/>
    <w:rsid w:val="003D3DBC"/>
    <w:rsid w:val="003D48C2"/>
    <w:rsid w:val="003D6613"/>
    <w:rsid w:val="003D6F69"/>
    <w:rsid w:val="003D75E2"/>
    <w:rsid w:val="003D7A2A"/>
    <w:rsid w:val="003E1991"/>
    <w:rsid w:val="003E1F6E"/>
    <w:rsid w:val="003E225F"/>
    <w:rsid w:val="003E22DF"/>
    <w:rsid w:val="003E30C0"/>
    <w:rsid w:val="003E3952"/>
    <w:rsid w:val="003E4762"/>
    <w:rsid w:val="003E4B0F"/>
    <w:rsid w:val="003E5C08"/>
    <w:rsid w:val="003E7AB3"/>
    <w:rsid w:val="003F0563"/>
    <w:rsid w:val="003F1248"/>
    <w:rsid w:val="003F2DBB"/>
    <w:rsid w:val="003F4FDC"/>
    <w:rsid w:val="003F53AF"/>
    <w:rsid w:val="003F5701"/>
    <w:rsid w:val="003F626C"/>
    <w:rsid w:val="003F6451"/>
    <w:rsid w:val="00400569"/>
    <w:rsid w:val="004021AF"/>
    <w:rsid w:val="00403047"/>
    <w:rsid w:val="004034FD"/>
    <w:rsid w:val="00403AC8"/>
    <w:rsid w:val="00404792"/>
    <w:rsid w:val="00405EE5"/>
    <w:rsid w:val="00407A3F"/>
    <w:rsid w:val="0041031B"/>
    <w:rsid w:val="004107F5"/>
    <w:rsid w:val="00410CE5"/>
    <w:rsid w:val="00411AAE"/>
    <w:rsid w:val="004122A1"/>
    <w:rsid w:val="0041633F"/>
    <w:rsid w:val="00416A2D"/>
    <w:rsid w:val="00417F78"/>
    <w:rsid w:val="0042016B"/>
    <w:rsid w:val="0042095A"/>
    <w:rsid w:val="00420C56"/>
    <w:rsid w:val="00420F4A"/>
    <w:rsid w:val="004216F8"/>
    <w:rsid w:val="00422886"/>
    <w:rsid w:val="00422D0A"/>
    <w:rsid w:val="00422E90"/>
    <w:rsid w:val="004241E1"/>
    <w:rsid w:val="00424616"/>
    <w:rsid w:val="00424CF6"/>
    <w:rsid w:val="004252EE"/>
    <w:rsid w:val="00427332"/>
    <w:rsid w:val="00430F43"/>
    <w:rsid w:val="00431102"/>
    <w:rsid w:val="004313E2"/>
    <w:rsid w:val="00431A28"/>
    <w:rsid w:val="00431F6E"/>
    <w:rsid w:val="0043269E"/>
    <w:rsid w:val="004327AB"/>
    <w:rsid w:val="00432FD5"/>
    <w:rsid w:val="0043430F"/>
    <w:rsid w:val="00434590"/>
    <w:rsid w:val="0043704B"/>
    <w:rsid w:val="00441A24"/>
    <w:rsid w:val="00443B76"/>
    <w:rsid w:val="00443D7E"/>
    <w:rsid w:val="00445720"/>
    <w:rsid w:val="00445DCF"/>
    <w:rsid w:val="00445E30"/>
    <w:rsid w:val="004475F5"/>
    <w:rsid w:val="00447B65"/>
    <w:rsid w:val="004503B4"/>
    <w:rsid w:val="004512A7"/>
    <w:rsid w:val="00451D19"/>
    <w:rsid w:val="004547EA"/>
    <w:rsid w:val="004556DB"/>
    <w:rsid w:val="004558B2"/>
    <w:rsid w:val="00455FE6"/>
    <w:rsid w:val="00456427"/>
    <w:rsid w:val="00457161"/>
    <w:rsid w:val="004575D1"/>
    <w:rsid w:val="0046055D"/>
    <w:rsid w:val="00462213"/>
    <w:rsid w:val="004622B0"/>
    <w:rsid w:val="00462862"/>
    <w:rsid w:val="004629B9"/>
    <w:rsid w:val="00463AB8"/>
    <w:rsid w:val="00463F7D"/>
    <w:rsid w:val="00464307"/>
    <w:rsid w:val="00464430"/>
    <w:rsid w:val="0046446B"/>
    <w:rsid w:val="0046549A"/>
    <w:rsid w:val="00466126"/>
    <w:rsid w:val="00466531"/>
    <w:rsid w:val="00466BF0"/>
    <w:rsid w:val="00466F05"/>
    <w:rsid w:val="004677F6"/>
    <w:rsid w:val="00471CE8"/>
    <w:rsid w:val="0047202F"/>
    <w:rsid w:val="0047219F"/>
    <w:rsid w:val="004723D3"/>
    <w:rsid w:val="00472C37"/>
    <w:rsid w:val="0047444C"/>
    <w:rsid w:val="00475031"/>
    <w:rsid w:val="00476051"/>
    <w:rsid w:val="00476091"/>
    <w:rsid w:val="00476BA8"/>
    <w:rsid w:val="00476C2D"/>
    <w:rsid w:val="00477D8C"/>
    <w:rsid w:val="00480155"/>
    <w:rsid w:val="00480405"/>
    <w:rsid w:val="0048263E"/>
    <w:rsid w:val="00485D84"/>
    <w:rsid w:val="00485E66"/>
    <w:rsid w:val="00486276"/>
    <w:rsid w:val="00487475"/>
    <w:rsid w:val="0048765D"/>
    <w:rsid w:val="00487A20"/>
    <w:rsid w:val="00487BBC"/>
    <w:rsid w:val="0049119D"/>
    <w:rsid w:val="00491524"/>
    <w:rsid w:val="0049260F"/>
    <w:rsid w:val="00492665"/>
    <w:rsid w:val="00492B0A"/>
    <w:rsid w:val="00493B75"/>
    <w:rsid w:val="00494177"/>
    <w:rsid w:val="00494844"/>
    <w:rsid w:val="00494F72"/>
    <w:rsid w:val="00495028"/>
    <w:rsid w:val="0049526C"/>
    <w:rsid w:val="0049731A"/>
    <w:rsid w:val="00497A91"/>
    <w:rsid w:val="004A0D0D"/>
    <w:rsid w:val="004A1CAF"/>
    <w:rsid w:val="004A222F"/>
    <w:rsid w:val="004A500D"/>
    <w:rsid w:val="004A5588"/>
    <w:rsid w:val="004A5EE0"/>
    <w:rsid w:val="004A666E"/>
    <w:rsid w:val="004A6799"/>
    <w:rsid w:val="004A78B6"/>
    <w:rsid w:val="004B067C"/>
    <w:rsid w:val="004B1346"/>
    <w:rsid w:val="004B137A"/>
    <w:rsid w:val="004B20A5"/>
    <w:rsid w:val="004B2457"/>
    <w:rsid w:val="004B3162"/>
    <w:rsid w:val="004B478F"/>
    <w:rsid w:val="004B4C1E"/>
    <w:rsid w:val="004B6E6B"/>
    <w:rsid w:val="004B6F39"/>
    <w:rsid w:val="004B72F8"/>
    <w:rsid w:val="004B7D53"/>
    <w:rsid w:val="004C0633"/>
    <w:rsid w:val="004C079F"/>
    <w:rsid w:val="004C0881"/>
    <w:rsid w:val="004C0E6F"/>
    <w:rsid w:val="004C1E17"/>
    <w:rsid w:val="004C1EA7"/>
    <w:rsid w:val="004C23F2"/>
    <w:rsid w:val="004C2F35"/>
    <w:rsid w:val="004C3A6F"/>
    <w:rsid w:val="004C4F7D"/>
    <w:rsid w:val="004C5C37"/>
    <w:rsid w:val="004C6E68"/>
    <w:rsid w:val="004C7016"/>
    <w:rsid w:val="004C70BF"/>
    <w:rsid w:val="004D1242"/>
    <w:rsid w:val="004D2331"/>
    <w:rsid w:val="004D37FE"/>
    <w:rsid w:val="004D457F"/>
    <w:rsid w:val="004D4939"/>
    <w:rsid w:val="004D5B0D"/>
    <w:rsid w:val="004D62AA"/>
    <w:rsid w:val="004D7B39"/>
    <w:rsid w:val="004D7EF0"/>
    <w:rsid w:val="004E01C1"/>
    <w:rsid w:val="004E03C5"/>
    <w:rsid w:val="004E08A8"/>
    <w:rsid w:val="004E08B0"/>
    <w:rsid w:val="004E0991"/>
    <w:rsid w:val="004E14DC"/>
    <w:rsid w:val="004E1D61"/>
    <w:rsid w:val="004E3832"/>
    <w:rsid w:val="004E3A06"/>
    <w:rsid w:val="004F06CA"/>
    <w:rsid w:val="004F08F5"/>
    <w:rsid w:val="004F0E47"/>
    <w:rsid w:val="004F1734"/>
    <w:rsid w:val="004F1746"/>
    <w:rsid w:val="004F1CFB"/>
    <w:rsid w:val="004F2772"/>
    <w:rsid w:val="004F29AA"/>
    <w:rsid w:val="004F2D62"/>
    <w:rsid w:val="004F305D"/>
    <w:rsid w:val="004F3BF7"/>
    <w:rsid w:val="004F3FFD"/>
    <w:rsid w:val="004F4653"/>
    <w:rsid w:val="004F47F0"/>
    <w:rsid w:val="004F492B"/>
    <w:rsid w:val="004F4E8B"/>
    <w:rsid w:val="004F584A"/>
    <w:rsid w:val="004F6942"/>
    <w:rsid w:val="004F6A27"/>
    <w:rsid w:val="004F70DC"/>
    <w:rsid w:val="00500C46"/>
    <w:rsid w:val="00501BF9"/>
    <w:rsid w:val="00501C8A"/>
    <w:rsid w:val="00502521"/>
    <w:rsid w:val="00502617"/>
    <w:rsid w:val="0050262B"/>
    <w:rsid w:val="00505200"/>
    <w:rsid w:val="00506195"/>
    <w:rsid w:val="00507E1E"/>
    <w:rsid w:val="0051002E"/>
    <w:rsid w:val="005106D0"/>
    <w:rsid w:val="005106F1"/>
    <w:rsid w:val="00510D5B"/>
    <w:rsid w:val="005110F9"/>
    <w:rsid w:val="00511D41"/>
    <w:rsid w:val="00512232"/>
    <w:rsid w:val="00512C70"/>
    <w:rsid w:val="00512E76"/>
    <w:rsid w:val="0051312F"/>
    <w:rsid w:val="0051375B"/>
    <w:rsid w:val="00517419"/>
    <w:rsid w:val="00517BCF"/>
    <w:rsid w:val="00517BFF"/>
    <w:rsid w:val="005207DC"/>
    <w:rsid w:val="00521E11"/>
    <w:rsid w:val="0052359E"/>
    <w:rsid w:val="00523E3B"/>
    <w:rsid w:val="00524E48"/>
    <w:rsid w:val="005250D8"/>
    <w:rsid w:val="005256AD"/>
    <w:rsid w:val="00525C73"/>
    <w:rsid w:val="00526804"/>
    <w:rsid w:val="005268F5"/>
    <w:rsid w:val="005269DF"/>
    <w:rsid w:val="00526C61"/>
    <w:rsid w:val="00526E1E"/>
    <w:rsid w:val="00527185"/>
    <w:rsid w:val="00527A49"/>
    <w:rsid w:val="00527EF8"/>
    <w:rsid w:val="005316CE"/>
    <w:rsid w:val="005322E3"/>
    <w:rsid w:val="005330F8"/>
    <w:rsid w:val="005338E3"/>
    <w:rsid w:val="00534631"/>
    <w:rsid w:val="005349ED"/>
    <w:rsid w:val="00534B17"/>
    <w:rsid w:val="005363D0"/>
    <w:rsid w:val="00540ABC"/>
    <w:rsid w:val="00540F3D"/>
    <w:rsid w:val="00541157"/>
    <w:rsid w:val="00541A8F"/>
    <w:rsid w:val="00542290"/>
    <w:rsid w:val="005427AE"/>
    <w:rsid w:val="005440FA"/>
    <w:rsid w:val="00551149"/>
    <w:rsid w:val="00551871"/>
    <w:rsid w:val="00551B86"/>
    <w:rsid w:val="005525D8"/>
    <w:rsid w:val="0055398C"/>
    <w:rsid w:val="00554485"/>
    <w:rsid w:val="00554C07"/>
    <w:rsid w:val="005551AA"/>
    <w:rsid w:val="00555AAA"/>
    <w:rsid w:val="0055656E"/>
    <w:rsid w:val="00560232"/>
    <w:rsid w:val="00563098"/>
    <w:rsid w:val="0056386C"/>
    <w:rsid w:val="00563D28"/>
    <w:rsid w:val="00564649"/>
    <w:rsid w:val="00564844"/>
    <w:rsid w:val="00564BD1"/>
    <w:rsid w:val="00564F3F"/>
    <w:rsid w:val="00565FA6"/>
    <w:rsid w:val="0056626C"/>
    <w:rsid w:val="00567077"/>
    <w:rsid w:val="005700F9"/>
    <w:rsid w:val="0057028C"/>
    <w:rsid w:val="0057029D"/>
    <w:rsid w:val="00571A5F"/>
    <w:rsid w:val="0057251A"/>
    <w:rsid w:val="00573194"/>
    <w:rsid w:val="00576A98"/>
    <w:rsid w:val="00580D9C"/>
    <w:rsid w:val="00580F5A"/>
    <w:rsid w:val="00582679"/>
    <w:rsid w:val="00583D4F"/>
    <w:rsid w:val="00584434"/>
    <w:rsid w:val="00584733"/>
    <w:rsid w:val="00585C6B"/>
    <w:rsid w:val="005870A2"/>
    <w:rsid w:val="00587165"/>
    <w:rsid w:val="005912B7"/>
    <w:rsid w:val="00591726"/>
    <w:rsid w:val="00592608"/>
    <w:rsid w:val="005954EF"/>
    <w:rsid w:val="00595B67"/>
    <w:rsid w:val="00597ECE"/>
    <w:rsid w:val="005A2B96"/>
    <w:rsid w:val="005A3086"/>
    <w:rsid w:val="005A33DA"/>
    <w:rsid w:val="005A3954"/>
    <w:rsid w:val="005A426C"/>
    <w:rsid w:val="005A4E56"/>
    <w:rsid w:val="005A5079"/>
    <w:rsid w:val="005A544D"/>
    <w:rsid w:val="005A578B"/>
    <w:rsid w:val="005A57E8"/>
    <w:rsid w:val="005A59A3"/>
    <w:rsid w:val="005A6DF7"/>
    <w:rsid w:val="005A70D6"/>
    <w:rsid w:val="005A799F"/>
    <w:rsid w:val="005A7A77"/>
    <w:rsid w:val="005B063A"/>
    <w:rsid w:val="005B0E1A"/>
    <w:rsid w:val="005B0F98"/>
    <w:rsid w:val="005B2CBD"/>
    <w:rsid w:val="005B3409"/>
    <w:rsid w:val="005B3C3C"/>
    <w:rsid w:val="005B531E"/>
    <w:rsid w:val="005B5CA7"/>
    <w:rsid w:val="005B5D0B"/>
    <w:rsid w:val="005B5D58"/>
    <w:rsid w:val="005B6BC1"/>
    <w:rsid w:val="005B7166"/>
    <w:rsid w:val="005B7A50"/>
    <w:rsid w:val="005C003D"/>
    <w:rsid w:val="005C1005"/>
    <w:rsid w:val="005C1038"/>
    <w:rsid w:val="005C24DD"/>
    <w:rsid w:val="005C2646"/>
    <w:rsid w:val="005C2C0C"/>
    <w:rsid w:val="005C2E4C"/>
    <w:rsid w:val="005C3178"/>
    <w:rsid w:val="005C4731"/>
    <w:rsid w:val="005C4A06"/>
    <w:rsid w:val="005C4C65"/>
    <w:rsid w:val="005C5673"/>
    <w:rsid w:val="005C5FF4"/>
    <w:rsid w:val="005C6055"/>
    <w:rsid w:val="005C6094"/>
    <w:rsid w:val="005C6803"/>
    <w:rsid w:val="005C6A68"/>
    <w:rsid w:val="005C756D"/>
    <w:rsid w:val="005C7AF0"/>
    <w:rsid w:val="005C7BF4"/>
    <w:rsid w:val="005C7C25"/>
    <w:rsid w:val="005D1162"/>
    <w:rsid w:val="005D18B1"/>
    <w:rsid w:val="005D5143"/>
    <w:rsid w:val="005D5BB5"/>
    <w:rsid w:val="005D5F3C"/>
    <w:rsid w:val="005D7115"/>
    <w:rsid w:val="005D7152"/>
    <w:rsid w:val="005D73C7"/>
    <w:rsid w:val="005D79EA"/>
    <w:rsid w:val="005E2188"/>
    <w:rsid w:val="005E2325"/>
    <w:rsid w:val="005E26C0"/>
    <w:rsid w:val="005E4245"/>
    <w:rsid w:val="005E7570"/>
    <w:rsid w:val="005F0D30"/>
    <w:rsid w:val="005F15B1"/>
    <w:rsid w:val="005F1A09"/>
    <w:rsid w:val="005F2EE2"/>
    <w:rsid w:val="005F350B"/>
    <w:rsid w:val="005F4D21"/>
    <w:rsid w:val="005F6026"/>
    <w:rsid w:val="005F6955"/>
    <w:rsid w:val="005F76BC"/>
    <w:rsid w:val="005F7A83"/>
    <w:rsid w:val="005F7F45"/>
    <w:rsid w:val="00600238"/>
    <w:rsid w:val="006005B8"/>
    <w:rsid w:val="00601D6D"/>
    <w:rsid w:val="00603323"/>
    <w:rsid w:val="00603B39"/>
    <w:rsid w:val="00604108"/>
    <w:rsid w:val="00604E71"/>
    <w:rsid w:val="0060579C"/>
    <w:rsid w:val="00605D90"/>
    <w:rsid w:val="00605E1C"/>
    <w:rsid w:val="006060C7"/>
    <w:rsid w:val="00606691"/>
    <w:rsid w:val="00606CCB"/>
    <w:rsid w:val="00606D88"/>
    <w:rsid w:val="00607ADB"/>
    <w:rsid w:val="00610408"/>
    <w:rsid w:val="0061109B"/>
    <w:rsid w:val="00612673"/>
    <w:rsid w:val="00613DB2"/>
    <w:rsid w:val="0061424A"/>
    <w:rsid w:val="00615364"/>
    <w:rsid w:val="00615C18"/>
    <w:rsid w:val="00617CCD"/>
    <w:rsid w:val="006209AC"/>
    <w:rsid w:val="00620F64"/>
    <w:rsid w:val="00622F32"/>
    <w:rsid w:val="006235DF"/>
    <w:rsid w:val="00624218"/>
    <w:rsid w:val="00624CBF"/>
    <w:rsid w:val="00625841"/>
    <w:rsid w:val="00626B1F"/>
    <w:rsid w:val="00630566"/>
    <w:rsid w:val="00631337"/>
    <w:rsid w:val="006313A2"/>
    <w:rsid w:val="006321DC"/>
    <w:rsid w:val="006329EF"/>
    <w:rsid w:val="00632D8F"/>
    <w:rsid w:val="00634889"/>
    <w:rsid w:val="00636006"/>
    <w:rsid w:val="00636712"/>
    <w:rsid w:val="006367AE"/>
    <w:rsid w:val="00637935"/>
    <w:rsid w:val="006379BC"/>
    <w:rsid w:val="00637CE5"/>
    <w:rsid w:val="006405C5"/>
    <w:rsid w:val="00643E5C"/>
    <w:rsid w:val="00644521"/>
    <w:rsid w:val="0064481F"/>
    <w:rsid w:val="00645305"/>
    <w:rsid w:val="006455D8"/>
    <w:rsid w:val="006459A1"/>
    <w:rsid w:val="00646E86"/>
    <w:rsid w:val="0064745C"/>
    <w:rsid w:val="00650371"/>
    <w:rsid w:val="00650C2B"/>
    <w:rsid w:val="00651FF3"/>
    <w:rsid w:val="006526E2"/>
    <w:rsid w:val="00652709"/>
    <w:rsid w:val="0065280C"/>
    <w:rsid w:val="00652A33"/>
    <w:rsid w:val="00653572"/>
    <w:rsid w:val="0065374D"/>
    <w:rsid w:val="00653E05"/>
    <w:rsid w:val="00653FB7"/>
    <w:rsid w:val="006541CA"/>
    <w:rsid w:val="006559F1"/>
    <w:rsid w:val="00656280"/>
    <w:rsid w:val="00656AEE"/>
    <w:rsid w:val="00657BCD"/>
    <w:rsid w:val="00657BF6"/>
    <w:rsid w:val="00657C40"/>
    <w:rsid w:val="0066157B"/>
    <w:rsid w:val="006641DF"/>
    <w:rsid w:val="0066457F"/>
    <w:rsid w:val="00664E57"/>
    <w:rsid w:val="00665FD4"/>
    <w:rsid w:val="00666B12"/>
    <w:rsid w:val="00666F55"/>
    <w:rsid w:val="006670A0"/>
    <w:rsid w:val="00667331"/>
    <w:rsid w:val="00667F91"/>
    <w:rsid w:val="00670147"/>
    <w:rsid w:val="0067019E"/>
    <w:rsid w:val="0067346B"/>
    <w:rsid w:val="006738AF"/>
    <w:rsid w:val="00674C60"/>
    <w:rsid w:val="00676395"/>
    <w:rsid w:val="0067650D"/>
    <w:rsid w:val="006772B0"/>
    <w:rsid w:val="00677CE0"/>
    <w:rsid w:val="00684324"/>
    <w:rsid w:val="0068449B"/>
    <w:rsid w:val="00684E37"/>
    <w:rsid w:val="0068541A"/>
    <w:rsid w:val="006858D9"/>
    <w:rsid w:val="00685E08"/>
    <w:rsid w:val="00686372"/>
    <w:rsid w:val="00686D61"/>
    <w:rsid w:val="0068709B"/>
    <w:rsid w:val="00687D66"/>
    <w:rsid w:val="006900E4"/>
    <w:rsid w:val="00690BBF"/>
    <w:rsid w:val="006912D0"/>
    <w:rsid w:val="00691BFA"/>
    <w:rsid w:val="00692EF8"/>
    <w:rsid w:val="006933AE"/>
    <w:rsid w:val="00693F60"/>
    <w:rsid w:val="00695C4B"/>
    <w:rsid w:val="00695F04"/>
    <w:rsid w:val="00696646"/>
    <w:rsid w:val="00696A74"/>
    <w:rsid w:val="00697A49"/>
    <w:rsid w:val="006A1091"/>
    <w:rsid w:val="006A1354"/>
    <w:rsid w:val="006A295E"/>
    <w:rsid w:val="006A2BFD"/>
    <w:rsid w:val="006A37FA"/>
    <w:rsid w:val="006A3EB7"/>
    <w:rsid w:val="006A42FA"/>
    <w:rsid w:val="006A5936"/>
    <w:rsid w:val="006A7090"/>
    <w:rsid w:val="006A7CCE"/>
    <w:rsid w:val="006B05EC"/>
    <w:rsid w:val="006B1438"/>
    <w:rsid w:val="006B4209"/>
    <w:rsid w:val="006B4AD2"/>
    <w:rsid w:val="006B73FE"/>
    <w:rsid w:val="006B7DF3"/>
    <w:rsid w:val="006C0C6F"/>
    <w:rsid w:val="006C25DA"/>
    <w:rsid w:val="006C3180"/>
    <w:rsid w:val="006C37B8"/>
    <w:rsid w:val="006C477D"/>
    <w:rsid w:val="006C5AE5"/>
    <w:rsid w:val="006C6529"/>
    <w:rsid w:val="006D1BAB"/>
    <w:rsid w:val="006D335B"/>
    <w:rsid w:val="006D3580"/>
    <w:rsid w:val="006D436E"/>
    <w:rsid w:val="006D4370"/>
    <w:rsid w:val="006D4730"/>
    <w:rsid w:val="006D4A0A"/>
    <w:rsid w:val="006D50D1"/>
    <w:rsid w:val="006D67EE"/>
    <w:rsid w:val="006D7A93"/>
    <w:rsid w:val="006E0192"/>
    <w:rsid w:val="006E057F"/>
    <w:rsid w:val="006E07C0"/>
    <w:rsid w:val="006E1ABC"/>
    <w:rsid w:val="006E241A"/>
    <w:rsid w:val="006E27D2"/>
    <w:rsid w:val="006E2C0C"/>
    <w:rsid w:val="006E3827"/>
    <w:rsid w:val="006E39B1"/>
    <w:rsid w:val="006E3D7A"/>
    <w:rsid w:val="006E5140"/>
    <w:rsid w:val="006E5ED9"/>
    <w:rsid w:val="006E659C"/>
    <w:rsid w:val="006E7361"/>
    <w:rsid w:val="006E7765"/>
    <w:rsid w:val="006F15EA"/>
    <w:rsid w:val="006F17BF"/>
    <w:rsid w:val="006F1C41"/>
    <w:rsid w:val="006F2CE3"/>
    <w:rsid w:val="006F3C77"/>
    <w:rsid w:val="006F3DC3"/>
    <w:rsid w:val="006F4B1C"/>
    <w:rsid w:val="006F55CA"/>
    <w:rsid w:val="006F5750"/>
    <w:rsid w:val="006F5B6D"/>
    <w:rsid w:val="006F6E2E"/>
    <w:rsid w:val="006F7CB1"/>
    <w:rsid w:val="00700827"/>
    <w:rsid w:val="00700C2E"/>
    <w:rsid w:val="00700E56"/>
    <w:rsid w:val="007016C4"/>
    <w:rsid w:val="0070462B"/>
    <w:rsid w:val="00704797"/>
    <w:rsid w:val="007050BE"/>
    <w:rsid w:val="007061EB"/>
    <w:rsid w:val="007065E1"/>
    <w:rsid w:val="00710FC3"/>
    <w:rsid w:val="0071205D"/>
    <w:rsid w:val="0071236C"/>
    <w:rsid w:val="007129F1"/>
    <w:rsid w:val="00712CAA"/>
    <w:rsid w:val="00712D60"/>
    <w:rsid w:val="007137ED"/>
    <w:rsid w:val="007141AF"/>
    <w:rsid w:val="00715C09"/>
    <w:rsid w:val="00715E09"/>
    <w:rsid w:val="0071627F"/>
    <w:rsid w:val="00716C8D"/>
    <w:rsid w:val="007177BF"/>
    <w:rsid w:val="00717C01"/>
    <w:rsid w:val="00720AFD"/>
    <w:rsid w:val="00723847"/>
    <w:rsid w:val="00725237"/>
    <w:rsid w:val="00725E04"/>
    <w:rsid w:val="007262B1"/>
    <w:rsid w:val="007271BF"/>
    <w:rsid w:val="007276F8"/>
    <w:rsid w:val="00727EFB"/>
    <w:rsid w:val="0073052D"/>
    <w:rsid w:val="0073137A"/>
    <w:rsid w:val="00731526"/>
    <w:rsid w:val="007321B6"/>
    <w:rsid w:val="0073234E"/>
    <w:rsid w:val="00732DE6"/>
    <w:rsid w:val="00734477"/>
    <w:rsid w:val="0073459C"/>
    <w:rsid w:val="007356B8"/>
    <w:rsid w:val="0073770C"/>
    <w:rsid w:val="00737F2C"/>
    <w:rsid w:val="00740846"/>
    <w:rsid w:val="007420D7"/>
    <w:rsid w:val="007423DA"/>
    <w:rsid w:val="00742E20"/>
    <w:rsid w:val="00742EE2"/>
    <w:rsid w:val="00743589"/>
    <w:rsid w:val="007441C6"/>
    <w:rsid w:val="0074510E"/>
    <w:rsid w:val="00745859"/>
    <w:rsid w:val="00746206"/>
    <w:rsid w:val="00746750"/>
    <w:rsid w:val="007476CF"/>
    <w:rsid w:val="00747729"/>
    <w:rsid w:val="00751C17"/>
    <w:rsid w:val="00753393"/>
    <w:rsid w:val="00755451"/>
    <w:rsid w:val="00755730"/>
    <w:rsid w:val="0075662A"/>
    <w:rsid w:val="007610AA"/>
    <w:rsid w:val="0076193C"/>
    <w:rsid w:val="00762D48"/>
    <w:rsid w:val="00763284"/>
    <w:rsid w:val="007637D5"/>
    <w:rsid w:val="00763863"/>
    <w:rsid w:val="007641EB"/>
    <w:rsid w:val="00764744"/>
    <w:rsid w:val="00764B36"/>
    <w:rsid w:val="00766838"/>
    <w:rsid w:val="0076687B"/>
    <w:rsid w:val="00767A98"/>
    <w:rsid w:val="00770AAB"/>
    <w:rsid w:val="00771FD4"/>
    <w:rsid w:val="00772D4B"/>
    <w:rsid w:val="00773C3A"/>
    <w:rsid w:val="00774A8C"/>
    <w:rsid w:val="0077537F"/>
    <w:rsid w:val="00775449"/>
    <w:rsid w:val="007756A9"/>
    <w:rsid w:val="00776FB4"/>
    <w:rsid w:val="00777660"/>
    <w:rsid w:val="0078051B"/>
    <w:rsid w:val="007828C8"/>
    <w:rsid w:val="00784446"/>
    <w:rsid w:val="00784C9C"/>
    <w:rsid w:val="007854BD"/>
    <w:rsid w:val="0078577B"/>
    <w:rsid w:val="00785996"/>
    <w:rsid w:val="00786689"/>
    <w:rsid w:val="007871B0"/>
    <w:rsid w:val="00790470"/>
    <w:rsid w:val="00791315"/>
    <w:rsid w:val="0079340F"/>
    <w:rsid w:val="00794888"/>
    <w:rsid w:val="00795FD5"/>
    <w:rsid w:val="00796ADC"/>
    <w:rsid w:val="007A0475"/>
    <w:rsid w:val="007A0B15"/>
    <w:rsid w:val="007A1BA3"/>
    <w:rsid w:val="007A2003"/>
    <w:rsid w:val="007A2944"/>
    <w:rsid w:val="007A3C60"/>
    <w:rsid w:val="007A3DEA"/>
    <w:rsid w:val="007A47ED"/>
    <w:rsid w:val="007B0D9E"/>
    <w:rsid w:val="007B183C"/>
    <w:rsid w:val="007B23A6"/>
    <w:rsid w:val="007B3245"/>
    <w:rsid w:val="007B33BD"/>
    <w:rsid w:val="007B348A"/>
    <w:rsid w:val="007B3F77"/>
    <w:rsid w:val="007B3F8E"/>
    <w:rsid w:val="007B4386"/>
    <w:rsid w:val="007B46A3"/>
    <w:rsid w:val="007B5903"/>
    <w:rsid w:val="007B5A81"/>
    <w:rsid w:val="007B5BB9"/>
    <w:rsid w:val="007B6418"/>
    <w:rsid w:val="007B649F"/>
    <w:rsid w:val="007B6DFF"/>
    <w:rsid w:val="007B7012"/>
    <w:rsid w:val="007B761F"/>
    <w:rsid w:val="007B766D"/>
    <w:rsid w:val="007B7F68"/>
    <w:rsid w:val="007C022D"/>
    <w:rsid w:val="007C1348"/>
    <w:rsid w:val="007C1543"/>
    <w:rsid w:val="007C2584"/>
    <w:rsid w:val="007C425A"/>
    <w:rsid w:val="007C4678"/>
    <w:rsid w:val="007C4BAD"/>
    <w:rsid w:val="007C75EB"/>
    <w:rsid w:val="007D325C"/>
    <w:rsid w:val="007D373D"/>
    <w:rsid w:val="007D391D"/>
    <w:rsid w:val="007D3A9F"/>
    <w:rsid w:val="007D3D8C"/>
    <w:rsid w:val="007D43CF"/>
    <w:rsid w:val="007D60F0"/>
    <w:rsid w:val="007D6F68"/>
    <w:rsid w:val="007D788F"/>
    <w:rsid w:val="007D7EBD"/>
    <w:rsid w:val="007E0331"/>
    <w:rsid w:val="007E08E1"/>
    <w:rsid w:val="007E1859"/>
    <w:rsid w:val="007E1951"/>
    <w:rsid w:val="007E3639"/>
    <w:rsid w:val="007E4599"/>
    <w:rsid w:val="007E51CE"/>
    <w:rsid w:val="007E64BD"/>
    <w:rsid w:val="007E6CAB"/>
    <w:rsid w:val="007E7253"/>
    <w:rsid w:val="007E7A66"/>
    <w:rsid w:val="007F0970"/>
    <w:rsid w:val="007F108D"/>
    <w:rsid w:val="007F149E"/>
    <w:rsid w:val="007F1A24"/>
    <w:rsid w:val="007F1DCB"/>
    <w:rsid w:val="007F346C"/>
    <w:rsid w:val="007F39F9"/>
    <w:rsid w:val="007F510B"/>
    <w:rsid w:val="007F60C3"/>
    <w:rsid w:val="007F6382"/>
    <w:rsid w:val="007F708F"/>
    <w:rsid w:val="007F71E6"/>
    <w:rsid w:val="007F77F2"/>
    <w:rsid w:val="007F7A14"/>
    <w:rsid w:val="007F7D53"/>
    <w:rsid w:val="0080042D"/>
    <w:rsid w:val="008014AD"/>
    <w:rsid w:val="00801E29"/>
    <w:rsid w:val="00801F2D"/>
    <w:rsid w:val="00802223"/>
    <w:rsid w:val="00802326"/>
    <w:rsid w:val="00802885"/>
    <w:rsid w:val="00802EE1"/>
    <w:rsid w:val="00803EAD"/>
    <w:rsid w:val="008042EE"/>
    <w:rsid w:val="008045B2"/>
    <w:rsid w:val="008052BE"/>
    <w:rsid w:val="00805887"/>
    <w:rsid w:val="00805FBB"/>
    <w:rsid w:val="0080612E"/>
    <w:rsid w:val="00807F64"/>
    <w:rsid w:val="00810A35"/>
    <w:rsid w:val="0081122B"/>
    <w:rsid w:val="00811567"/>
    <w:rsid w:val="0081217A"/>
    <w:rsid w:val="00812A01"/>
    <w:rsid w:val="00813B2E"/>
    <w:rsid w:val="00813D87"/>
    <w:rsid w:val="008145D5"/>
    <w:rsid w:val="0081555D"/>
    <w:rsid w:val="00815733"/>
    <w:rsid w:val="00816C2F"/>
    <w:rsid w:val="008208C4"/>
    <w:rsid w:val="008211E1"/>
    <w:rsid w:val="008213F9"/>
    <w:rsid w:val="0082190F"/>
    <w:rsid w:val="008219AD"/>
    <w:rsid w:val="00821BEA"/>
    <w:rsid w:val="00821D92"/>
    <w:rsid w:val="0082215D"/>
    <w:rsid w:val="00823450"/>
    <w:rsid w:val="00823AF8"/>
    <w:rsid w:val="00824334"/>
    <w:rsid w:val="00824FCD"/>
    <w:rsid w:val="008256DB"/>
    <w:rsid w:val="00825949"/>
    <w:rsid w:val="00826661"/>
    <w:rsid w:val="00827CCE"/>
    <w:rsid w:val="00827E60"/>
    <w:rsid w:val="00830C9E"/>
    <w:rsid w:val="00831443"/>
    <w:rsid w:val="008315DA"/>
    <w:rsid w:val="008318A5"/>
    <w:rsid w:val="00831E88"/>
    <w:rsid w:val="00832503"/>
    <w:rsid w:val="00832549"/>
    <w:rsid w:val="008328B7"/>
    <w:rsid w:val="00835632"/>
    <w:rsid w:val="00835C26"/>
    <w:rsid w:val="00840C0E"/>
    <w:rsid w:val="00840C74"/>
    <w:rsid w:val="00840DC3"/>
    <w:rsid w:val="00840F84"/>
    <w:rsid w:val="00841387"/>
    <w:rsid w:val="00841D30"/>
    <w:rsid w:val="00844B18"/>
    <w:rsid w:val="00845683"/>
    <w:rsid w:val="008456D6"/>
    <w:rsid w:val="0084721F"/>
    <w:rsid w:val="00852D3A"/>
    <w:rsid w:val="008531F7"/>
    <w:rsid w:val="008539CE"/>
    <w:rsid w:val="00853A9F"/>
    <w:rsid w:val="00853AA6"/>
    <w:rsid w:val="00853BB2"/>
    <w:rsid w:val="00853C1B"/>
    <w:rsid w:val="008541DD"/>
    <w:rsid w:val="00855C6A"/>
    <w:rsid w:val="0085646F"/>
    <w:rsid w:val="00856711"/>
    <w:rsid w:val="00857137"/>
    <w:rsid w:val="0085735C"/>
    <w:rsid w:val="00857E20"/>
    <w:rsid w:val="00860150"/>
    <w:rsid w:val="00860FD0"/>
    <w:rsid w:val="00861436"/>
    <w:rsid w:val="0086167C"/>
    <w:rsid w:val="008623A0"/>
    <w:rsid w:val="00862A6A"/>
    <w:rsid w:val="008631A3"/>
    <w:rsid w:val="008632A3"/>
    <w:rsid w:val="00863BE0"/>
    <w:rsid w:val="00864A32"/>
    <w:rsid w:val="00865127"/>
    <w:rsid w:val="00865AB7"/>
    <w:rsid w:val="00867263"/>
    <w:rsid w:val="008720B5"/>
    <w:rsid w:val="008733C6"/>
    <w:rsid w:val="008734AD"/>
    <w:rsid w:val="0087360F"/>
    <w:rsid w:val="00873C42"/>
    <w:rsid w:val="00873F35"/>
    <w:rsid w:val="00874A6C"/>
    <w:rsid w:val="00874C1F"/>
    <w:rsid w:val="00874D84"/>
    <w:rsid w:val="00874F01"/>
    <w:rsid w:val="0087555D"/>
    <w:rsid w:val="00876299"/>
    <w:rsid w:val="008766F1"/>
    <w:rsid w:val="00876B4E"/>
    <w:rsid w:val="0087778A"/>
    <w:rsid w:val="00877BA5"/>
    <w:rsid w:val="008801E5"/>
    <w:rsid w:val="00880399"/>
    <w:rsid w:val="00880D71"/>
    <w:rsid w:val="008811B9"/>
    <w:rsid w:val="008813B1"/>
    <w:rsid w:val="00881E68"/>
    <w:rsid w:val="008826D6"/>
    <w:rsid w:val="008829E6"/>
    <w:rsid w:val="00883186"/>
    <w:rsid w:val="008848A7"/>
    <w:rsid w:val="00884962"/>
    <w:rsid w:val="00884E15"/>
    <w:rsid w:val="00884E42"/>
    <w:rsid w:val="008851DF"/>
    <w:rsid w:val="00885A8E"/>
    <w:rsid w:val="0088604D"/>
    <w:rsid w:val="00886146"/>
    <w:rsid w:val="0088681E"/>
    <w:rsid w:val="00890235"/>
    <w:rsid w:val="00891018"/>
    <w:rsid w:val="0089115F"/>
    <w:rsid w:val="0089132A"/>
    <w:rsid w:val="0089279C"/>
    <w:rsid w:val="008929B8"/>
    <w:rsid w:val="00894613"/>
    <w:rsid w:val="008946D8"/>
    <w:rsid w:val="0089521E"/>
    <w:rsid w:val="00895CE0"/>
    <w:rsid w:val="00895F0E"/>
    <w:rsid w:val="00896BB8"/>
    <w:rsid w:val="00896E78"/>
    <w:rsid w:val="008973FC"/>
    <w:rsid w:val="00897CC6"/>
    <w:rsid w:val="008A09D5"/>
    <w:rsid w:val="008A0C5A"/>
    <w:rsid w:val="008A0D70"/>
    <w:rsid w:val="008A0D9A"/>
    <w:rsid w:val="008A0EF8"/>
    <w:rsid w:val="008A0F65"/>
    <w:rsid w:val="008A1426"/>
    <w:rsid w:val="008A168E"/>
    <w:rsid w:val="008A1A08"/>
    <w:rsid w:val="008A2A69"/>
    <w:rsid w:val="008A2CCD"/>
    <w:rsid w:val="008A396E"/>
    <w:rsid w:val="008A65E2"/>
    <w:rsid w:val="008A7173"/>
    <w:rsid w:val="008B075F"/>
    <w:rsid w:val="008B0895"/>
    <w:rsid w:val="008B0CBA"/>
    <w:rsid w:val="008B1A9C"/>
    <w:rsid w:val="008B1FA2"/>
    <w:rsid w:val="008B23E9"/>
    <w:rsid w:val="008B414A"/>
    <w:rsid w:val="008B41F9"/>
    <w:rsid w:val="008B4356"/>
    <w:rsid w:val="008B4370"/>
    <w:rsid w:val="008B43E1"/>
    <w:rsid w:val="008B46DC"/>
    <w:rsid w:val="008B4F9A"/>
    <w:rsid w:val="008B628C"/>
    <w:rsid w:val="008B678B"/>
    <w:rsid w:val="008B7104"/>
    <w:rsid w:val="008C200D"/>
    <w:rsid w:val="008C3495"/>
    <w:rsid w:val="008C4296"/>
    <w:rsid w:val="008C5860"/>
    <w:rsid w:val="008C6116"/>
    <w:rsid w:val="008C6266"/>
    <w:rsid w:val="008C6532"/>
    <w:rsid w:val="008C6931"/>
    <w:rsid w:val="008C7C53"/>
    <w:rsid w:val="008D05B3"/>
    <w:rsid w:val="008D08E5"/>
    <w:rsid w:val="008D18B6"/>
    <w:rsid w:val="008D2791"/>
    <w:rsid w:val="008D2C57"/>
    <w:rsid w:val="008D38A1"/>
    <w:rsid w:val="008D3D9D"/>
    <w:rsid w:val="008D4DC8"/>
    <w:rsid w:val="008D6EB7"/>
    <w:rsid w:val="008D77CF"/>
    <w:rsid w:val="008E175D"/>
    <w:rsid w:val="008E2AC5"/>
    <w:rsid w:val="008E2DA3"/>
    <w:rsid w:val="008E3A69"/>
    <w:rsid w:val="008E3F55"/>
    <w:rsid w:val="008E445C"/>
    <w:rsid w:val="008E6ADF"/>
    <w:rsid w:val="008E6C7E"/>
    <w:rsid w:val="008F0583"/>
    <w:rsid w:val="008F0AA3"/>
    <w:rsid w:val="008F0C73"/>
    <w:rsid w:val="008F0EBE"/>
    <w:rsid w:val="008F1E66"/>
    <w:rsid w:val="008F33FC"/>
    <w:rsid w:val="008F3421"/>
    <w:rsid w:val="008F3A50"/>
    <w:rsid w:val="008F3CFB"/>
    <w:rsid w:val="008F44A6"/>
    <w:rsid w:val="008F48AA"/>
    <w:rsid w:val="008F5A03"/>
    <w:rsid w:val="008F6268"/>
    <w:rsid w:val="008F7F60"/>
    <w:rsid w:val="00900340"/>
    <w:rsid w:val="0090237B"/>
    <w:rsid w:val="0090554E"/>
    <w:rsid w:val="00905658"/>
    <w:rsid w:val="00906622"/>
    <w:rsid w:val="0090688A"/>
    <w:rsid w:val="009078E1"/>
    <w:rsid w:val="00911DB4"/>
    <w:rsid w:val="009124B6"/>
    <w:rsid w:val="00912AD8"/>
    <w:rsid w:val="0091308A"/>
    <w:rsid w:val="00913199"/>
    <w:rsid w:val="009135C5"/>
    <w:rsid w:val="009138CB"/>
    <w:rsid w:val="00914108"/>
    <w:rsid w:val="009152FC"/>
    <w:rsid w:val="00915656"/>
    <w:rsid w:val="00915C76"/>
    <w:rsid w:val="00921FCA"/>
    <w:rsid w:val="00922929"/>
    <w:rsid w:val="00922A1C"/>
    <w:rsid w:val="009240D2"/>
    <w:rsid w:val="009240F8"/>
    <w:rsid w:val="00925503"/>
    <w:rsid w:val="00925607"/>
    <w:rsid w:val="009261F4"/>
    <w:rsid w:val="00926820"/>
    <w:rsid w:val="0093134F"/>
    <w:rsid w:val="00931AE3"/>
    <w:rsid w:val="00932A00"/>
    <w:rsid w:val="00933337"/>
    <w:rsid w:val="0093358D"/>
    <w:rsid w:val="009343F2"/>
    <w:rsid w:val="00934FC5"/>
    <w:rsid w:val="0093501A"/>
    <w:rsid w:val="0093710A"/>
    <w:rsid w:val="009378CC"/>
    <w:rsid w:val="00940084"/>
    <w:rsid w:val="009401D7"/>
    <w:rsid w:val="00941A0F"/>
    <w:rsid w:val="009435C2"/>
    <w:rsid w:val="00943CE5"/>
    <w:rsid w:val="0094518D"/>
    <w:rsid w:val="0094579C"/>
    <w:rsid w:val="0094677F"/>
    <w:rsid w:val="00952A6A"/>
    <w:rsid w:val="009538E8"/>
    <w:rsid w:val="009539B0"/>
    <w:rsid w:val="00953FF0"/>
    <w:rsid w:val="00955465"/>
    <w:rsid w:val="00955B94"/>
    <w:rsid w:val="00955C39"/>
    <w:rsid w:val="00955D8F"/>
    <w:rsid w:val="00955FCC"/>
    <w:rsid w:val="009605D4"/>
    <w:rsid w:val="00960B3F"/>
    <w:rsid w:val="00961748"/>
    <w:rsid w:val="00961F98"/>
    <w:rsid w:val="00961FEB"/>
    <w:rsid w:val="0096215E"/>
    <w:rsid w:val="00962A37"/>
    <w:rsid w:val="0096338A"/>
    <w:rsid w:val="009634DD"/>
    <w:rsid w:val="00964885"/>
    <w:rsid w:val="009652F5"/>
    <w:rsid w:val="00965C3E"/>
    <w:rsid w:val="009712C8"/>
    <w:rsid w:val="00972584"/>
    <w:rsid w:val="00972ED1"/>
    <w:rsid w:val="00974760"/>
    <w:rsid w:val="009752B6"/>
    <w:rsid w:val="009757A0"/>
    <w:rsid w:val="00976C0E"/>
    <w:rsid w:val="00977C86"/>
    <w:rsid w:val="009812FC"/>
    <w:rsid w:val="00981ED9"/>
    <w:rsid w:val="00981EF6"/>
    <w:rsid w:val="00982790"/>
    <w:rsid w:val="00982E6C"/>
    <w:rsid w:val="009830B5"/>
    <w:rsid w:val="00983147"/>
    <w:rsid w:val="00983288"/>
    <w:rsid w:val="00983339"/>
    <w:rsid w:val="009844B2"/>
    <w:rsid w:val="009853D9"/>
    <w:rsid w:val="00985BF7"/>
    <w:rsid w:val="00986E2F"/>
    <w:rsid w:val="00987109"/>
    <w:rsid w:val="0098715B"/>
    <w:rsid w:val="0098730C"/>
    <w:rsid w:val="00987CF8"/>
    <w:rsid w:val="00990579"/>
    <w:rsid w:val="009905CE"/>
    <w:rsid w:val="009915B3"/>
    <w:rsid w:val="00992E9C"/>
    <w:rsid w:val="009946A6"/>
    <w:rsid w:val="00995144"/>
    <w:rsid w:val="00997D4C"/>
    <w:rsid w:val="009A03D2"/>
    <w:rsid w:val="009A0E7F"/>
    <w:rsid w:val="009A16B2"/>
    <w:rsid w:val="009A2184"/>
    <w:rsid w:val="009A2FDD"/>
    <w:rsid w:val="009A4B2F"/>
    <w:rsid w:val="009A5F76"/>
    <w:rsid w:val="009A60F1"/>
    <w:rsid w:val="009A6D0C"/>
    <w:rsid w:val="009A7242"/>
    <w:rsid w:val="009A7F70"/>
    <w:rsid w:val="009B07CA"/>
    <w:rsid w:val="009B0C01"/>
    <w:rsid w:val="009B1CA6"/>
    <w:rsid w:val="009B1FA1"/>
    <w:rsid w:val="009B42C8"/>
    <w:rsid w:val="009B4C72"/>
    <w:rsid w:val="009B4D50"/>
    <w:rsid w:val="009B633D"/>
    <w:rsid w:val="009B7B67"/>
    <w:rsid w:val="009C053F"/>
    <w:rsid w:val="009C0ABF"/>
    <w:rsid w:val="009C158D"/>
    <w:rsid w:val="009C2651"/>
    <w:rsid w:val="009C34FB"/>
    <w:rsid w:val="009C3B91"/>
    <w:rsid w:val="009C3BBE"/>
    <w:rsid w:val="009C4246"/>
    <w:rsid w:val="009C4D14"/>
    <w:rsid w:val="009C612A"/>
    <w:rsid w:val="009C6D8D"/>
    <w:rsid w:val="009D2981"/>
    <w:rsid w:val="009D3058"/>
    <w:rsid w:val="009D32B6"/>
    <w:rsid w:val="009D3E58"/>
    <w:rsid w:val="009D4189"/>
    <w:rsid w:val="009D470F"/>
    <w:rsid w:val="009D5703"/>
    <w:rsid w:val="009D5DB9"/>
    <w:rsid w:val="009D5DE2"/>
    <w:rsid w:val="009D64A7"/>
    <w:rsid w:val="009D669F"/>
    <w:rsid w:val="009D71AC"/>
    <w:rsid w:val="009E0146"/>
    <w:rsid w:val="009E030E"/>
    <w:rsid w:val="009E09C5"/>
    <w:rsid w:val="009E13EE"/>
    <w:rsid w:val="009E15A2"/>
    <w:rsid w:val="009E26AB"/>
    <w:rsid w:val="009E322F"/>
    <w:rsid w:val="009E3928"/>
    <w:rsid w:val="009E5350"/>
    <w:rsid w:val="009E673D"/>
    <w:rsid w:val="009E73EE"/>
    <w:rsid w:val="009E7754"/>
    <w:rsid w:val="009E7C36"/>
    <w:rsid w:val="009F02E0"/>
    <w:rsid w:val="009F07F6"/>
    <w:rsid w:val="009F0EC1"/>
    <w:rsid w:val="009F1629"/>
    <w:rsid w:val="009F1BC0"/>
    <w:rsid w:val="009F3151"/>
    <w:rsid w:val="009F3FBF"/>
    <w:rsid w:val="009F6F8F"/>
    <w:rsid w:val="009F6FE4"/>
    <w:rsid w:val="00A001C1"/>
    <w:rsid w:val="00A0079C"/>
    <w:rsid w:val="00A0386F"/>
    <w:rsid w:val="00A03877"/>
    <w:rsid w:val="00A04047"/>
    <w:rsid w:val="00A04EFC"/>
    <w:rsid w:val="00A05D76"/>
    <w:rsid w:val="00A05EC7"/>
    <w:rsid w:val="00A060DB"/>
    <w:rsid w:val="00A067C1"/>
    <w:rsid w:val="00A06951"/>
    <w:rsid w:val="00A07044"/>
    <w:rsid w:val="00A07106"/>
    <w:rsid w:val="00A07D12"/>
    <w:rsid w:val="00A100F1"/>
    <w:rsid w:val="00A12136"/>
    <w:rsid w:val="00A12721"/>
    <w:rsid w:val="00A12968"/>
    <w:rsid w:val="00A13849"/>
    <w:rsid w:val="00A13B82"/>
    <w:rsid w:val="00A1507A"/>
    <w:rsid w:val="00A15324"/>
    <w:rsid w:val="00A154DB"/>
    <w:rsid w:val="00A15A44"/>
    <w:rsid w:val="00A166A7"/>
    <w:rsid w:val="00A16818"/>
    <w:rsid w:val="00A1734D"/>
    <w:rsid w:val="00A17C02"/>
    <w:rsid w:val="00A2068A"/>
    <w:rsid w:val="00A2445A"/>
    <w:rsid w:val="00A24A04"/>
    <w:rsid w:val="00A255BD"/>
    <w:rsid w:val="00A2584C"/>
    <w:rsid w:val="00A25C36"/>
    <w:rsid w:val="00A2700A"/>
    <w:rsid w:val="00A274FC"/>
    <w:rsid w:val="00A2756C"/>
    <w:rsid w:val="00A27C9F"/>
    <w:rsid w:val="00A27ECC"/>
    <w:rsid w:val="00A313B5"/>
    <w:rsid w:val="00A3178B"/>
    <w:rsid w:val="00A31F4A"/>
    <w:rsid w:val="00A3328D"/>
    <w:rsid w:val="00A33587"/>
    <w:rsid w:val="00A33838"/>
    <w:rsid w:val="00A36170"/>
    <w:rsid w:val="00A36416"/>
    <w:rsid w:val="00A364DA"/>
    <w:rsid w:val="00A37883"/>
    <w:rsid w:val="00A40192"/>
    <w:rsid w:val="00A40193"/>
    <w:rsid w:val="00A40753"/>
    <w:rsid w:val="00A407B5"/>
    <w:rsid w:val="00A40AE0"/>
    <w:rsid w:val="00A40CD6"/>
    <w:rsid w:val="00A41606"/>
    <w:rsid w:val="00A41F76"/>
    <w:rsid w:val="00A422D8"/>
    <w:rsid w:val="00A42787"/>
    <w:rsid w:val="00A4279B"/>
    <w:rsid w:val="00A42BDB"/>
    <w:rsid w:val="00A437E3"/>
    <w:rsid w:val="00A43BAD"/>
    <w:rsid w:val="00A44172"/>
    <w:rsid w:val="00A4507B"/>
    <w:rsid w:val="00A458C2"/>
    <w:rsid w:val="00A45C23"/>
    <w:rsid w:val="00A4666F"/>
    <w:rsid w:val="00A468A3"/>
    <w:rsid w:val="00A47A22"/>
    <w:rsid w:val="00A47E2E"/>
    <w:rsid w:val="00A51135"/>
    <w:rsid w:val="00A52C7C"/>
    <w:rsid w:val="00A54A17"/>
    <w:rsid w:val="00A55281"/>
    <w:rsid w:val="00A552D2"/>
    <w:rsid w:val="00A56614"/>
    <w:rsid w:val="00A56B27"/>
    <w:rsid w:val="00A56B67"/>
    <w:rsid w:val="00A62636"/>
    <w:rsid w:val="00A62BED"/>
    <w:rsid w:val="00A62C18"/>
    <w:rsid w:val="00A63EAD"/>
    <w:rsid w:val="00A652F9"/>
    <w:rsid w:val="00A66900"/>
    <w:rsid w:val="00A70A89"/>
    <w:rsid w:val="00A70F3A"/>
    <w:rsid w:val="00A7290B"/>
    <w:rsid w:val="00A72A93"/>
    <w:rsid w:val="00A74844"/>
    <w:rsid w:val="00A76ABD"/>
    <w:rsid w:val="00A76BEB"/>
    <w:rsid w:val="00A77E51"/>
    <w:rsid w:val="00A80858"/>
    <w:rsid w:val="00A81190"/>
    <w:rsid w:val="00A81217"/>
    <w:rsid w:val="00A818BC"/>
    <w:rsid w:val="00A81D81"/>
    <w:rsid w:val="00A81E55"/>
    <w:rsid w:val="00A826D6"/>
    <w:rsid w:val="00A83991"/>
    <w:rsid w:val="00A86444"/>
    <w:rsid w:val="00A86962"/>
    <w:rsid w:val="00A87534"/>
    <w:rsid w:val="00A92F54"/>
    <w:rsid w:val="00A93631"/>
    <w:rsid w:val="00A944F2"/>
    <w:rsid w:val="00A9539F"/>
    <w:rsid w:val="00A9552D"/>
    <w:rsid w:val="00A962D9"/>
    <w:rsid w:val="00A96493"/>
    <w:rsid w:val="00AA0401"/>
    <w:rsid w:val="00AA18AE"/>
    <w:rsid w:val="00AA2809"/>
    <w:rsid w:val="00AA3004"/>
    <w:rsid w:val="00AA3344"/>
    <w:rsid w:val="00AA386B"/>
    <w:rsid w:val="00AA42C1"/>
    <w:rsid w:val="00AA49AA"/>
    <w:rsid w:val="00AA65E4"/>
    <w:rsid w:val="00AA6976"/>
    <w:rsid w:val="00AA76BA"/>
    <w:rsid w:val="00AA77E6"/>
    <w:rsid w:val="00AA7DC4"/>
    <w:rsid w:val="00AB06C1"/>
    <w:rsid w:val="00AB2C55"/>
    <w:rsid w:val="00AB3123"/>
    <w:rsid w:val="00AB41C6"/>
    <w:rsid w:val="00AB4F2C"/>
    <w:rsid w:val="00AB5389"/>
    <w:rsid w:val="00AC20DA"/>
    <w:rsid w:val="00AC2815"/>
    <w:rsid w:val="00AC300F"/>
    <w:rsid w:val="00AC373C"/>
    <w:rsid w:val="00AC3C48"/>
    <w:rsid w:val="00AC406C"/>
    <w:rsid w:val="00AC4168"/>
    <w:rsid w:val="00AC43FF"/>
    <w:rsid w:val="00AC51A5"/>
    <w:rsid w:val="00AC6C56"/>
    <w:rsid w:val="00AC6E77"/>
    <w:rsid w:val="00AC72CE"/>
    <w:rsid w:val="00AC74A7"/>
    <w:rsid w:val="00AC7ED6"/>
    <w:rsid w:val="00AD005C"/>
    <w:rsid w:val="00AD0E9D"/>
    <w:rsid w:val="00AD26F5"/>
    <w:rsid w:val="00AD30FF"/>
    <w:rsid w:val="00AD4D9B"/>
    <w:rsid w:val="00AD5224"/>
    <w:rsid w:val="00AD60D2"/>
    <w:rsid w:val="00AD642B"/>
    <w:rsid w:val="00AD700D"/>
    <w:rsid w:val="00AD74B6"/>
    <w:rsid w:val="00AD7BF0"/>
    <w:rsid w:val="00AE0222"/>
    <w:rsid w:val="00AE0F01"/>
    <w:rsid w:val="00AE1F39"/>
    <w:rsid w:val="00AE22E0"/>
    <w:rsid w:val="00AE2FA9"/>
    <w:rsid w:val="00AE38EC"/>
    <w:rsid w:val="00AE3C3B"/>
    <w:rsid w:val="00AE4E58"/>
    <w:rsid w:val="00AE536B"/>
    <w:rsid w:val="00AE604E"/>
    <w:rsid w:val="00AE6582"/>
    <w:rsid w:val="00AF102D"/>
    <w:rsid w:val="00AF165B"/>
    <w:rsid w:val="00AF19BE"/>
    <w:rsid w:val="00AF36C6"/>
    <w:rsid w:val="00AF4EAE"/>
    <w:rsid w:val="00AF6510"/>
    <w:rsid w:val="00B001BE"/>
    <w:rsid w:val="00B00C82"/>
    <w:rsid w:val="00B00F7D"/>
    <w:rsid w:val="00B018FB"/>
    <w:rsid w:val="00B0359C"/>
    <w:rsid w:val="00B04AC6"/>
    <w:rsid w:val="00B057AB"/>
    <w:rsid w:val="00B0651E"/>
    <w:rsid w:val="00B1001D"/>
    <w:rsid w:val="00B100AC"/>
    <w:rsid w:val="00B10F7F"/>
    <w:rsid w:val="00B113D5"/>
    <w:rsid w:val="00B12A58"/>
    <w:rsid w:val="00B1369C"/>
    <w:rsid w:val="00B137A9"/>
    <w:rsid w:val="00B138EE"/>
    <w:rsid w:val="00B13C63"/>
    <w:rsid w:val="00B1488D"/>
    <w:rsid w:val="00B148BB"/>
    <w:rsid w:val="00B15F4C"/>
    <w:rsid w:val="00B16E3C"/>
    <w:rsid w:val="00B1702D"/>
    <w:rsid w:val="00B17089"/>
    <w:rsid w:val="00B17323"/>
    <w:rsid w:val="00B21609"/>
    <w:rsid w:val="00B216B6"/>
    <w:rsid w:val="00B21718"/>
    <w:rsid w:val="00B231AF"/>
    <w:rsid w:val="00B23377"/>
    <w:rsid w:val="00B23F70"/>
    <w:rsid w:val="00B2447D"/>
    <w:rsid w:val="00B24868"/>
    <w:rsid w:val="00B24A92"/>
    <w:rsid w:val="00B2570A"/>
    <w:rsid w:val="00B25B3D"/>
    <w:rsid w:val="00B26259"/>
    <w:rsid w:val="00B304BA"/>
    <w:rsid w:val="00B3066F"/>
    <w:rsid w:val="00B3086A"/>
    <w:rsid w:val="00B30EEE"/>
    <w:rsid w:val="00B30F86"/>
    <w:rsid w:val="00B314CE"/>
    <w:rsid w:val="00B31FA8"/>
    <w:rsid w:val="00B33921"/>
    <w:rsid w:val="00B33BBA"/>
    <w:rsid w:val="00B34509"/>
    <w:rsid w:val="00B346BB"/>
    <w:rsid w:val="00B34AD8"/>
    <w:rsid w:val="00B34CC4"/>
    <w:rsid w:val="00B34DB6"/>
    <w:rsid w:val="00B35447"/>
    <w:rsid w:val="00B373FC"/>
    <w:rsid w:val="00B40729"/>
    <w:rsid w:val="00B40D87"/>
    <w:rsid w:val="00B420D4"/>
    <w:rsid w:val="00B43278"/>
    <w:rsid w:val="00B43790"/>
    <w:rsid w:val="00B440EB"/>
    <w:rsid w:val="00B44930"/>
    <w:rsid w:val="00B44F81"/>
    <w:rsid w:val="00B4524F"/>
    <w:rsid w:val="00B45C33"/>
    <w:rsid w:val="00B46146"/>
    <w:rsid w:val="00B46596"/>
    <w:rsid w:val="00B46FA9"/>
    <w:rsid w:val="00B46FC4"/>
    <w:rsid w:val="00B47B2E"/>
    <w:rsid w:val="00B5157D"/>
    <w:rsid w:val="00B520E1"/>
    <w:rsid w:val="00B52E4C"/>
    <w:rsid w:val="00B5559E"/>
    <w:rsid w:val="00B55C5E"/>
    <w:rsid w:val="00B56762"/>
    <w:rsid w:val="00B56D8D"/>
    <w:rsid w:val="00B56E7F"/>
    <w:rsid w:val="00B60735"/>
    <w:rsid w:val="00B60950"/>
    <w:rsid w:val="00B6111D"/>
    <w:rsid w:val="00B62CF9"/>
    <w:rsid w:val="00B62FBD"/>
    <w:rsid w:val="00B63BAB"/>
    <w:rsid w:val="00B64B16"/>
    <w:rsid w:val="00B64D84"/>
    <w:rsid w:val="00B6596F"/>
    <w:rsid w:val="00B65D34"/>
    <w:rsid w:val="00B65F79"/>
    <w:rsid w:val="00B66280"/>
    <w:rsid w:val="00B668A9"/>
    <w:rsid w:val="00B67C9C"/>
    <w:rsid w:val="00B67CBA"/>
    <w:rsid w:val="00B71135"/>
    <w:rsid w:val="00B71406"/>
    <w:rsid w:val="00B715BF"/>
    <w:rsid w:val="00B722F6"/>
    <w:rsid w:val="00B72953"/>
    <w:rsid w:val="00B72B2D"/>
    <w:rsid w:val="00B73196"/>
    <w:rsid w:val="00B7491C"/>
    <w:rsid w:val="00B74A7A"/>
    <w:rsid w:val="00B74CF6"/>
    <w:rsid w:val="00B754AF"/>
    <w:rsid w:val="00B75B5B"/>
    <w:rsid w:val="00B75BB3"/>
    <w:rsid w:val="00B7642F"/>
    <w:rsid w:val="00B771B9"/>
    <w:rsid w:val="00B77595"/>
    <w:rsid w:val="00B77857"/>
    <w:rsid w:val="00B80BBA"/>
    <w:rsid w:val="00B814DC"/>
    <w:rsid w:val="00B82C96"/>
    <w:rsid w:val="00B833D1"/>
    <w:rsid w:val="00B83C73"/>
    <w:rsid w:val="00B85052"/>
    <w:rsid w:val="00B85564"/>
    <w:rsid w:val="00B86AF8"/>
    <w:rsid w:val="00B86B18"/>
    <w:rsid w:val="00B87219"/>
    <w:rsid w:val="00B87A0E"/>
    <w:rsid w:val="00B90708"/>
    <w:rsid w:val="00B9184B"/>
    <w:rsid w:val="00B91D04"/>
    <w:rsid w:val="00B922E3"/>
    <w:rsid w:val="00B923DE"/>
    <w:rsid w:val="00B93356"/>
    <w:rsid w:val="00B93F73"/>
    <w:rsid w:val="00B94301"/>
    <w:rsid w:val="00B94B1B"/>
    <w:rsid w:val="00B94C77"/>
    <w:rsid w:val="00B94E0A"/>
    <w:rsid w:val="00B96958"/>
    <w:rsid w:val="00B969A6"/>
    <w:rsid w:val="00B97809"/>
    <w:rsid w:val="00BA13FB"/>
    <w:rsid w:val="00BA15CA"/>
    <w:rsid w:val="00BA1C82"/>
    <w:rsid w:val="00BA21BB"/>
    <w:rsid w:val="00BA231C"/>
    <w:rsid w:val="00BA296F"/>
    <w:rsid w:val="00BA2A5E"/>
    <w:rsid w:val="00BA47ED"/>
    <w:rsid w:val="00BA5691"/>
    <w:rsid w:val="00BA56A8"/>
    <w:rsid w:val="00BA6BFF"/>
    <w:rsid w:val="00BA6F70"/>
    <w:rsid w:val="00BB0167"/>
    <w:rsid w:val="00BB0899"/>
    <w:rsid w:val="00BB0D73"/>
    <w:rsid w:val="00BB1114"/>
    <w:rsid w:val="00BB13E9"/>
    <w:rsid w:val="00BB15C6"/>
    <w:rsid w:val="00BB1629"/>
    <w:rsid w:val="00BB1806"/>
    <w:rsid w:val="00BB1E6C"/>
    <w:rsid w:val="00BB235D"/>
    <w:rsid w:val="00BB2DDA"/>
    <w:rsid w:val="00BB2E05"/>
    <w:rsid w:val="00BB319D"/>
    <w:rsid w:val="00BB3B55"/>
    <w:rsid w:val="00BB4E00"/>
    <w:rsid w:val="00BB52F5"/>
    <w:rsid w:val="00BB5833"/>
    <w:rsid w:val="00BB5A36"/>
    <w:rsid w:val="00BB5AB9"/>
    <w:rsid w:val="00BB5E4B"/>
    <w:rsid w:val="00BB5F5C"/>
    <w:rsid w:val="00BC09BE"/>
    <w:rsid w:val="00BC18F4"/>
    <w:rsid w:val="00BC2BEB"/>
    <w:rsid w:val="00BC3F57"/>
    <w:rsid w:val="00BC5967"/>
    <w:rsid w:val="00BC5A93"/>
    <w:rsid w:val="00BC6858"/>
    <w:rsid w:val="00BD2BBB"/>
    <w:rsid w:val="00BD36C2"/>
    <w:rsid w:val="00BD3F79"/>
    <w:rsid w:val="00BD3FC8"/>
    <w:rsid w:val="00BD62AE"/>
    <w:rsid w:val="00BE0B4D"/>
    <w:rsid w:val="00BE0FBE"/>
    <w:rsid w:val="00BE1F6A"/>
    <w:rsid w:val="00BE2FBD"/>
    <w:rsid w:val="00BE355A"/>
    <w:rsid w:val="00BE35A9"/>
    <w:rsid w:val="00BE3765"/>
    <w:rsid w:val="00BE3F80"/>
    <w:rsid w:val="00BE4CFA"/>
    <w:rsid w:val="00BE5878"/>
    <w:rsid w:val="00BE5D9E"/>
    <w:rsid w:val="00BF04AE"/>
    <w:rsid w:val="00BF0A96"/>
    <w:rsid w:val="00BF1EC9"/>
    <w:rsid w:val="00BF2957"/>
    <w:rsid w:val="00BF2DB6"/>
    <w:rsid w:val="00BF3145"/>
    <w:rsid w:val="00BF59CF"/>
    <w:rsid w:val="00BF685C"/>
    <w:rsid w:val="00BF7268"/>
    <w:rsid w:val="00C01107"/>
    <w:rsid w:val="00C01E8E"/>
    <w:rsid w:val="00C01EA5"/>
    <w:rsid w:val="00C020B3"/>
    <w:rsid w:val="00C02123"/>
    <w:rsid w:val="00C029CA"/>
    <w:rsid w:val="00C0300D"/>
    <w:rsid w:val="00C0357D"/>
    <w:rsid w:val="00C0400C"/>
    <w:rsid w:val="00C047A0"/>
    <w:rsid w:val="00C05027"/>
    <w:rsid w:val="00C05934"/>
    <w:rsid w:val="00C065D8"/>
    <w:rsid w:val="00C067A5"/>
    <w:rsid w:val="00C10009"/>
    <w:rsid w:val="00C11CAD"/>
    <w:rsid w:val="00C1207A"/>
    <w:rsid w:val="00C13A8A"/>
    <w:rsid w:val="00C15264"/>
    <w:rsid w:val="00C1554A"/>
    <w:rsid w:val="00C168BE"/>
    <w:rsid w:val="00C175CB"/>
    <w:rsid w:val="00C17B85"/>
    <w:rsid w:val="00C20AEA"/>
    <w:rsid w:val="00C21037"/>
    <w:rsid w:val="00C210C8"/>
    <w:rsid w:val="00C21770"/>
    <w:rsid w:val="00C22BAC"/>
    <w:rsid w:val="00C24E62"/>
    <w:rsid w:val="00C251E7"/>
    <w:rsid w:val="00C259D8"/>
    <w:rsid w:val="00C25A24"/>
    <w:rsid w:val="00C25D4C"/>
    <w:rsid w:val="00C264B1"/>
    <w:rsid w:val="00C278BE"/>
    <w:rsid w:val="00C279B3"/>
    <w:rsid w:val="00C301F1"/>
    <w:rsid w:val="00C304D6"/>
    <w:rsid w:val="00C31509"/>
    <w:rsid w:val="00C330D2"/>
    <w:rsid w:val="00C3338E"/>
    <w:rsid w:val="00C33A35"/>
    <w:rsid w:val="00C34B8D"/>
    <w:rsid w:val="00C35E48"/>
    <w:rsid w:val="00C35F18"/>
    <w:rsid w:val="00C36F3B"/>
    <w:rsid w:val="00C409F9"/>
    <w:rsid w:val="00C40CFF"/>
    <w:rsid w:val="00C419CD"/>
    <w:rsid w:val="00C4234A"/>
    <w:rsid w:val="00C423B7"/>
    <w:rsid w:val="00C45241"/>
    <w:rsid w:val="00C460A8"/>
    <w:rsid w:val="00C46125"/>
    <w:rsid w:val="00C46FEB"/>
    <w:rsid w:val="00C479C8"/>
    <w:rsid w:val="00C5070C"/>
    <w:rsid w:val="00C525A5"/>
    <w:rsid w:val="00C531A1"/>
    <w:rsid w:val="00C53F98"/>
    <w:rsid w:val="00C544AF"/>
    <w:rsid w:val="00C55076"/>
    <w:rsid w:val="00C553B2"/>
    <w:rsid w:val="00C55417"/>
    <w:rsid w:val="00C5606E"/>
    <w:rsid w:val="00C56144"/>
    <w:rsid w:val="00C61021"/>
    <w:rsid w:val="00C61065"/>
    <w:rsid w:val="00C61B60"/>
    <w:rsid w:val="00C61D96"/>
    <w:rsid w:val="00C62230"/>
    <w:rsid w:val="00C6427A"/>
    <w:rsid w:val="00C64C1B"/>
    <w:rsid w:val="00C64E84"/>
    <w:rsid w:val="00C70DF8"/>
    <w:rsid w:val="00C71067"/>
    <w:rsid w:val="00C71456"/>
    <w:rsid w:val="00C72F4F"/>
    <w:rsid w:val="00C74F0D"/>
    <w:rsid w:val="00C763A0"/>
    <w:rsid w:val="00C7655D"/>
    <w:rsid w:val="00C802D5"/>
    <w:rsid w:val="00C80E83"/>
    <w:rsid w:val="00C812E5"/>
    <w:rsid w:val="00C813FD"/>
    <w:rsid w:val="00C83085"/>
    <w:rsid w:val="00C845D4"/>
    <w:rsid w:val="00C84DAE"/>
    <w:rsid w:val="00C8674C"/>
    <w:rsid w:val="00C86E6C"/>
    <w:rsid w:val="00C8750E"/>
    <w:rsid w:val="00C90210"/>
    <w:rsid w:val="00C90C6B"/>
    <w:rsid w:val="00C917CF"/>
    <w:rsid w:val="00C92085"/>
    <w:rsid w:val="00C925AF"/>
    <w:rsid w:val="00C92F53"/>
    <w:rsid w:val="00C94AC3"/>
    <w:rsid w:val="00C955CA"/>
    <w:rsid w:val="00C95A74"/>
    <w:rsid w:val="00C96B46"/>
    <w:rsid w:val="00C96D4D"/>
    <w:rsid w:val="00C96DE1"/>
    <w:rsid w:val="00C97830"/>
    <w:rsid w:val="00CA109F"/>
    <w:rsid w:val="00CA13B9"/>
    <w:rsid w:val="00CA23F7"/>
    <w:rsid w:val="00CA2FFA"/>
    <w:rsid w:val="00CA3096"/>
    <w:rsid w:val="00CA4F18"/>
    <w:rsid w:val="00CA522C"/>
    <w:rsid w:val="00CA533D"/>
    <w:rsid w:val="00CB0209"/>
    <w:rsid w:val="00CB050D"/>
    <w:rsid w:val="00CB10B8"/>
    <w:rsid w:val="00CB20C0"/>
    <w:rsid w:val="00CB2503"/>
    <w:rsid w:val="00CB2EF6"/>
    <w:rsid w:val="00CB3D10"/>
    <w:rsid w:val="00CB4844"/>
    <w:rsid w:val="00CB5453"/>
    <w:rsid w:val="00CB66C3"/>
    <w:rsid w:val="00CB6BB4"/>
    <w:rsid w:val="00CB7623"/>
    <w:rsid w:val="00CB7D8F"/>
    <w:rsid w:val="00CB7D99"/>
    <w:rsid w:val="00CB7FCE"/>
    <w:rsid w:val="00CC1FBD"/>
    <w:rsid w:val="00CC2080"/>
    <w:rsid w:val="00CC2632"/>
    <w:rsid w:val="00CC2CC0"/>
    <w:rsid w:val="00CC36FB"/>
    <w:rsid w:val="00CC3766"/>
    <w:rsid w:val="00CC3FA4"/>
    <w:rsid w:val="00CC3FD6"/>
    <w:rsid w:val="00CC5A4E"/>
    <w:rsid w:val="00CC6563"/>
    <w:rsid w:val="00CC669F"/>
    <w:rsid w:val="00CC67E2"/>
    <w:rsid w:val="00CC6E7C"/>
    <w:rsid w:val="00CC72EB"/>
    <w:rsid w:val="00CD2285"/>
    <w:rsid w:val="00CD3878"/>
    <w:rsid w:val="00CD3DC2"/>
    <w:rsid w:val="00CD3EB6"/>
    <w:rsid w:val="00CD6899"/>
    <w:rsid w:val="00CD6AFD"/>
    <w:rsid w:val="00CD6C12"/>
    <w:rsid w:val="00CD73F1"/>
    <w:rsid w:val="00CD77DA"/>
    <w:rsid w:val="00CD7845"/>
    <w:rsid w:val="00CD7883"/>
    <w:rsid w:val="00CD7960"/>
    <w:rsid w:val="00CD7991"/>
    <w:rsid w:val="00CE009D"/>
    <w:rsid w:val="00CE1F9C"/>
    <w:rsid w:val="00CE43E1"/>
    <w:rsid w:val="00CE4882"/>
    <w:rsid w:val="00CE4A68"/>
    <w:rsid w:val="00CE4EAE"/>
    <w:rsid w:val="00CE7F59"/>
    <w:rsid w:val="00CF1720"/>
    <w:rsid w:val="00CF2264"/>
    <w:rsid w:val="00CF242C"/>
    <w:rsid w:val="00CF2A9B"/>
    <w:rsid w:val="00CF3A3E"/>
    <w:rsid w:val="00CF5001"/>
    <w:rsid w:val="00CF555D"/>
    <w:rsid w:val="00CF56D4"/>
    <w:rsid w:val="00CF5725"/>
    <w:rsid w:val="00CF6D68"/>
    <w:rsid w:val="00CF7A71"/>
    <w:rsid w:val="00D000EC"/>
    <w:rsid w:val="00D00C83"/>
    <w:rsid w:val="00D00F4E"/>
    <w:rsid w:val="00D01E77"/>
    <w:rsid w:val="00D0308B"/>
    <w:rsid w:val="00D03B73"/>
    <w:rsid w:val="00D03D40"/>
    <w:rsid w:val="00D043AB"/>
    <w:rsid w:val="00D055AF"/>
    <w:rsid w:val="00D07C07"/>
    <w:rsid w:val="00D1009D"/>
    <w:rsid w:val="00D10112"/>
    <w:rsid w:val="00D10379"/>
    <w:rsid w:val="00D10E0D"/>
    <w:rsid w:val="00D118CA"/>
    <w:rsid w:val="00D11C70"/>
    <w:rsid w:val="00D131AC"/>
    <w:rsid w:val="00D148A8"/>
    <w:rsid w:val="00D1577D"/>
    <w:rsid w:val="00D16564"/>
    <w:rsid w:val="00D17255"/>
    <w:rsid w:val="00D201AC"/>
    <w:rsid w:val="00D20445"/>
    <w:rsid w:val="00D21B06"/>
    <w:rsid w:val="00D22C7C"/>
    <w:rsid w:val="00D23523"/>
    <w:rsid w:val="00D23F0D"/>
    <w:rsid w:val="00D23F34"/>
    <w:rsid w:val="00D242A8"/>
    <w:rsid w:val="00D25056"/>
    <w:rsid w:val="00D25553"/>
    <w:rsid w:val="00D257CE"/>
    <w:rsid w:val="00D27086"/>
    <w:rsid w:val="00D27245"/>
    <w:rsid w:val="00D27F3B"/>
    <w:rsid w:val="00D30FFE"/>
    <w:rsid w:val="00D3157A"/>
    <w:rsid w:val="00D31F8A"/>
    <w:rsid w:val="00D3274B"/>
    <w:rsid w:val="00D34556"/>
    <w:rsid w:val="00D34F29"/>
    <w:rsid w:val="00D352F1"/>
    <w:rsid w:val="00D35503"/>
    <w:rsid w:val="00D3749D"/>
    <w:rsid w:val="00D37951"/>
    <w:rsid w:val="00D379E7"/>
    <w:rsid w:val="00D40A2C"/>
    <w:rsid w:val="00D41516"/>
    <w:rsid w:val="00D41E35"/>
    <w:rsid w:val="00D42017"/>
    <w:rsid w:val="00D4210B"/>
    <w:rsid w:val="00D4310A"/>
    <w:rsid w:val="00D43B62"/>
    <w:rsid w:val="00D4406A"/>
    <w:rsid w:val="00D44483"/>
    <w:rsid w:val="00D44FEB"/>
    <w:rsid w:val="00D455F5"/>
    <w:rsid w:val="00D4592A"/>
    <w:rsid w:val="00D45965"/>
    <w:rsid w:val="00D45BD1"/>
    <w:rsid w:val="00D4620D"/>
    <w:rsid w:val="00D464A6"/>
    <w:rsid w:val="00D4675E"/>
    <w:rsid w:val="00D46AE3"/>
    <w:rsid w:val="00D4725C"/>
    <w:rsid w:val="00D4793C"/>
    <w:rsid w:val="00D50ADA"/>
    <w:rsid w:val="00D511D1"/>
    <w:rsid w:val="00D52541"/>
    <w:rsid w:val="00D531F7"/>
    <w:rsid w:val="00D53AAE"/>
    <w:rsid w:val="00D53AB8"/>
    <w:rsid w:val="00D5539E"/>
    <w:rsid w:val="00D556B1"/>
    <w:rsid w:val="00D55A75"/>
    <w:rsid w:val="00D55EB3"/>
    <w:rsid w:val="00D56B80"/>
    <w:rsid w:val="00D57416"/>
    <w:rsid w:val="00D57C56"/>
    <w:rsid w:val="00D6148E"/>
    <w:rsid w:val="00D61DCA"/>
    <w:rsid w:val="00D620A4"/>
    <w:rsid w:val="00D6214E"/>
    <w:rsid w:val="00D62E0D"/>
    <w:rsid w:val="00D641EA"/>
    <w:rsid w:val="00D6438B"/>
    <w:rsid w:val="00D64C41"/>
    <w:rsid w:val="00D65393"/>
    <w:rsid w:val="00D6613E"/>
    <w:rsid w:val="00D6677D"/>
    <w:rsid w:val="00D673A0"/>
    <w:rsid w:val="00D67A14"/>
    <w:rsid w:val="00D705FF"/>
    <w:rsid w:val="00D70890"/>
    <w:rsid w:val="00D708DE"/>
    <w:rsid w:val="00D71646"/>
    <w:rsid w:val="00D71DF7"/>
    <w:rsid w:val="00D725B6"/>
    <w:rsid w:val="00D7362F"/>
    <w:rsid w:val="00D74E91"/>
    <w:rsid w:val="00D76BD7"/>
    <w:rsid w:val="00D7744B"/>
    <w:rsid w:val="00D80499"/>
    <w:rsid w:val="00D80CFE"/>
    <w:rsid w:val="00D81925"/>
    <w:rsid w:val="00D82276"/>
    <w:rsid w:val="00D829CE"/>
    <w:rsid w:val="00D83659"/>
    <w:rsid w:val="00D83966"/>
    <w:rsid w:val="00D846AF"/>
    <w:rsid w:val="00D84AC7"/>
    <w:rsid w:val="00D8528F"/>
    <w:rsid w:val="00D85D84"/>
    <w:rsid w:val="00D85F3B"/>
    <w:rsid w:val="00D863E5"/>
    <w:rsid w:val="00D86824"/>
    <w:rsid w:val="00D870DF"/>
    <w:rsid w:val="00D87418"/>
    <w:rsid w:val="00D87505"/>
    <w:rsid w:val="00D90574"/>
    <w:rsid w:val="00D9165B"/>
    <w:rsid w:val="00D91B2F"/>
    <w:rsid w:val="00D91E15"/>
    <w:rsid w:val="00D91EF1"/>
    <w:rsid w:val="00D929AD"/>
    <w:rsid w:val="00D94188"/>
    <w:rsid w:val="00D953FF"/>
    <w:rsid w:val="00D954A5"/>
    <w:rsid w:val="00D9556E"/>
    <w:rsid w:val="00D95ECE"/>
    <w:rsid w:val="00D97D52"/>
    <w:rsid w:val="00DA0B5B"/>
    <w:rsid w:val="00DA11DF"/>
    <w:rsid w:val="00DA3975"/>
    <w:rsid w:val="00DA49DA"/>
    <w:rsid w:val="00DA4CDC"/>
    <w:rsid w:val="00DA7279"/>
    <w:rsid w:val="00DA740C"/>
    <w:rsid w:val="00DA7821"/>
    <w:rsid w:val="00DB060E"/>
    <w:rsid w:val="00DB1459"/>
    <w:rsid w:val="00DB1B20"/>
    <w:rsid w:val="00DB1C8E"/>
    <w:rsid w:val="00DB3FF1"/>
    <w:rsid w:val="00DB3FF9"/>
    <w:rsid w:val="00DB410B"/>
    <w:rsid w:val="00DB486A"/>
    <w:rsid w:val="00DB4B36"/>
    <w:rsid w:val="00DB54F9"/>
    <w:rsid w:val="00DB5CED"/>
    <w:rsid w:val="00DB6277"/>
    <w:rsid w:val="00DB7C1E"/>
    <w:rsid w:val="00DC1BE2"/>
    <w:rsid w:val="00DC1D94"/>
    <w:rsid w:val="00DC2E84"/>
    <w:rsid w:val="00DC42A2"/>
    <w:rsid w:val="00DC76DD"/>
    <w:rsid w:val="00DC7A01"/>
    <w:rsid w:val="00DC7BC0"/>
    <w:rsid w:val="00DD20A3"/>
    <w:rsid w:val="00DD28C4"/>
    <w:rsid w:val="00DD30B0"/>
    <w:rsid w:val="00DD5B10"/>
    <w:rsid w:val="00DD7DBE"/>
    <w:rsid w:val="00DE0BFA"/>
    <w:rsid w:val="00DE0DE6"/>
    <w:rsid w:val="00DE276D"/>
    <w:rsid w:val="00DE27AA"/>
    <w:rsid w:val="00DE3024"/>
    <w:rsid w:val="00DE3085"/>
    <w:rsid w:val="00DE320B"/>
    <w:rsid w:val="00DE68B0"/>
    <w:rsid w:val="00DF0350"/>
    <w:rsid w:val="00DF09B8"/>
    <w:rsid w:val="00DF2DD9"/>
    <w:rsid w:val="00DF3B9F"/>
    <w:rsid w:val="00DF3E76"/>
    <w:rsid w:val="00DF417F"/>
    <w:rsid w:val="00DF5789"/>
    <w:rsid w:val="00DF5856"/>
    <w:rsid w:val="00DF68A7"/>
    <w:rsid w:val="00DF6D36"/>
    <w:rsid w:val="00DF7330"/>
    <w:rsid w:val="00DF7612"/>
    <w:rsid w:val="00E00D56"/>
    <w:rsid w:val="00E02CBF"/>
    <w:rsid w:val="00E03BF7"/>
    <w:rsid w:val="00E07658"/>
    <w:rsid w:val="00E10225"/>
    <w:rsid w:val="00E10BE8"/>
    <w:rsid w:val="00E110BD"/>
    <w:rsid w:val="00E12DFC"/>
    <w:rsid w:val="00E12FC1"/>
    <w:rsid w:val="00E137F7"/>
    <w:rsid w:val="00E13A2B"/>
    <w:rsid w:val="00E14317"/>
    <w:rsid w:val="00E14491"/>
    <w:rsid w:val="00E14979"/>
    <w:rsid w:val="00E14C1D"/>
    <w:rsid w:val="00E15F1A"/>
    <w:rsid w:val="00E1771A"/>
    <w:rsid w:val="00E2174A"/>
    <w:rsid w:val="00E220DE"/>
    <w:rsid w:val="00E22C1E"/>
    <w:rsid w:val="00E26897"/>
    <w:rsid w:val="00E26BCB"/>
    <w:rsid w:val="00E26EBA"/>
    <w:rsid w:val="00E2702B"/>
    <w:rsid w:val="00E2791B"/>
    <w:rsid w:val="00E27D81"/>
    <w:rsid w:val="00E30203"/>
    <w:rsid w:val="00E309CE"/>
    <w:rsid w:val="00E30A74"/>
    <w:rsid w:val="00E30F24"/>
    <w:rsid w:val="00E30F3D"/>
    <w:rsid w:val="00E31107"/>
    <w:rsid w:val="00E31639"/>
    <w:rsid w:val="00E31D78"/>
    <w:rsid w:val="00E33645"/>
    <w:rsid w:val="00E33C03"/>
    <w:rsid w:val="00E3520A"/>
    <w:rsid w:val="00E354F7"/>
    <w:rsid w:val="00E35F11"/>
    <w:rsid w:val="00E37D85"/>
    <w:rsid w:val="00E40040"/>
    <w:rsid w:val="00E401D0"/>
    <w:rsid w:val="00E4142F"/>
    <w:rsid w:val="00E42450"/>
    <w:rsid w:val="00E4275B"/>
    <w:rsid w:val="00E42BB4"/>
    <w:rsid w:val="00E44ADF"/>
    <w:rsid w:val="00E44C0D"/>
    <w:rsid w:val="00E46668"/>
    <w:rsid w:val="00E47169"/>
    <w:rsid w:val="00E47B84"/>
    <w:rsid w:val="00E50E91"/>
    <w:rsid w:val="00E51128"/>
    <w:rsid w:val="00E51555"/>
    <w:rsid w:val="00E51F15"/>
    <w:rsid w:val="00E522E8"/>
    <w:rsid w:val="00E52725"/>
    <w:rsid w:val="00E52BDF"/>
    <w:rsid w:val="00E5327E"/>
    <w:rsid w:val="00E55701"/>
    <w:rsid w:val="00E578ED"/>
    <w:rsid w:val="00E61648"/>
    <w:rsid w:val="00E62396"/>
    <w:rsid w:val="00E623EF"/>
    <w:rsid w:val="00E6381E"/>
    <w:rsid w:val="00E651D0"/>
    <w:rsid w:val="00E65CE1"/>
    <w:rsid w:val="00E65E53"/>
    <w:rsid w:val="00E6606F"/>
    <w:rsid w:val="00E667CE"/>
    <w:rsid w:val="00E66E6B"/>
    <w:rsid w:val="00E70A3E"/>
    <w:rsid w:val="00E723D5"/>
    <w:rsid w:val="00E74964"/>
    <w:rsid w:val="00E757CA"/>
    <w:rsid w:val="00E75AEE"/>
    <w:rsid w:val="00E75FED"/>
    <w:rsid w:val="00E7617B"/>
    <w:rsid w:val="00E76A90"/>
    <w:rsid w:val="00E76C84"/>
    <w:rsid w:val="00E8217C"/>
    <w:rsid w:val="00E82766"/>
    <w:rsid w:val="00E82C1B"/>
    <w:rsid w:val="00E83003"/>
    <w:rsid w:val="00E83692"/>
    <w:rsid w:val="00E84A33"/>
    <w:rsid w:val="00E86C1D"/>
    <w:rsid w:val="00E872F6"/>
    <w:rsid w:val="00E90DC4"/>
    <w:rsid w:val="00E90E66"/>
    <w:rsid w:val="00E90E93"/>
    <w:rsid w:val="00E91F88"/>
    <w:rsid w:val="00E92140"/>
    <w:rsid w:val="00E95CAE"/>
    <w:rsid w:val="00E974D8"/>
    <w:rsid w:val="00E97A05"/>
    <w:rsid w:val="00E97CBE"/>
    <w:rsid w:val="00EA030F"/>
    <w:rsid w:val="00EA033B"/>
    <w:rsid w:val="00EA0B43"/>
    <w:rsid w:val="00EA12D8"/>
    <w:rsid w:val="00EA13C7"/>
    <w:rsid w:val="00EA1F93"/>
    <w:rsid w:val="00EA221E"/>
    <w:rsid w:val="00EA5C32"/>
    <w:rsid w:val="00EA7AB6"/>
    <w:rsid w:val="00EA7B54"/>
    <w:rsid w:val="00EB1141"/>
    <w:rsid w:val="00EB11AE"/>
    <w:rsid w:val="00EB1547"/>
    <w:rsid w:val="00EB2BA1"/>
    <w:rsid w:val="00EB44FE"/>
    <w:rsid w:val="00EB4671"/>
    <w:rsid w:val="00EB4A54"/>
    <w:rsid w:val="00EB4E65"/>
    <w:rsid w:val="00EB5238"/>
    <w:rsid w:val="00EB5410"/>
    <w:rsid w:val="00EB582E"/>
    <w:rsid w:val="00EB5916"/>
    <w:rsid w:val="00EB5DCB"/>
    <w:rsid w:val="00EB6A32"/>
    <w:rsid w:val="00EB771B"/>
    <w:rsid w:val="00EB7CD6"/>
    <w:rsid w:val="00EC0A1A"/>
    <w:rsid w:val="00EC0CF8"/>
    <w:rsid w:val="00EC2FD6"/>
    <w:rsid w:val="00EC2FF2"/>
    <w:rsid w:val="00EC327A"/>
    <w:rsid w:val="00EC349C"/>
    <w:rsid w:val="00EC3EBE"/>
    <w:rsid w:val="00EC5355"/>
    <w:rsid w:val="00EC56F4"/>
    <w:rsid w:val="00EC5719"/>
    <w:rsid w:val="00EC6A19"/>
    <w:rsid w:val="00EC6D8C"/>
    <w:rsid w:val="00ED022C"/>
    <w:rsid w:val="00ED1E69"/>
    <w:rsid w:val="00ED1F06"/>
    <w:rsid w:val="00ED1F4C"/>
    <w:rsid w:val="00ED273A"/>
    <w:rsid w:val="00ED3531"/>
    <w:rsid w:val="00ED4388"/>
    <w:rsid w:val="00ED5CA4"/>
    <w:rsid w:val="00ED7A52"/>
    <w:rsid w:val="00EE0841"/>
    <w:rsid w:val="00EE0C7E"/>
    <w:rsid w:val="00EE0F62"/>
    <w:rsid w:val="00EE1ABB"/>
    <w:rsid w:val="00EE2305"/>
    <w:rsid w:val="00EE2720"/>
    <w:rsid w:val="00EE2761"/>
    <w:rsid w:val="00EE2BF0"/>
    <w:rsid w:val="00EE3676"/>
    <w:rsid w:val="00EE4AE2"/>
    <w:rsid w:val="00EE5536"/>
    <w:rsid w:val="00EE67A5"/>
    <w:rsid w:val="00EE76D5"/>
    <w:rsid w:val="00EF0480"/>
    <w:rsid w:val="00EF24F8"/>
    <w:rsid w:val="00EF5EC1"/>
    <w:rsid w:val="00EF5FDF"/>
    <w:rsid w:val="00EF6682"/>
    <w:rsid w:val="00EF674B"/>
    <w:rsid w:val="00F009D4"/>
    <w:rsid w:val="00F01233"/>
    <w:rsid w:val="00F0128E"/>
    <w:rsid w:val="00F012EB"/>
    <w:rsid w:val="00F017D6"/>
    <w:rsid w:val="00F01A2A"/>
    <w:rsid w:val="00F023DF"/>
    <w:rsid w:val="00F0274D"/>
    <w:rsid w:val="00F02848"/>
    <w:rsid w:val="00F03531"/>
    <w:rsid w:val="00F03A2B"/>
    <w:rsid w:val="00F043FD"/>
    <w:rsid w:val="00F04888"/>
    <w:rsid w:val="00F04BDE"/>
    <w:rsid w:val="00F05303"/>
    <w:rsid w:val="00F053C5"/>
    <w:rsid w:val="00F0572E"/>
    <w:rsid w:val="00F06099"/>
    <w:rsid w:val="00F101E6"/>
    <w:rsid w:val="00F10AC0"/>
    <w:rsid w:val="00F11AFC"/>
    <w:rsid w:val="00F12A1A"/>
    <w:rsid w:val="00F12FE1"/>
    <w:rsid w:val="00F13D72"/>
    <w:rsid w:val="00F150E6"/>
    <w:rsid w:val="00F15820"/>
    <w:rsid w:val="00F16C4F"/>
    <w:rsid w:val="00F17E8C"/>
    <w:rsid w:val="00F200C1"/>
    <w:rsid w:val="00F201BE"/>
    <w:rsid w:val="00F203D4"/>
    <w:rsid w:val="00F20F93"/>
    <w:rsid w:val="00F22B9C"/>
    <w:rsid w:val="00F22DFD"/>
    <w:rsid w:val="00F23919"/>
    <w:rsid w:val="00F25B21"/>
    <w:rsid w:val="00F270E7"/>
    <w:rsid w:val="00F305B8"/>
    <w:rsid w:val="00F31499"/>
    <w:rsid w:val="00F314A5"/>
    <w:rsid w:val="00F3193D"/>
    <w:rsid w:val="00F31DE0"/>
    <w:rsid w:val="00F32CE0"/>
    <w:rsid w:val="00F33CC7"/>
    <w:rsid w:val="00F3438A"/>
    <w:rsid w:val="00F3469A"/>
    <w:rsid w:val="00F363E4"/>
    <w:rsid w:val="00F364C1"/>
    <w:rsid w:val="00F36542"/>
    <w:rsid w:val="00F36EC2"/>
    <w:rsid w:val="00F374D9"/>
    <w:rsid w:val="00F40172"/>
    <w:rsid w:val="00F40613"/>
    <w:rsid w:val="00F432FE"/>
    <w:rsid w:val="00F44485"/>
    <w:rsid w:val="00F450D5"/>
    <w:rsid w:val="00F461E2"/>
    <w:rsid w:val="00F50744"/>
    <w:rsid w:val="00F5134D"/>
    <w:rsid w:val="00F5259A"/>
    <w:rsid w:val="00F5265E"/>
    <w:rsid w:val="00F52760"/>
    <w:rsid w:val="00F52C7D"/>
    <w:rsid w:val="00F5302E"/>
    <w:rsid w:val="00F535FB"/>
    <w:rsid w:val="00F5451D"/>
    <w:rsid w:val="00F5631E"/>
    <w:rsid w:val="00F577DC"/>
    <w:rsid w:val="00F57D60"/>
    <w:rsid w:val="00F60157"/>
    <w:rsid w:val="00F605E8"/>
    <w:rsid w:val="00F6070E"/>
    <w:rsid w:val="00F60F76"/>
    <w:rsid w:val="00F6281B"/>
    <w:rsid w:val="00F62986"/>
    <w:rsid w:val="00F65357"/>
    <w:rsid w:val="00F66025"/>
    <w:rsid w:val="00F6663E"/>
    <w:rsid w:val="00F667AC"/>
    <w:rsid w:val="00F67205"/>
    <w:rsid w:val="00F71342"/>
    <w:rsid w:val="00F714F1"/>
    <w:rsid w:val="00F71ADF"/>
    <w:rsid w:val="00F71F96"/>
    <w:rsid w:val="00F73BE3"/>
    <w:rsid w:val="00F73E00"/>
    <w:rsid w:val="00F73F69"/>
    <w:rsid w:val="00F74683"/>
    <w:rsid w:val="00F74945"/>
    <w:rsid w:val="00F76BB8"/>
    <w:rsid w:val="00F77070"/>
    <w:rsid w:val="00F77606"/>
    <w:rsid w:val="00F77958"/>
    <w:rsid w:val="00F77999"/>
    <w:rsid w:val="00F8133D"/>
    <w:rsid w:val="00F82836"/>
    <w:rsid w:val="00F83758"/>
    <w:rsid w:val="00F84BB2"/>
    <w:rsid w:val="00F853D3"/>
    <w:rsid w:val="00F863E3"/>
    <w:rsid w:val="00F864E5"/>
    <w:rsid w:val="00F914AE"/>
    <w:rsid w:val="00F92A32"/>
    <w:rsid w:val="00F92E7D"/>
    <w:rsid w:val="00F9305D"/>
    <w:rsid w:val="00F94D48"/>
    <w:rsid w:val="00F94DC6"/>
    <w:rsid w:val="00F9509D"/>
    <w:rsid w:val="00F95150"/>
    <w:rsid w:val="00F95199"/>
    <w:rsid w:val="00F951DA"/>
    <w:rsid w:val="00F95B83"/>
    <w:rsid w:val="00F9634E"/>
    <w:rsid w:val="00F97E14"/>
    <w:rsid w:val="00FA09E5"/>
    <w:rsid w:val="00FA42F8"/>
    <w:rsid w:val="00FA5406"/>
    <w:rsid w:val="00FA56E9"/>
    <w:rsid w:val="00FA5811"/>
    <w:rsid w:val="00FA603A"/>
    <w:rsid w:val="00FA644A"/>
    <w:rsid w:val="00FA68AF"/>
    <w:rsid w:val="00FA6D40"/>
    <w:rsid w:val="00FA7037"/>
    <w:rsid w:val="00FB0FFD"/>
    <w:rsid w:val="00FB1818"/>
    <w:rsid w:val="00FB22CA"/>
    <w:rsid w:val="00FB56E7"/>
    <w:rsid w:val="00FB76DC"/>
    <w:rsid w:val="00FC01C2"/>
    <w:rsid w:val="00FC01DC"/>
    <w:rsid w:val="00FC15C3"/>
    <w:rsid w:val="00FC248E"/>
    <w:rsid w:val="00FC255F"/>
    <w:rsid w:val="00FC362E"/>
    <w:rsid w:val="00FC4093"/>
    <w:rsid w:val="00FC586F"/>
    <w:rsid w:val="00FC64B2"/>
    <w:rsid w:val="00FC7592"/>
    <w:rsid w:val="00FD0E26"/>
    <w:rsid w:val="00FD12AF"/>
    <w:rsid w:val="00FD13E7"/>
    <w:rsid w:val="00FD1A4A"/>
    <w:rsid w:val="00FD1BEE"/>
    <w:rsid w:val="00FD3275"/>
    <w:rsid w:val="00FD3C37"/>
    <w:rsid w:val="00FD4BB4"/>
    <w:rsid w:val="00FD4CB9"/>
    <w:rsid w:val="00FD5F74"/>
    <w:rsid w:val="00FD67BA"/>
    <w:rsid w:val="00FD7226"/>
    <w:rsid w:val="00FD79FF"/>
    <w:rsid w:val="00FD7B6C"/>
    <w:rsid w:val="00FE1433"/>
    <w:rsid w:val="00FE18A9"/>
    <w:rsid w:val="00FE1B4B"/>
    <w:rsid w:val="00FE214B"/>
    <w:rsid w:val="00FE2CC8"/>
    <w:rsid w:val="00FE3B54"/>
    <w:rsid w:val="00FE6137"/>
    <w:rsid w:val="00FE67B4"/>
    <w:rsid w:val="00FE6AB9"/>
    <w:rsid w:val="00FE7CDC"/>
    <w:rsid w:val="00FF06E4"/>
    <w:rsid w:val="00FF0956"/>
    <w:rsid w:val="00FF2026"/>
    <w:rsid w:val="00FF22B3"/>
    <w:rsid w:val="00FF2727"/>
    <w:rsid w:val="00FF2A6F"/>
    <w:rsid w:val="00FF314C"/>
    <w:rsid w:val="00FF3A8E"/>
    <w:rsid w:val="00FF4264"/>
    <w:rsid w:val="00FF499A"/>
    <w:rsid w:val="00FF5B4D"/>
    <w:rsid w:val="00FF63CC"/>
    <w:rsid w:val="00FF7B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B516E"/>
  <w15:chartTrackingRefBased/>
  <w15:docId w15:val="{74A573F1-A03C-44D1-A9EE-068664CC0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54A"/>
    <w:pPr>
      <w:spacing w:line="360" w:lineRule="auto"/>
    </w:pPr>
    <w:rPr>
      <w:rFonts w:ascii="Verdana" w:hAnsi="Verdana" w:cstheme="minorBidi"/>
      <w:sz w:val="18"/>
      <w:szCs w:val="22"/>
    </w:rPr>
  </w:style>
  <w:style w:type="paragraph" w:styleId="Kop1">
    <w:name w:val="heading 1"/>
    <w:aliases w:val="Kop 1 BP24"/>
    <w:basedOn w:val="Standaard"/>
    <w:next w:val="Standaard"/>
    <w:link w:val="Kop1Char"/>
    <w:uiPriority w:val="9"/>
    <w:qFormat/>
    <w:rsid w:val="00AB06C1"/>
    <w:pPr>
      <w:keepNext/>
      <w:keepLines/>
      <w:spacing w:before="240"/>
      <w:outlineLvl w:val="0"/>
    </w:pPr>
    <w:rPr>
      <w:rFonts w:eastAsiaTheme="majorEastAsia" w:cstheme="majorBidi"/>
      <w:b/>
      <w:sz w:val="32"/>
      <w:szCs w:val="32"/>
    </w:rPr>
  </w:style>
  <w:style w:type="paragraph" w:styleId="Kop2">
    <w:name w:val="heading 2"/>
    <w:aliases w:val="Kop 2 BP24,Kop 2 BP"/>
    <w:basedOn w:val="Standaard"/>
    <w:next w:val="Standaard"/>
    <w:link w:val="Kop2Char"/>
    <w:uiPriority w:val="9"/>
    <w:unhideWhenUsed/>
    <w:qFormat/>
    <w:rsid w:val="00DB6277"/>
    <w:pPr>
      <w:keepNext/>
      <w:keepLines/>
      <w:numPr>
        <w:numId w:val="1"/>
      </w:numPr>
      <w:spacing w:before="40"/>
      <w:outlineLvl w:val="1"/>
    </w:pPr>
    <w:rPr>
      <w:rFonts w:eastAsiaTheme="majorEastAsia" w:cstheme="majorBidi"/>
      <w:b/>
      <w:szCs w:val="26"/>
    </w:rPr>
  </w:style>
  <w:style w:type="paragraph" w:styleId="Kop3">
    <w:name w:val="heading 3"/>
    <w:aliases w:val="Kop 3 BP24"/>
    <w:basedOn w:val="Standaard"/>
    <w:next w:val="Standaard"/>
    <w:link w:val="Kop3Char"/>
    <w:uiPriority w:val="9"/>
    <w:unhideWhenUsed/>
    <w:qFormat/>
    <w:rsid w:val="00AB4F2C"/>
    <w:pPr>
      <w:keepNext/>
      <w:keepLines/>
      <w:numPr>
        <w:numId w:val="4"/>
      </w:numPr>
      <w:spacing w:before="40"/>
      <w:outlineLvl w:val="2"/>
    </w:pPr>
    <w:rPr>
      <w:rFonts w:eastAsiaTheme="majorEastAsia" w:cstheme="majorBidi"/>
      <w:szCs w:val="24"/>
    </w:rPr>
  </w:style>
  <w:style w:type="paragraph" w:styleId="Kop4">
    <w:name w:val="heading 4"/>
    <w:basedOn w:val="Standaard"/>
    <w:next w:val="Standaard"/>
    <w:link w:val="Kop4Char"/>
    <w:uiPriority w:val="9"/>
    <w:semiHidden/>
    <w:unhideWhenUsed/>
    <w:qFormat/>
    <w:rsid w:val="0095546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BP24 Char"/>
    <w:basedOn w:val="Standaardalinea-lettertype"/>
    <w:link w:val="Kop1"/>
    <w:uiPriority w:val="9"/>
    <w:rsid w:val="00AB06C1"/>
    <w:rPr>
      <w:rFonts w:ascii="Verdana" w:eastAsiaTheme="majorEastAsia" w:hAnsi="Verdana" w:cstheme="majorBidi"/>
      <w:b/>
      <w:sz w:val="32"/>
      <w:szCs w:val="32"/>
    </w:rPr>
  </w:style>
  <w:style w:type="character" w:customStyle="1" w:styleId="Kop2Char">
    <w:name w:val="Kop 2 Char"/>
    <w:aliases w:val="Kop 2 BP24 Char,Kop 2 BP Char"/>
    <w:basedOn w:val="Standaardalinea-lettertype"/>
    <w:link w:val="Kop2"/>
    <w:uiPriority w:val="9"/>
    <w:rsid w:val="00DB6277"/>
    <w:rPr>
      <w:rFonts w:ascii="Verdana" w:eastAsiaTheme="majorEastAsia" w:hAnsi="Verdana" w:cstheme="majorBidi"/>
      <w:b/>
      <w:sz w:val="18"/>
      <w:szCs w:val="26"/>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L"/>
    <w:basedOn w:val="Standaard"/>
    <w:link w:val="LijstalineaChar"/>
    <w:uiPriority w:val="34"/>
    <w:qFormat/>
    <w:rsid w:val="003E1991"/>
    <w:pPr>
      <w:ind w:left="720"/>
      <w:contextualSpacing/>
    </w:p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L Char"/>
    <w:basedOn w:val="Standaardalinea-lettertype"/>
    <w:link w:val="Lijstalinea"/>
    <w:uiPriority w:val="34"/>
    <w:qFormat/>
    <w:locked/>
    <w:rsid w:val="003E1991"/>
    <w:rPr>
      <w:rFonts w:ascii="Verdana" w:hAnsi="Verdana" w:cstheme="minorBidi"/>
      <w:sz w:val="18"/>
      <w:szCs w:val="22"/>
    </w:rPr>
  </w:style>
  <w:style w:type="paragraph" w:styleId="Voetnoottekst">
    <w:name w:val="footnote text"/>
    <w:aliases w:val="Voetnoottekst Char2 Char,Voetnoottekst Char1 Char Char,Voetnoottekst Char3 Char Char Char,Voetnoottekst Char2 Char Char Char Char,Voetnoottekst Char1 Char Char Char Char Char,Voetnoottekst Char2,Voetnoottekst Char1 Char,Footnote text,Char"/>
    <w:basedOn w:val="Standaard"/>
    <w:link w:val="VoetnoottekstChar"/>
    <w:uiPriority w:val="99"/>
    <w:unhideWhenUsed/>
    <w:rsid w:val="003E1991"/>
    <w:pPr>
      <w:spacing w:line="240" w:lineRule="auto"/>
    </w:pPr>
    <w:rPr>
      <w:sz w:val="20"/>
      <w:szCs w:val="20"/>
    </w:rPr>
  </w:style>
  <w:style w:type="character" w:customStyle="1" w:styleId="VoetnoottekstChar">
    <w:name w:val="Voetnoottekst Char"/>
    <w:aliases w:val="Voetnoottekst Char2 Char Char,Voetnoottekst Char1 Char Char Char,Voetnoottekst Char3 Char Char Char Char,Voetnoottekst Char2 Char Char Char Char Char,Voetnoottekst Char1 Char Char Char Char Char Char,Voetnoottekst Char2 Char1"/>
    <w:basedOn w:val="Standaardalinea-lettertype"/>
    <w:link w:val="Voetnoottekst"/>
    <w:uiPriority w:val="99"/>
    <w:rsid w:val="003E1991"/>
    <w:rPr>
      <w:rFonts w:ascii="Verdana" w:hAnsi="Verdana" w:cstheme="minorBidi"/>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link w:val="Char1CharCharCarCarCarCarCarCarCarCarCarCar"/>
    <w:uiPriority w:val="99"/>
    <w:unhideWhenUsed/>
    <w:qFormat/>
    <w:rsid w:val="003E1991"/>
    <w:rPr>
      <w:vertAlign w:val="superscript"/>
    </w:rPr>
  </w:style>
  <w:style w:type="paragraph" w:customStyle="1" w:styleId="Char1CharCharCarCarCarCarCarCarCarCarCarCar">
    <w:name w:val="Char1 Char Char Car Car Car Car Car Car Car Car Car Car"/>
    <w:basedOn w:val="Standaard"/>
    <w:next w:val="Standaard"/>
    <w:link w:val="Voetnootmarkering"/>
    <w:uiPriority w:val="99"/>
    <w:rsid w:val="003E1991"/>
    <w:pPr>
      <w:spacing w:after="160" w:line="240" w:lineRule="exact"/>
    </w:pPr>
    <w:rPr>
      <w:rFonts w:ascii="Times New Roman" w:hAnsi="Times New Roman" w:cs="Times New Roman"/>
      <w:sz w:val="20"/>
      <w:szCs w:val="20"/>
      <w:vertAlign w:val="superscript"/>
    </w:rPr>
  </w:style>
  <w:style w:type="character" w:customStyle="1" w:styleId="Kop3Char">
    <w:name w:val="Kop 3 Char"/>
    <w:aliases w:val="Kop 3 BP24 Char"/>
    <w:basedOn w:val="Standaardalinea-lettertype"/>
    <w:link w:val="Kop3"/>
    <w:uiPriority w:val="9"/>
    <w:rsid w:val="00476BA8"/>
    <w:rPr>
      <w:rFonts w:ascii="Verdana" w:eastAsiaTheme="majorEastAsia" w:hAnsi="Verdana" w:cstheme="majorBidi"/>
      <w:sz w:val="18"/>
      <w:szCs w:val="24"/>
    </w:rPr>
  </w:style>
  <w:style w:type="paragraph" w:styleId="Kopvaninhoudsopgave">
    <w:name w:val="TOC Heading"/>
    <w:basedOn w:val="Kop1"/>
    <w:next w:val="Standaard"/>
    <w:uiPriority w:val="39"/>
    <w:unhideWhenUsed/>
    <w:qFormat/>
    <w:rsid w:val="004F305D"/>
    <w:pPr>
      <w:spacing w:line="259" w:lineRule="auto"/>
      <w:outlineLvl w:val="9"/>
    </w:pPr>
    <w:rPr>
      <w:rFonts w:asciiTheme="majorHAnsi" w:hAnsiTheme="majorHAnsi"/>
      <w:b w:val="0"/>
      <w:color w:val="2F5496" w:themeColor="accent1" w:themeShade="BF"/>
      <w:lang w:eastAsia="nl-NL"/>
    </w:rPr>
  </w:style>
  <w:style w:type="paragraph" w:styleId="Inhopg1">
    <w:name w:val="toc 1"/>
    <w:basedOn w:val="Standaard"/>
    <w:next w:val="Standaard"/>
    <w:autoRedefine/>
    <w:uiPriority w:val="39"/>
    <w:unhideWhenUsed/>
    <w:rsid w:val="00033543"/>
    <w:pPr>
      <w:tabs>
        <w:tab w:val="left" w:pos="660"/>
        <w:tab w:val="right" w:leader="dot" w:pos="9062"/>
      </w:tabs>
      <w:spacing w:after="100"/>
    </w:pPr>
  </w:style>
  <w:style w:type="paragraph" w:styleId="Inhopg2">
    <w:name w:val="toc 2"/>
    <w:basedOn w:val="Standaard"/>
    <w:next w:val="Standaard"/>
    <w:autoRedefine/>
    <w:uiPriority w:val="39"/>
    <w:unhideWhenUsed/>
    <w:rsid w:val="00FA603A"/>
    <w:pPr>
      <w:tabs>
        <w:tab w:val="left" w:pos="660"/>
        <w:tab w:val="right" w:leader="dot" w:pos="9062"/>
      </w:tabs>
      <w:spacing w:after="100"/>
      <w:ind w:left="180"/>
    </w:pPr>
  </w:style>
  <w:style w:type="paragraph" w:styleId="Inhopg3">
    <w:name w:val="toc 3"/>
    <w:basedOn w:val="Standaard"/>
    <w:next w:val="Standaard"/>
    <w:autoRedefine/>
    <w:uiPriority w:val="39"/>
    <w:unhideWhenUsed/>
    <w:rsid w:val="002040B9"/>
    <w:pPr>
      <w:tabs>
        <w:tab w:val="left" w:pos="880"/>
        <w:tab w:val="right" w:leader="dot" w:pos="9062"/>
      </w:tabs>
      <w:spacing w:after="100"/>
      <w:ind w:left="360"/>
    </w:pPr>
  </w:style>
  <w:style w:type="character" w:styleId="Hyperlink">
    <w:name w:val="Hyperlink"/>
    <w:basedOn w:val="Standaardalinea-lettertype"/>
    <w:uiPriority w:val="99"/>
    <w:unhideWhenUsed/>
    <w:rsid w:val="004F305D"/>
    <w:rPr>
      <w:color w:val="0563C1" w:themeColor="hyperlink"/>
      <w:u w:val="single"/>
    </w:rPr>
  </w:style>
  <w:style w:type="table" w:styleId="Tabelraster">
    <w:name w:val="Table Grid"/>
    <w:basedOn w:val="Standaardtabel"/>
    <w:uiPriority w:val="39"/>
    <w:rsid w:val="003226D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5donker-Accent1">
    <w:name w:val="Grid Table 5 Dark Accent 1"/>
    <w:basedOn w:val="Standaardtabel"/>
    <w:uiPriority w:val="50"/>
    <w:rsid w:val="003226D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Geenafstand">
    <w:name w:val="No Spacing"/>
    <w:uiPriority w:val="1"/>
    <w:qFormat/>
    <w:rsid w:val="005C4731"/>
    <w:rPr>
      <w:rFonts w:asciiTheme="minorHAnsi" w:hAnsiTheme="minorHAnsi" w:cstheme="minorBidi"/>
      <w:sz w:val="22"/>
      <w:szCs w:val="22"/>
    </w:rPr>
  </w:style>
  <w:style w:type="table" w:styleId="Rastertabel4-Accent1">
    <w:name w:val="Grid Table 4 Accent 1"/>
    <w:basedOn w:val="Standaardtabel"/>
    <w:uiPriority w:val="49"/>
    <w:rsid w:val="007F1A24"/>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Verwijzingopmerking">
    <w:name w:val="annotation reference"/>
    <w:basedOn w:val="Standaardalinea-lettertype"/>
    <w:uiPriority w:val="99"/>
    <w:semiHidden/>
    <w:unhideWhenUsed/>
    <w:rsid w:val="008B43E1"/>
    <w:rPr>
      <w:sz w:val="16"/>
      <w:szCs w:val="16"/>
    </w:rPr>
  </w:style>
  <w:style w:type="paragraph" w:styleId="Tekstopmerking">
    <w:name w:val="annotation text"/>
    <w:basedOn w:val="Standaard"/>
    <w:link w:val="TekstopmerkingChar"/>
    <w:uiPriority w:val="99"/>
    <w:unhideWhenUsed/>
    <w:rsid w:val="008B43E1"/>
    <w:pPr>
      <w:spacing w:after="160" w:line="240" w:lineRule="auto"/>
    </w:pPr>
    <w:rPr>
      <w:sz w:val="20"/>
      <w:szCs w:val="20"/>
      <w:lang w:val="en-US"/>
    </w:rPr>
  </w:style>
  <w:style w:type="character" w:customStyle="1" w:styleId="TekstopmerkingChar">
    <w:name w:val="Tekst opmerking Char"/>
    <w:basedOn w:val="Standaardalinea-lettertype"/>
    <w:link w:val="Tekstopmerking"/>
    <w:uiPriority w:val="99"/>
    <w:rsid w:val="008B43E1"/>
    <w:rPr>
      <w:rFonts w:ascii="Verdana" w:hAnsi="Verdana" w:cstheme="minorBidi"/>
      <w:lang w:val="en-US"/>
    </w:rPr>
  </w:style>
  <w:style w:type="paragraph" w:styleId="Koptekst">
    <w:name w:val="header"/>
    <w:basedOn w:val="Standaard"/>
    <w:link w:val="KoptekstChar"/>
    <w:uiPriority w:val="99"/>
    <w:unhideWhenUsed/>
    <w:rsid w:val="002904B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904B4"/>
    <w:rPr>
      <w:rFonts w:ascii="Verdana" w:hAnsi="Verdana" w:cstheme="minorBidi"/>
      <w:sz w:val="18"/>
      <w:szCs w:val="22"/>
    </w:rPr>
  </w:style>
  <w:style w:type="paragraph" w:styleId="Voettekst">
    <w:name w:val="footer"/>
    <w:basedOn w:val="Standaard"/>
    <w:link w:val="VoettekstChar"/>
    <w:uiPriority w:val="99"/>
    <w:unhideWhenUsed/>
    <w:rsid w:val="002904B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904B4"/>
    <w:rPr>
      <w:rFonts w:ascii="Verdana" w:hAnsi="Verdana" w:cstheme="minorBidi"/>
      <w:sz w:val="18"/>
      <w:szCs w:val="22"/>
    </w:rPr>
  </w:style>
  <w:style w:type="paragraph" w:styleId="Onderwerpvanopmerking">
    <w:name w:val="annotation subject"/>
    <w:basedOn w:val="Tekstopmerking"/>
    <w:next w:val="Tekstopmerking"/>
    <w:link w:val="OnderwerpvanopmerkingChar"/>
    <w:uiPriority w:val="99"/>
    <w:semiHidden/>
    <w:unhideWhenUsed/>
    <w:rsid w:val="0042095A"/>
    <w:pPr>
      <w:spacing w:after="0"/>
    </w:pPr>
    <w:rPr>
      <w:b/>
      <w:bCs/>
      <w:lang w:val="nl-NL"/>
    </w:rPr>
  </w:style>
  <w:style w:type="character" w:customStyle="1" w:styleId="OnderwerpvanopmerkingChar">
    <w:name w:val="Onderwerp van opmerking Char"/>
    <w:basedOn w:val="TekstopmerkingChar"/>
    <w:link w:val="Onderwerpvanopmerking"/>
    <w:uiPriority w:val="99"/>
    <w:semiHidden/>
    <w:rsid w:val="0042095A"/>
    <w:rPr>
      <w:rFonts w:ascii="Verdana" w:hAnsi="Verdana" w:cstheme="minorBidi"/>
      <w:b/>
      <w:bCs/>
      <w:lang w:val="en-US"/>
    </w:rPr>
  </w:style>
  <w:style w:type="paragraph" w:styleId="Revisie">
    <w:name w:val="Revision"/>
    <w:hidden/>
    <w:uiPriority w:val="99"/>
    <w:semiHidden/>
    <w:rsid w:val="00431102"/>
    <w:rPr>
      <w:rFonts w:ascii="Verdana" w:hAnsi="Verdana" w:cstheme="minorBidi"/>
      <w:sz w:val="18"/>
      <w:szCs w:val="22"/>
    </w:rPr>
  </w:style>
  <w:style w:type="character" w:styleId="GevolgdeHyperlink">
    <w:name w:val="FollowedHyperlink"/>
    <w:basedOn w:val="Standaardalinea-lettertype"/>
    <w:uiPriority w:val="99"/>
    <w:semiHidden/>
    <w:unhideWhenUsed/>
    <w:rsid w:val="00E40040"/>
    <w:rPr>
      <w:color w:val="954F72" w:themeColor="followedHyperlink"/>
      <w:u w:val="single"/>
    </w:rPr>
  </w:style>
  <w:style w:type="table" w:customStyle="1" w:styleId="Rastertabel4-Accent11">
    <w:name w:val="Rastertabel 4 - Accent 11"/>
    <w:basedOn w:val="Standaardtabel"/>
    <w:next w:val="Rastertabel4-Accent1"/>
    <w:uiPriority w:val="49"/>
    <w:rsid w:val="008F0583"/>
    <w:rPr>
      <w:rFonts w:asciiTheme="minorHAnsi" w:hAnsiTheme="minorHAnsi" w:cstheme="minorBid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Kop4Char">
    <w:name w:val="Kop 4 Char"/>
    <w:basedOn w:val="Standaardalinea-lettertype"/>
    <w:link w:val="Kop4"/>
    <w:uiPriority w:val="9"/>
    <w:semiHidden/>
    <w:rsid w:val="00955465"/>
    <w:rPr>
      <w:rFonts w:asciiTheme="majorHAnsi" w:eastAsiaTheme="majorEastAsia" w:hAnsiTheme="majorHAnsi" w:cstheme="majorBidi"/>
      <w:i/>
      <w:iCs/>
      <w:color w:val="2F5496" w:themeColor="accent1" w:themeShade="BF"/>
      <w:sz w:val="18"/>
      <w:szCs w:val="22"/>
    </w:rPr>
  </w:style>
  <w:style w:type="table" w:customStyle="1" w:styleId="Rastertabel4-Accent51">
    <w:name w:val="Rastertabel 4 - Accent 51"/>
    <w:basedOn w:val="Standaardtabel"/>
    <w:next w:val="Rastertabel4-Accent5"/>
    <w:uiPriority w:val="49"/>
    <w:rsid w:val="00595B67"/>
    <w:rPr>
      <w:rFonts w:ascii="Verdana" w:hAnsi="Verdana"/>
      <w:sz w:val="18"/>
      <w:szCs w:val="22"/>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Rastertabel4-Accent5">
    <w:name w:val="Grid Table 4 Accent 5"/>
    <w:basedOn w:val="Standaardtabel"/>
    <w:uiPriority w:val="49"/>
    <w:rsid w:val="00595B6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Rastertabel4-Accent52">
    <w:name w:val="Rastertabel 4 - Accent 52"/>
    <w:basedOn w:val="Standaardtabel"/>
    <w:next w:val="Rastertabel4-Accent5"/>
    <w:uiPriority w:val="49"/>
    <w:rsid w:val="00595B67"/>
    <w:rPr>
      <w:rFonts w:ascii="Verdana" w:hAnsi="Verdana"/>
      <w:sz w:val="18"/>
      <w:szCs w:val="22"/>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3">
    <w:name w:val="Rastertabel 4 - Accent 53"/>
    <w:basedOn w:val="Standaardtabel"/>
    <w:next w:val="Rastertabel4-Accent5"/>
    <w:uiPriority w:val="49"/>
    <w:rsid w:val="00595B67"/>
    <w:rPr>
      <w:rFonts w:ascii="Verdana" w:hAnsi="Verdana"/>
      <w:sz w:val="18"/>
      <w:szCs w:val="22"/>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Onopgelostemelding">
    <w:name w:val="Unresolved Mention"/>
    <w:basedOn w:val="Standaardalinea-lettertype"/>
    <w:uiPriority w:val="99"/>
    <w:semiHidden/>
    <w:unhideWhenUsed/>
    <w:rsid w:val="003B7D50"/>
    <w:rPr>
      <w:color w:val="605E5C"/>
      <w:shd w:val="clear" w:color="auto" w:fill="E1DFDD"/>
    </w:rPr>
  </w:style>
  <w:style w:type="table" w:styleId="Rastertabel4">
    <w:name w:val="Grid Table 4"/>
    <w:basedOn w:val="Standaardtabel"/>
    <w:uiPriority w:val="49"/>
    <w:rsid w:val="00F71342"/>
    <w:rPr>
      <w:rFonts w:ascii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1licht-Accent2">
    <w:name w:val="Grid Table 1 Light Accent 2"/>
    <w:basedOn w:val="Standaardtabel"/>
    <w:uiPriority w:val="46"/>
    <w:rsid w:val="0074675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elraster1">
    <w:name w:val="Tabelraster1"/>
    <w:next w:val="Tabelraster"/>
    <w:uiPriority w:val="39"/>
    <w:rsid w:val="00540F3D"/>
    <w:pPr>
      <w:autoSpaceDN w:val="0"/>
    </w:pPr>
    <w:rPr>
      <w:rFonts w:ascii="Verdana" w:eastAsia="DejaVu Sans" w:hAnsi="Verdana" w:cs="Lohit Hindi"/>
      <w:color w:val="000000"/>
      <w:sz w:val="18"/>
      <w:szCs w:val="18"/>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b w:val="0"/>
      </w:rPr>
    </w:tblStylePr>
  </w:style>
  <w:style w:type="table" w:styleId="Rastertabel5donker-Accent5">
    <w:name w:val="Grid Table 5 Dark Accent 5"/>
    <w:basedOn w:val="Standaardtabel"/>
    <w:uiPriority w:val="50"/>
    <w:rsid w:val="00F77606"/>
    <w:rPr>
      <w:rFonts w:ascii="Verdana" w:hAnsi="Verdana" w:cstheme="minorBidi"/>
      <w:sz w:val="18"/>
      <w:szCs w:val="22"/>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Rastertabel4-Accent2">
    <w:name w:val="Grid Table 4 Accent 2"/>
    <w:basedOn w:val="Standaardtabel"/>
    <w:uiPriority w:val="49"/>
    <w:rsid w:val="00F77606"/>
    <w:rPr>
      <w:rFonts w:asciiTheme="minorHAnsi" w:hAnsiTheme="minorHAnsi" w:cstheme="minorBidi"/>
      <w:sz w:val="22"/>
      <w:szCs w:val="22"/>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Rastertabel4-Accent54">
    <w:name w:val="Rastertabel 4 - Accent 54"/>
    <w:basedOn w:val="Standaardtabel"/>
    <w:next w:val="Rastertabel4-Accent5"/>
    <w:uiPriority w:val="49"/>
    <w:rsid w:val="00D00F4E"/>
    <w:rPr>
      <w:rFonts w:ascii="Verdana" w:hAnsi="Verdana"/>
      <w:sz w:val="18"/>
      <w:szCs w:val="22"/>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Artikel">
    <w:name w:val="Artikel"/>
    <w:basedOn w:val="Standaard"/>
    <w:next w:val="Standaard"/>
    <w:rsid w:val="00A86444"/>
    <w:pPr>
      <w:ind w:firstLine="709"/>
    </w:pPr>
    <w:rPr>
      <w:rFonts w:eastAsia="Times New Roman" w:cs="Times New Roman"/>
      <w:b/>
      <w:szCs w:val="20"/>
      <w:lang w:eastAsia="nl-NL"/>
    </w:rPr>
  </w:style>
  <w:style w:type="paragraph" w:customStyle="1" w:styleId="Toelichting">
    <w:name w:val="Toelichting"/>
    <w:basedOn w:val="Standaard"/>
    <w:next w:val="Standaard"/>
    <w:rsid w:val="00A86444"/>
    <w:pPr>
      <w:ind w:firstLine="709"/>
    </w:pPr>
    <w:rPr>
      <w:rFonts w:eastAsia="Times New Roman" w:cs="Times New Roman"/>
      <w:i/>
      <w:szCs w:val="20"/>
      <w:lang w:eastAsia="nl-NL"/>
    </w:rPr>
  </w:style>
  <w:style w:type="table" w:customStyle="1" w:styleId="Tabelraster2">
    <w:name w:val="Tabelraster2"/>
    <w:basedOn w:val="Standaardtabel"/>
    <w:next w:val="Tabelraster"/>
    <w:uiPriority w:val="39"/>
    <w:rsid w:val="008E6C7E"/>
    <w:rPr>
      <w:rFonts w:ascii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CD3EB6"/>
    <w:rPr>
      <w:rFonts w:ascii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stertabel4-Accent55">
    <w:name w:val="Rastertabel 4 - Accent 55"/>
    <w:basedOn w:val="Standaardtabel"/>
    <w:next w:val="Rastertabel4-Accent5"/>
    <w:uiPriority w:val="49"/>
    <w:rsid w:val="00041626"/>
    <w:rPr>
      <w:rFonts w:ascii="Verdana" w:hAnsi="Verdana"/>
      <w:kern w:val="2"/>
      <w:sz w:val="18"/>
      <w:szCs w:val="22"/>
      <w:lang w:val="en-US"/>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6">
    <w:name w:val="Rastertabel 4 - Accent 56"/>
    <w:basedOn w:val="Standaardtabel"/>
    <w:next w:val="Rastertabel4-Accent5"/>
    <w:uiPriority w:val="49"/>
    <w:rsid w:val="00DA740C"/>
    <w:rPr>
      <w:rFonts w:ascii="Verdana" w:hAnsi="Verdana"/>
      <w:kern w:val="2"/>
      <w:sz w:val="18"/>
      <w:szCs w:val="22"/>
      <w:lang w:val="en-US"/>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7">
    <w:name w:val="Rastertabel 4 - Accent 57"/>
    <w:basedOn w:val="Standaardtabel"/>
    <w:next w:val="Rastertabel4-Accent5"/>
    <w:uiPriority w:val="49"/>
    <w:rsid w:val="00A56B67"/>
    <w:rPr>
      <w:rFonts w:ascii="Verdana" w:hAnsi="Verdana"/>
      <w:kern w:val="2"/>
      <w:sz w:val="18"/>
      <w:szCs w:val="22"/>
      <w:lang w:val="en-US"/>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Rastertabel4-Accent58">
    <w:name w:val="Rastertabel 4 - Accent 58"/>
    <w:basedOn w:val="Standaardtabel"/>
    <w:next w:val="Rastertabel4-Accent5"/>
    <w:uiPriority w:val="49"/>
    <w:rsid w:val="00DB1459"/>
    <w:rPr>
      <w:rFonts w:ascii="Verdana" w:hAnsi="Verdana"/>
      <w:sz w:val="18"/>
      <w:szCs w:val="22"/>
      <w:lang w:val="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Default">
    <w:name w:val="Default"/>
    <w:rsid w:val="006F7CB1"/>
    <w:pPr>
      <w:autoSpaceDE w:val="0"/>
      <w:autoSpaceDN w:val="0"/>
      <w:adjustRightInd w:val="0"/>
    </w:pPr>
    <w:rPr>
      <w:rFonts w:ascii="Verdana" w:hAnsi="Verdana" w:cs="Verdana"/>
      <w:color w:val="000000"/>
      <w:sz w:val="24"/>
      <w:szCs w:val="24"/>
      <w14:ligatures w14:val="standardContextual"/>
    </w:rPr>
  </w:style>
  <w:style w:type="paragraph" w:customStyle="1" w:styleId="lid">
    <w:name w:val="lid"/>
    <w:basedOn w:val="Standaard"/>
    <w:rsid w:val="00607AD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ijschrift">
    <w:name w:val="caption"/>
    <w:basedOn w:val="Standaard"/>
    <w:next w:val="Standaard"/>
    <w:uiPriority w:val="35"/>
    <w:unhideWhenUsed/>
    <w:qFormat/>
    <w:rsid w:val="00056071"/>
    <w:pPr>
      <w:spacing w:after="200" w:line="240" w:lineRule="auto"/>
    </w:pPr>
    <w:rPr>
      <w:i/>
      <w:iCs/>
      <w:color w:val="44546A" w:themeColor="text2"/>
      <w:kern w:val="2"/>
      <w:szCs w:val="18"/>
      <w:lang w:val="en-US"/>
      <w14:ligatures w14:val="standardContextual"/>
    </w:rPr>
  </w:style>
  <w:style w:type="paragraph" w:styleId="Normaalweb">
    <w:name w:val="Normal (Web)"/>
    <w:basedOn w:val="Standaard"/>
    <w:uiPriority w:val="99"/>
    <w:semiHidden/>
    <w:unhideWhenUsed/>
    <w:rsid w:val="00501C8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22375">
      <w:bodyDiv w:val="1"/>
      <w:marLeft w:val="0"/>
      <w:marRight w:val="0"/>
      <w:marTop w:val="0"/>
      <w:marBottom w:val="0"/>
      <w:divBdr>
        <w:top w:val="none" w:sz="0" w:space="0" w:color="auto"/>
        <w:left w:val="none" w:sz="0" w:space="0" w:color="auto"/>
        <w:bottom w:val="none" w:sz="0" w:space="0" w:color="auto"/>
        <w:right w:val="none" w:sz="0" w:space="0" w:color="auto"/>
      </w:divBdr>
    </w:div>
    <w:div w:id="95685865">
      <w:bodyDiv w:val="1"/>
      <w:marLeft w:val="0"/>
      <w:marRight w:val="0"/>
      <w:marTop w:val="0"/>
      <w:marBottom w:val="0"/>
      <w:divBdr>
        <w:top w:val="none" w:sz="0" w:space="0" w:color="auto"/>
        <w:left w:val="none" w:sz="0" w:space="0" w:color="auto"/>
        <w:bottom w:val="none" w:sz="0" w:space="0" w:color="auto"/>
        <w:right w:val="none" w:sz="0" w:space="0" w:color="auto"/>
      </w:divBdr>
    </w:div>
    <w:div w:id="96685023">
      <w:bodyDiv w:val="1"/>
      <w:marLeft w:val="0"/>
      <w:marRight w:val="0"/>
      <w:marTop w:val="0"/>
      <w:marBottom w:val="0"/>
      <w:divBdr>
        <w:top w:val="none" w:sz="0" w:space="0" w:color="auto"/>
        <w:left w:val="none" w:sz="0" w:space="0" w:color="auto"/>
        <w:bottom w:val="none" w:sz="0" w:space="0" w:color="auto"/>
        <w:right w:val="none" w:sz="0" w:space="0" w:color="auto"/>
      </w:divBdr>
    </w:div>
    <w:div w:id="132022136">
      <w:bodyDiv w:val="1"/>
      <w:marLeft w:val="0"/>
      <w:marRight w:val="0"/>
      <w:marTop w:val="0"/>
      <w:marBottom w:val="0"/>
      <w:divBdr>
        <w:top w:val="none" w:sz="0" w:space="0" w:color="auto"/>
        <w:left w:val="none" w:sz="0" w:space="0" w:color="auto"/>
        <w:bottom w:val="none" w:sz="0" w:space="0" w:color="auto"/>
        <w:right w:val="none" w:sz="0" w:space="0" w:color="auto"/>
      </w:divBdr>
    </w:div>
    <w:div w:id="132411267">
      <w:bodyDiv w:val="1"/>
      <w:marLeft w:val="0"/>
      <w:marRight w:val="0"/>
      <w:marTop w:val="0"/>
      <w:marBottom w:val="0"/>
      <w:divBdr>
        <w:top w:val="none" w:sz="0" w:space="0" w:color="auto"/>
        <w:left w:val="none" w:sz="0" w:space="0" w:color="auto"/>
        <w:bottom w:val="none" w:sz="0" w:space="0" w:color="auto"/>
        <w:right w:val="none" w:sz="0" w:space="0" w:color="auto"/>
      </w:divBdr>
    </w:div>
    <w:div w:id="137265137">
      <w:bodyDiv w:val="1"/>
      <w:marLeft w:val="0"/>
      <w:marRight w:val="0"/>
      <w:marTop w:val="0"/>
      <w:marBottom w:val="0"/>
      <w:divBdr>
        <w:top w:val="none" w:sz="0" w:space="0" w:color="auto"/>
        <w:left w:val="none" w:sz="0" w:space="0" w:color="auto"/>
        <w:bottom w:val="none" w:sz="0" w:space="0" w:color="auto"/>
        <w:right w:val="none" w:sz="0" w:space="0" w:color="auto"/>
      </w:divBdr>
    </w:div>
    <w:div w:id="202014533">
      <w:bodyDiv w:val="1"/>
      <w:marLeft w:val="0"/>
      <w:marRight w:val="0"/>
      <w:marTop w:val="0"/>
      <w:marBottom w:val="0"/>
      <w:divBdr>
        <w:top w:val="none" w:sz="0" w:space="0" w:color="auto"/>
        <w:left w:val="none" w:sz="0" w:space="0" w:color="auto"/>
        <w:bottom w:val="none" w:sz="0" w:space="0" w:color="auto"/>
        <w:right w:val="none" w:sz="0" w:space="0" w:color="auto"/>
      </w:divBdr>
    </w:div>
    <w:div w:id="211423416">
      <w:bodyDiv w:val="1"/>
      <w:marLeft w:val="0"/>
      <w:marRight w:val="0"/>
      <w:marTop w:val="0"/>
      <w:marBottom w:val="0"/>
      <w:divBdr>
        <w:top w:val="none" w:sz="0" w:space="0" w:color="auto"/>
        <w:left w:val="none" w:sz="0" w:space="0" w:color="auto"/>
        <w:bottom w:val="none" w:sz="0" w:space="0" w:color="auto"/>
        <w:right w:val="none" w:sz="0" w:space="0" w:color="auto"/>
      </w:divBdr>
    </w:div>
    <w:div w:id="264847969">
      <w:bodyDiv w:val="1"/>
      <w:marLeft w:val="0"/>
      <w:marRight w:val="0"/>
      <w:marTop w:val="0"/>
      <w:marBottom w:val="0"/>
      <w:divBdr>
        <w:top w:val="none" w:sz="0" w:space="0" w:color="auto"/>
        <w:left w:val="none" w:sz="0" w:space="0" w:color="auto"/>
        <w:bottom w:val="none" w:sz="0" w:space="0" w:color="auto"/>
        <w:right w:val="none" w:sz="0" w:space="0" w:color="auto"/>
      </w:divBdr>
    </w:div>
    <w:div w:id="270016083">
      <w:bodyDiv w:val="1"/>
      <w:marLeft w:val="0"/>
      <w:marRight w:val="0"/>
      <w:marTop w:val="0"/>
      <w:marBottom w:val="0"/>
      <w:divBdr>
        <w:top w:val="none" w:sz="0" w:space="0" w:color="auto"/>
        <w:left w:val="none" w:sz="0" w:space="0" w:color="auto"/>
        <w:bottom w:val="none" w:sz="0" w:space="0" w:color="auto"/>
        <w:right w:val="none" w:sz="0" w:space="0" w:color="auto"/>
      </w:divBdr>
    </w:div>
    <w:div w:id="348915779">
      <w:bodyDiv w:val="1"/>
      <w:marLeft w:val="0"/>
      <w:marRight w:val="0"/>
      <w:marTop w:val="0"/>
      <w:marBottom w:val="0"/>
      <w:divBdr>
        <w:top w:val="none" w:sz="0" w:space="0" w:color="auto"/>
        <w:left w:val="none" w:sz="0" w:space="0" w:color="auto"/>
        <w:bottom w:val="none" w:sz="0" w:space="0" w:color="auto"/>
        <w:right w:val="none" w:sz="0" w:space="0" w:color="auto"/>
      </w:divBdr>
    </w:div>
    <w:div w:id="427039415">
      <w:bodyDiv w:val="1"/>
      <w:marLeft w:val="0"/>
      <w:marRight w:val="0"/>
      <w:marTop w:val="0"/>
      <w:marBottom w:val="0"/>
      <w:divBdr>
        <w:top w:val="none" w:sz="0" w:space="0" w:color="auto"/>
        <w:left w:val="none" w:sz="0" w:space="0" w:color="auto"/>
        <w:bottom w:val="none" w:sz="0" w:space="0" w:color="auto"/>
        <w:right w:val="none" w:sz="0" w:space="0" w:color="auto"/>
      </w:divBdr>
    </w:div>
    <w:div w:id="430440557">
      <w:bodyDiv w:val="1"/>
      <w:marLeft w:val="0"/>
      <w:marRight w:val="0"/>
      <w:marTop w:val="0"/>
      <w:marBottom w:val="0"/>
      <w:divBdr>
        <w:top w:val="none" w:sz="0" w:space="0" w:color="auto"/>
        <w:left w:val="none" w:sz="0" w:space="0" w:color="auto"/>
        <w:bottom w:val="none" w:sz="0" w:space="0" w:color="auto"/>
        <w:right w:val="none" w:sz="0" w:space="0" w:color="auto"/>
      </w:divBdr>
    </w:div>
    <w:div w:id="476068963">
      <w:bodyDiv w:val="1"/>
      <w:marLeft w:val="0"/>
      <w:marRight w:val="0"/>
      <w:marTop w:val="0"/>
      <w:marBottom w:val="0"/>
      <w:divBdr>
        <w:top w:val="none" w:sz="0" w:space="0" w:color="auto"/>
        <w:left w:val="none" w:sz="0" w:space="0" w:color="auto"/>
        <w:bottom w:val="none" w:sz="0" w:space="0" w:color="auto"/>
        <w:right w:val="none" w:sz="0" w:space="0" w:color="auto"/>
      </w:divBdr>
    </w:div>
    <w:div w:id="507599499">
      <w:bodyDiv w:val="1"/>
      <w:marLeft w:val="0"/>
      <w:marRight w:val="0"/>
      <w:marTop w:val="0"/>
      <w:marBottom w:val="0"/>
      <w:divBdr>
        <w:top w:val="none" w:sz="0" w:space="0" w:color="auto"/>
        <w:left w:val="none" w:sz="0" w:space="0" w:color="auto"/>
        <w:bottom w:val="none" w:sz="0" w:space="0" w:color="auto"/>
        <w:right w:val="none" w:sz="0" w:space="0" w:color="auto"/>
      </w:divBdr>
    </w:div>
    <w:div w:id="533999482">
      <w:bodyDiv w:val="1"/>
      <w:marLeft w:val="0"/>
      <w:marRight w:val="0"/>
      <w:marTop w:val="0"/>
      <w:marBottom w:val="0"/>
      <w:divBdr>
        <w:top w:val="none" w:sz="0" w:space="0" w:color="auto"/>
        <w:left w:val="none" w:sz="0" w:space="0" w:color="auto"/>
        <w:bottom w:val="none" w:sz="0" w:space="0" w:color="auto"/>
        <w:right w:val="none" w:sz="0" w:space="0" w:color="auto"/>
      </w:divBdr>
    </w:div>
    <w:div w:id="570386249">
      <w:bodyDiv w:val="1"/>
      <w:marLeft w:val="0"/>
      <w:marRight w:val="0"/>
      <w:marTop w:val="0"/>
      <w:marBottom w:val="0"/>
      <w:divBdr>
        <w:top w:val="none" w:sz="0" w:space="0" w:color="auto"/>
        <w:left w:val="none" w:sz="0" w:space="0" w:color="auto"/>
        <w:bottom w:val="none" w:sz="0" w:space="0" w:color="auto"/>
        <w:right w:val="none" w:sz="0" w:space="0" w:color="auto"/>
      </w:divBdr>
    </w:div>
    <w:div w:id="582908484">
      <w:bodyDiv w:val="1"/>
      <w:marLeft w:val="0"/>
      <w:marRight w:val="0"/>
      <w:marTop w:val="0"/>
      <w:marBottom w:val="0"/>
      <w:divBdr>
        <w:top w:val="none" w:sz="0" w:space="0" w:color="auto"/>
        <w:left w:val="none" w:sz="0" w:space="0" w:color="auto"/>
        <w:bottom w:val="none" w:sz="0" w:space="0" w:color="auto"/>
        <w:right w:val="none" w:sz="0" w:space="0" w:color="auto"/>
      </w:divBdr>
    </w:div>
    <w:div w:id="585958815">
      <w:bodyDiv w:val="1"/>
      <w:marLeft w:val="0"/>
      <w:marRight w:val="0"/>
      <w:marTop w:val="0"/>
      <w:marBottom w:val="0"/>
      <w:divBdr>
        <w:top w:val="none" w:sz="0" w:space="0" w:color="auto"/>
        <w:left w:val="none" w:sz="0" w:space="0" w:color="auto"/>
        <w:bottom w:val="none" w:sz="0" w:space="0" w:color="auto"/>
        <w:right w:val="none" w:sz="0" w:space="0" w:color="auto"/>
      </w:divBdr>
    </w:div>
    <w:div w:id="648636307">
      <w:bodyDiv w:val="1"/>
      <w:marLeft w:val="0"/>
      <w:marRight w:val="0"/>
      <w:marTop w:val="0"/>
      <w:marBottom w:val="0"/>
      <w:divBdr>
        <w:top w:val="none" w:sz="0" w:space="0" w:color="auto"/>
        <w:left w:val="none" w:sz="0" w:space="0" w:color="auto"/>
        <w:bottom w:val="none" w:sz="0" w:space="0" w:color="auto"/>
        <w:right w:val="none" w:sz="0" w:space="0" w:color="auto"/>
      </w:divBdr>
    </w:div>
    <w:div w:id="675235132">
      <w:bodyDiv w:val="1"/>
      <w:marLeft w:val="0"/>
      <w:marRight w:val="0"/>
      <w:marTop w:val="0"/>
      <w:marBottom w:val="0"/>
      <w:divBdr>
        <w:top w:val="none" w:sz="0" w:space="0" w:color="auto"/>
        <w:left w:val="none" w:sz="0" w:space="0" w:color="auto"/>
        <w:bottom w:val="none" w:sz="0" w:space="0" w:color="auto"/>
        <w:right w:val="none" w:sz="0" w:space="0" w:color="auto"/>
      </w:divBdr>
    </w:div>
    <w:div w:id="683286862">
      <w:bodyDiv w:val="1"/>
      <w:marLeft w:val="0"/>
      <w:marRight w:val="0"/>
      <w:marTop w:val="0"/>
      <w:marBottom w:val="0"/>
      <w:divBdr>
        <w:top w:val="none" w:sz="0" w:space="0" w:color="auto"/>
        <w:left w:val="none" w:sz="0" w:space="0" w:color="auto"/>
        <w:bottom w:val="none" w:sz="0" w:space="0" w:color="auto"/>
        <w:right w:val="none" w:sz="0" w:space="0" w:color="auto"/>
      </w:divBdr>
    </w:div>
    <w:div w:id="800457396">
      <w:bodyDiv w:val="1"/>
      <w:marLeft w:val="0"/>
      <w:marRight w:val="0"/>
      <w:marTop w:val="0"/>
      <w:marBottom w:val="0"/>
      <w:divBdr>
        <w:top w:val="none" w:sz="0" w:space="0" w:color="auto"/>
        <w:left w:val="none" w:sz="0" w:space="0" w:color="auto"/>
        <w:bottom w:val="none" w:sz="0" w:space="0" w:color="auto"/>
        <w:right w:val="none" w:sz="0" w:space="0" w:color="auto"/>
      </w:divBdr>
    </w:div>
    <w:div w:id="833496144">
      <w:bodyDiv w:val="1"/>
      <w:marLeft w:val="0"/>
      <w:marRight w:val="0"/>
      <w:marTop w:val="0"/>
      <w:marBottom w:val="0"/>
      <w:divBdr>
        <w:top w:val="none" w:sz="0" w:space="0" w:color="auto"/>
        <w:left w:val="none" w:sz="0" w:space="0" w:color="auto"/>
        <w:bottom w:val="none" w:sz="0" w:space="0" w:color="auto"/>
        <w:right w:val="none" w:sz="0" w:space="0" w:color="auto"/>
      </w:divBdr>
    </w:div>
    <w:div w:id="834612927">
      <w:bodyDiv w:val="1"/>
      <w:marLeft w:val="0"/>
      <w:marRight w:val="0"/>
      <w:marTop w:val="0"/>
      <w:marBottom w:val="0"/>
      <w:divBdr>
        <w:top w:val="none" w:sz="0" w:space="0" w:color="auto"/>
        <w:left w:val="none" w:sz="0" w:space="0" w:color="auto"/>
        <w:bottom w:val="none" w:sz="0" w:space="0" w:color="auto"/>
        <w:right w:val="none" w:sz="0" w:space="0" w:color="auto"/>
      </w:divBdr>
    </w:div>
    <w:div w:id="864098876">
      <w:bodyDiv w:val="1"/>
      <w:marLeft w:val="0"/>
      <w:marRight w:val="0"/>
      <w:marTop w:val="0"/>
      <w:marBottom w:val="0"/>
      <w:divBdr>
        <w:top w:val="none" w:sz="0" w:space="0" w:color="auto"/>
        <w:left w:val="none" w:sz="0" w:space="0" w:color="auto"/>
        <w:bottom w:val="none" w:sz="0" w:space="0" w:color="auto"/>
        <w:right w:val="none" w:sz="0" w:space="0" w:color="auto"/>
      </w:divBdr>
    </w:div>
    <w:div w:id="889537546">
      <w:bodyDiv w:val="1"/>
      <w:marLeft w:val="0"/>
      <w:marRight w:val="0"/>
      <w:marTop w:val="0"/>
      <w:marBottom w:val="0"/>
      <w:divBdr>
        <w:top w:val="none" w:sz="0" w:space="0" w:color="auto"/>
        <w:left w:val="none" w:sz="0" w:space="0" w:color="auto"/>
        <w:bottom w:val="none" w:sz="0" w:space="0" w:color="auto"/>
        <w:right w:val="none" w:sz="0" w:space="0" w:color="auto"/>
      </w:divBdr>
    </w:div>
    <w:div w:id="923075598">
      <w:bodyDiv w:val="1"/>
      <w:marLeft w:val="0"/>
      <w:marRight w:val="0"/>
      <w:marTop w:val="0"/>
      <w:marBottom w:val="0"/>
      <w:divBdr>
        <w:top w:val="none" w:sz="0" w:space="0" w:color="auto"/>
        <w:left w:val="none" w:sz="0" w:space="0" w:color="auto"/>
        <w:bottom w:val="none" w:sz="0" w:space="0" w:color="auto"/>
        <w:right w:val="none" w:sz="0" w:space="0" w:color="auto"/>
      </w:divBdr>
    </w:div>
    <w:div w:id="1003388637">
      <w:bodyDiv w:val="1"/>
      <w:marLeft w:val="0"/>
      <w:marRight w:val="0"/>
      <w:marTop w:val="0"/>
      <w:marBottom w:val="0"/>
      <w:divBdr>
        <w:top w:val="none" w:sz="0" w:space="0" w:color="auto"/>
        <w:left w:val="none" w:sz="0" w:space="0" w:color="auto"/>
        <w:bottom w:val="none" w:sz="0" w:space="0" w:color="auto"/>
        <w:right w:val="none" w:sz="0" w:space="0" w:color="auto"/>
      </w:divBdr>
    </w:div>
    <w:div w:id="1015571035">
      <w:bodyDiv w:val="1"/>
      <w:marLeft w:val="0"/>
      <w:marRight w:val="0"/>
      <w:marTop w:val="0"/>
      <w:marBottom w:val="0"/>
      <w:divBdr>
        <w:top w:val="none" w:sz="0" w:space="0" w:color="auto"/>
        <w:left w:val="none" w:sz="0" w:space="0" w:color="auto"/>
        <w:bottom w:val="none" w:sz="0" w:space="0" w:color="auto"/>
        <w:right w:val="none" w:sz="0" w:space="0" w:color="auto"/>
      </w:divBdr>
    </w:div>
    <w:div w:id="1105464061">
      <w:bodyDiv w:val="1"/>
      <w:marLeft w:val="0"/>
      <w:marRight w:val="0"/>
      <w:marTop w:val="0"/>
      <w:marBottom w:val="0"/>
      <w:divBdr>
        <w:top w:val="none" w:sz="0" w:space="0" w:color="auto"/>
        <w:left w:val="none" w:sz="0" w:space="0" w:color="auto"/>
        <w:bottom w:val="none" w:sz="0" w:space="0" w:color="auto"/>
        <w:right w:val="none" w:sz="0" w:space="0" w:color="auto"/>
      </w:divBdr>
    </w:div>
    <w:div w:id="1157113227">
      <w:bodyDiv w:val="1"/>
      <w:marLeft w:val="0"/>
      <w:marRight w:val="0"/>
      <w:marTop w:val="0"/>
      <w:marBottom w:val="0"/>
      <w:divBdr>
        <w:top w:val="none" w:sz="0" w:space="0" w:color="auto"/>
        <w:left w:val="none" w:sz="0" w:space="0" w:color="auto"/>
        <w:bottom w:val="none" w:sz="0" w:space="0" w:color="auto"/>
        <w:right w:val="none" w:sz="0" w:space="0" w:color="auto"/>
      </w:divBdr>
    </w:div>
    <w:div w:id="1168590888">
      <w:bodyDiv w:val="1"/>
      <w:marLeft w:val="0"/>
      <w:marRight w:val="0"/>
      <w:marTop w:val="0"/>
      <w:marBottom w:val="0"/>
      <w:divBdr>
        <w:top w:val="none" w:sz="0" w:space="0" w:color="auto"/>
        <w:left w:val="none" w:sz="0" w:space="0" w:color="auto"/>
        <w:bottom w:val="none" w:sz="0" w:space="0" w:color="auto"/>
        <w:right w:val="none" w:sz="0" w:space="0" w:color="auto"/>
      </w:divBdr>
    </w:div>
    <w:div w:id="1168977458">
      <w:bodyDiv w:val="1"/>
      <w:marLeft w:val="0"/>
      <w:marRight w:val="0"/>
      <w:marTop w:val="0"/>
      <w:marBottom w:val="0"/>
      <w:divBdr>
        <w:top w:val="none" w:sz="0" w:space="0" w:color="auto"/>
        <w:left w:val="none" w:sz="0" w:space="0" w:color="auto"/>
        <w:bottom w:val="none" w:sz="0" w:space="0" w:color="auto"/>
        <w:right w:val="none" w:sz="0" w:space="0" w:color="auto"/>
      </w:divBdr>
    </w:div>
    <w:div w:id="1212495452">
      <w:bodyDiv w:val="1"/>
      <w:marLeft w:val="0"/>
      <w:marRight w:val="0"/>
      <w:marTop w:val="0"/>
      <w:marBottom w:val="0"/>
      <w:divBdr>
        <w:top w:val="none" w:sz="0" w:space="0" w:color="auto"/>
        <w:left w:val="none" w:sz="0" w:space="0" w:color="auto"/>
        <w:bottom w:val="none" w:sz="0" w:space="0" w:color="auto"/>
        <w:right w:val="none" w:sz="0" w:space="0" w:color="auto"/>
      </w:divBdr>
    </w:div>
    <w:div w:id="1227765405">
      <w:bodyDiv w:val="1"/>
      <w:marLeft w:val="0"/>
      <w:marRight w:val="0"/>
      <w:marTop w:val="0"/>
      <w:marBottom w:val="0"/>
      <w:divBdr>
        <w:top w:val="none" w:sz="0" w:space="0" w:color="auto"/>
        <w:left w:val="none" w:sz="0" w:space="0" w:color="auto"/>
        <w:bottom w:val="none" w:sz="0" w:space="0" w:color="auto"/>
        <w:right w:val="none" w:sz="0" w:space="0" w:color="auto"/>
      </w:divBdr>
    </w:div>
    <w:div w:id="1252934575">
      <w:bodyDiv w:val="1"/>
      <w:marLeft w:val="0"/>
      <w:marRight w:val="0"/>
      <w:marTop w:val="0"/>
      <w:marBottom w:val="0"/>
      <w:divBdr>
        <w:top w:val="none" w:sz="0" w:space="0" w:color="auto"/>
        <w:left w:val="none" w:sz="0" w:space="0" w:color="auto"/>
        <w:bottom w:val="none" w:sz="0" w:space="0" w:color="auto"/>
        <w:right w:val="none" w:sz="0" w:space="0" w:color="auto"/>
      </w:divBdr>
    </w:div>
    <w:div w:id="1277176313">
      <w:bodyDiv w:val="1"/>
      <w:marLeft w:val="0"/>
      <w:marRight w:val="0"/>
      <w:marTop w:val="0"/>
      <w:marBottom w:val="0"/>
      <w:divBdr>
        <w:top w:val="none" w:sz="0" w:space="0" w:color="auto"/>
        <w:left w:val="none" w:sz="0" w:space="0" w:color="auto"/>
        <w:bottom w:val="none" w:sz="0" w:space="0" w:color="auto"/>
        <w:right w:val="none" w:sz="0" w:space="0" w:color="auto"/>
      </w:divBdr>
    </w:div>
    <w:div w:id="1310984125">
      <w:bodyDiv w:val="1"/>
      <w:marLeft w:val="0"/>
      <w:marRight w:val="0"/>
      <w:marTop w:val="0"/>
      <w:marBottom w:val="0"/>
      <w:divBdr>
        <w:top w:val="none" w:sz="0" w:space="0" w:color="auto"/>
        <w:left w:val="none" w:sz="0" w:space="0" w:color="auto"/>
        <w:bottom w:val="none" w:sz="0" w:space="0" w:color="auto"/>
        <w:right w:val="none" w:sz="0" w:space="0" w:color="auto"/>
      </w:divBdr>
    </w:div>
    <w:div w:id="1343750392">
      <w:bodyDiv w:val="1"/>
      <w:marLeft w:val="0"/>
      <w:marRight w:val="0"/>
      <w:marTop w:val="0"/>
      <w:marBottom w:val="0"/>
      <w:divBdr>
        <w:top w:val="none" w:sz="0" w:space="0" w:color="auto"/>
        <w:left w:val="none" w:sz="0" w:space="0" w:color="auto"/>
        <w:bottom w:val="none" w:sz="0" w:space="0" w:color="auto"/>
        <w:right w:val="none" w:sz="0" w:space="0" w:color="auto"/>
      </w:divBdr>
    </w:div>
    <w:div w:id="1421218153">
      <w:bodyDiv w:val="1"/>
      <w:marLeft w:val="0"/>
      <w:marRight w:val="0"/>
      <w:marTop w:val="0"/>
      <w:marBottom w:val="0"/>
      <w:divBdr>
        <w:top w:val="none" w:sz="0" w:space="0" w:color="auto"/>
        <w:left w:val="none" w:sz="0" w:space="0" w:color="auto"/>
        <w:bottom w:val="none" w:sz="0" w:space="0" w:color="auto"/>
        <w:right w:val="none" w:sz="0" w:space="0" w:color="auto"/>
      </w:divBdr>
    </w:div>
    <w:div w:id="1440950643">
      <w:bodyDiv w:val="1"/>
      <w:marLeft w:val="0"/>
      <w:marRight w:val="0"/>
      <w:marTop w:val="0"/>
      <w:marBottom w:val="0"/>
      <w:divBdr>
        <w:top w:val="none" w:sz="0" w:space="0" w:color="auto"/>
        <w:left w:val="none" w:sz="0" w:space="0" w:color="auto"/>
        <w:bottom w:val="none" w:sz="0" w:space="0" w:color="auto"/>
        <w:right w:val="none" w:sz="0" w:space="0" w:color="auto"/>
      </w:divBdr>
    </w:div>
    <w:div w:id="1453741951">
      <w:bodyDiv w:val="1"/>
      <w:marLeft w:val="0"/>
      <w:marRight w:val="0"/>
      <w:marTop w:val="0"/>
      <w:marBottom w:val="0"/>
      <w:divBdr>
        <w:top w:val="none" w:sz="0" w:space="0" w:color="auto"/>
        <w:left w:val="none" w:sz="0" w:space="0" w:color="auto"/>
        <w:bottom w:val="none" w:sz="0" w:space="0" w:color="auto"/>
        <w:right w:val="none" w:sz="0" w:space="0" w:color="auto"/>
      </w:divBdr>
    </w:div>
    <w:div w:id="1464079673">
      <w:bodyDiv w:val="1"/>
      <w:marLeft w:val="0"/>
      <w:marRight w:val="0"/>
      <w:marTop w:val="0"/>
      <w:marBottom w:val="0"/>
      <w:divBdr>
        <w:top w:val="none" w:sz="0" w:space="0" w:color="auto"/>
        <w:left w:val="none" w:sz="0" w:space="0" w:color="auto"/>
        <w:bottom w:val="none" w:sz="0" w:space="0" w:color="auto"/>
        <w:right w:val="none" w:sz="0" w:space="0" w:color="auto"/>
      </w:divBdr>
    </w:div>
    <w:div w:id="1518615318">
      <w:bodyDiv w:val="1"/>
      <w:marLeft w:val="0"/>
      <w:marRight w:val="0"/>
      <w:marTop w:val="0"/>
      <w:marBottom w:val="0"/>
      <w:divBdr>
        <w:top w:val="none" w:sz="0" w:space="0" w:color="auto"/>
        <w:left w:val="none" w:sz="0" w:space="0" w:color="auto"/>
        <w:bottom w:val="none" w:sz="0" w:space="0" w:color="auto"/>
        <w:right w:val="none" w:sz="0" w:space="0" w:color="auto"/>
      </w:divBdr>
    </w:div>
    <w:div w:id="1586496875">
      <w:bodyDiv w:val="1"/>
      <w:marLeft w:val="0"/>
      <w:marRight w:val="0"/>
      <w:marTop w:val="0"/>
      <w:marBottom w:val="0"/>
      <w:divBdr>
        <w:top w:val="none" w:sz="0" w:space="0" w:color="auto"/>
        <w:left w:val="none" w:sz="0" w:space="0" w:color="auto"/>
        <w:bottom w:val="none" w:sz="0" w:space="0" w:color="auto"/>
        <w:right w:val="none" w:sz="0" w:space="0" w:color="auto"/>
      </w:divBdr>
    </w:div>
    <w:div w:id="1592815101">
      <w:bodyDiv w:val="1"/>
      <w:marLeft w:val="0"/>
      <w:marRight w:val="0"/>
      <w:marTop w:val="0"/>
      <w:marBottom w:val="0"/>
      <w:divBdr>
        <w:top w:val="none" w:sz="0" w:space="0" w:color="auto"/>
        <w:left w:val="none" w:sz="0" w:space="0" w:color="auto"/>
        <w:bottom w:val="none" w:sz="0" w:space="0" w:color="auto"/>
        <w:right w:val="none" w:sz="0" w:space="0" w:color="auto"/>
      </w:divBdr>
    </w:div>
    <w:div w:id="1603950762">
      <w:bodyDiv w:val="1"/>
      <w:marLeft w:val="0"/>
      <w:marRight w:val="0"/>
      <w:marTop w:val="0"/>
      <w:marBottom w:val="0"/>
      <w:divBdr>
        <w:top w:val="none" w:sz="0" w:space="0" w:color="auto"/>
        <w:left w:val="none" w:sz="0" w:space="0" w:color="auto"/>
        <w:bottom w:val="none" w:sz="0" w:space="0" w:color="auto"/>
        <w:right w:val="none" w:sz="0" w:space="0" w:color="auto"/>
      </w:divBdr>
    </w:div>
    <w:div w:id="1619097260">
      <w:bodyDiv w:val="1"/>
      <w:marLeft w:val="0"/>
      <w:marRight w:val="0"/>
      <w:marTop w:val="0"/>
      <w:marBottom w:val="0"/>
      <w:divBdr>
        <w:top w:val="none" w:sz="0" w:space="0" w:color="auto"/>
        <w:left w:val="none" w:sz="0" w:space="0" w:color="auto"/>
        <w:bottom w:val="none" w:sz="0" w:space="0" w:color="auto"/>
        <w:right w:val="none" w:sz="0" w:space="0" w:color="auto"/>
      </w:divBdr>
    </w:div>
    <w:div w:id="1635256210">
      <w:bodyDiv w:val="1"/>
      <w:marLeft w:val="0"/>
      <w:marRight w:val="0"/>
      <w:marTop w:val="0"/>
      <w:marBottom w:val="0"/>
      <w:divBdr>
        <w:top w:val="none" w:sz="0" w:space="0" w:color="auto"/>
        <w:left w:val="none" w:sz="0" w:space="0" w:color="auto"/>
        <w:bottom w:val="none" w:sz="0" w:space="0" w:color="auto"/>
        <w:right w:val="none" w:sz="0" w:space="0" w:color="auto"/>
      </w:divBdr>
    </w:div>
    <w:div w:id="1658917516">
      <w:bodyDiv w:val="1"/>
      <w:marLeft w:val="0"/>
      <w:marRight w:val="0"/>
      <w:marTop w:val="0"/>
      <w:marBottom w:val="0"/>
      <w:divBdr>
        <w:top w:val="none" w:sz="0" w:space="0" w:color="auto"/>
        <w:left w:val="none" w:sz="0" w:space="0" w:color="auto"/>
        <w:bottom w:val="none" w:sz="0" w:space="0" w:color="auto"/>
        <w:right w:val="none" w:sz="0" w:space="0" w:color="auto"/>
      </w:divBdr>
    </w:div>
    <w:div w:id="1662462458">
      <w:bodyDiv w:val="1"/>
      <w:marLeft w:val="0"/>
      <w:marRight w:val="0"/>
      <w:marTop w:val="0"/>
      <w:marBottom w:val="0"/>
      <w:divBdr>
        <w:top w:val="none" w:sz="0" w:space="0" w:color="auto"/>
        <w:left w:val="none" w:sz="0" w:space="0" w:color="auto"/>
        <w:bottom w:val="none" w:sz="0" w:space="0" w:color="auto"/>
        <w:right w:val="none" w:sz="0" w:space="0" w:color="auto"/>
      </w:divBdr>
    </w:div>
    <w:div w:id="1665694721">
      <w:bodyDiv w:val="1"/>
      <w:marLeft w:val="0"/>
      <w:marRight w:val="0"/>
      <w:marTop w:val="0"/>
      <w:marBottom w:val="0"/>
      <w:divBdr>
        <w:top w:val="none" w:sz="0" w:space="0" w:color="auto"/>
        <w:left w:val="none" w:sz="0" w:space="0" w:color="auto"/>
        <w:bottom w:val="none" w:sz="0" w:space="0" w:color="auto"/>
        <w:right w:val="none" w:sz="0" w:space="0" w:color="auto"/>
      </w:divBdr>
    </w:div>
    <w:div w:id="1668242396">
      <w:bodyDiv w:val="1"/>
      <w:marLeft w:val="0"/>
      <w:marRight w:val="0"/>
      <w:marTop w:val="0"/>
      <w:marBottom w:val="0"/>
      <w:divBdr>
        <w:top w:val="none" w:sz="0" w:space="0" w:color="auto"/>
        <w:left w:val="none" w:sz="0" w:space="0" w:color="auto"/>
        <w:bottom w:val="none" w:sz="0" w:space="0" w:color="auto"/>
        <w:right w:val="none" w:sz="0" w:space="0" w:color="auto"/>
      </w:divBdr>
    </w:div>
    <w:div w:id="1674410330">
      <w:bodyDiv w:val="1"/>
      <w:marLeft w:val="0"/>
      <w:marRight w:val="0"/>
      <w:marTop w:val="0"/>
      <w:marBottom w:val="0"/>
      <w:divBdr>
        <w:top w:val="none" w:sz="0" w:space="0" w:color="auto"/>
        <w:left w:val="none" w:sz="0" w:space="0" w:color="auto"/>
        <w:bottom w:val="none" w:sz="0" w:space="0" w:color="auto"/>
        <w:right w:val="none" w:sz="0" w:space="0" w:color="auto"/>
      </w:divBdr>
    </w:div>
    <w:div w:id="1690257461">
      <w:bodyDiv w:val="1"/>
      <w:marLeft w:val="0"/>
      <w:marRight w:val="0"/>
      <w:marTop w:val="0"/>
      <w:marBottom w:val="0"/>
      <w:divBdr>
        <w:top w:val="none" w:sz="0" w:space="0" w:color="auto"/>
        <w:left w:val="none" w:sz="0" w:space="0" w:color="auto"/>
        <w:bottom w:val="none" w:sz="0" w:space="0" w:color="auto"/>
        <w:right w:val="none" w:sz="0" w:space="0" w:color="auto"/>
      </w:divBdr>
    </w:div>
    <w:div w:id="1715082089">
      <w:bodyDiv w:val="1"/>
      <w:marLeft w:val="0"/>
      <w:marRight w:val="0"/>
      <w:marTop w:val="0"/>
      <w:marBottom w:val="0"/>
      <w:divBdr>
        <w:top w:val="none" w:sz="0" w:space="0" w:color="auto"/>
        <w:left w:val="none" w:sz="0" w:space="0" w:color="auto"/>
        <w:bottom w:val="none" w:sz="0" w:space="0" w:color="auto"/>
        <w:right w:val="none" w:sz="0" w:space="0" w:color="auto"/>
      </w:divBdr>
    </w:div>
    <w:div w:id="1739593953">
      <w:bodyDiv w:val="1"/>
      <w:marLeft w:val="0"/>
      <w:marRight w:val="0"/>
      <w:marTop w:val="0"/>
      <w:marBottom w:val="0"/>
      <w:divBdr>
        <w:top w:val="none" w:sz="0" w:space="0" w:color="auto"/>
        <w:left w:val="none" w:sz="0" w:space="0" w:color="auto"/>
        <w:bottom w:val="none" w:sz="0" w:space="0" w:color="auto"/>
        <w:right w:val="none" w:sz="0" w:space="0" w:color="auto"/>
      </w:divBdr>
    </w:div>
    <w:div w:id="1773279906">
      <w:bodyDiv w:val="1"/>
      <w:marLeft w:val="0"/>
      <w:marRight w:val="0"/>
      <w:marTop w:val="0"/>
      <w:marBottom w:val="0"/>
      <w:divBdr>
        <w:top w:val="none" w:sz="0" w:space="0" w:color="auto"/>
        <w:left w:val="none" w:sz="0" w:space="0" w:color="auto"/>
        <w:bottom w:val="none" w:sz="0" w:space="0" w:color="auto"/>
        <w:right w:val="none" w:sz="0" w:space="0" w:color="auto"/>
      </w:divBdr>
    </w:div>
    <w:div w:id="1782652405">
      <w:bodyDiv w:val="1"/>
      <w:marLeft w:val="0"/>
      <w:marRight w:val="0"/>
      <w:marTop w:val="0"/>
      <w:marBottom w:val="0"/>
      <w:divBdr>
        <w:top w:val="none" w:sz="0" w:space="0" w:color="auto"/>
        <w:left w:val="none" w:sz="0" w:space="0" w:color="auto"/>
        <w:bottom w:val="none" w:sz="0" w:space="0" w:color="auto"/>
        <w:right w:val="none" w:sz="0" w:space="0" w:color="auto"/>
      </w:divBdr>
    </w:div>
    <w:div w:id="1804811298">
      <w:bodyDiv w:val="1"/>
      <w:marLeft w:val="0"/>
      <w:marRight w:val="0"/>
      <w:marTop w:val="0"/>
      <w:marBottom w:val="0"/>
      <w:divBdr>
        <w:top w:val="none" w:sz="0" w:space="0" w:color="auto"/>
        <w:left w:val="none" w:sz="0" w:space="0" w:color="auto"/>
        <w:bottom w:val="none" w:sz="0" w:space="0" w:color="auto"/>
        <w:right w:val="none" w:sz="0" w:space="0" w:color="auto"/>
      </w:divBdr>
    </w:div>
    <w:div w:id="1850824362">
      <w:bodyDiv w:val="1"/>
      <w:marLeft w:val="0"/>
      <w:marRight w:val="0"/>
      <w:marTop w:val="0"/>
      <w:marBottom w:val="0"/>
      <w:divBdr>
        <w:top w:val="none" w:sz="0" w:space="0" w:color="auto"/>
        <w:left w:val="none" w:sz="0" w:space="0" w:color="auto"/>
        <w:bottom w:val="none" w:sz="0" w:space="0" w:color="auto"/>
        <w:right w:val="none" w:sz="0" w:space="0" w:color="auto"/>
      </w:divBdr>
    </w:div>
    <w:div w:id="1882395854">
      <w:bodyDiv w:val="1"/>
      <w:marLeft w:val="0"/>
      <w:marRight w:val="0"/>
      <w:marTop w:val="0"/>
      <w:marBottom w:val="0"/>
      <w:divBdr>
        <w:top w:val="none" w:sz="0" w:space="0" w:color="auto"/>
        <w:left w:val="none" w:sz="0" w:space="0" w:color="auto"/>
        <w:bottom w:val="none" w:sz="0" w:space="0" w:color="auto"/>
        <w:right w:val="none" w:sz="0" w:space="0" w:color="auto"/>
      </w:divBdr>
    </w:div>
    <w:div w:id="1905868304">
      <w:bodyDiv w:val="1"/>
      <w:marLeft w:val="0"/>
      <w:marRight w:val="0"/>
      <w:marTop w:val="0"/>
      <w:marBottom w:val="0"/>
      <w:divBdr>
        <w:top w:val="none" w:sz="0" w:space="0" w:color="auto"/>
        <w:left w:val="none" w:sz="0" w:space="0" w:color="auto"/>
        <w:bottom w:val="none" w:sz="0" w:space="0" w:color="auto"/>
        <w:right w:val="none" w:sz="0" w:space="0" w:color="auto"/>
      </w:divBdr>
    </w:div>
    <w:div w:id="1927691323">
      <w:bodyDiv w:val="1"/>
      <w:marLeft w:val="0"/>
      <w:marRight w:val="0"/>
      <w:marTop w:val="0"/>
      <w:marBottom w:val="0"/>
      <w:divBdr>
        <w:top w:val="none" w:sz="0" w:space="0" w:color="auto"/>
        <w:left w:val="none" w:sz="0" w:space="0" w:color="auto"/>
        <w:bottom w:val="none" w:sz="0" w:space="0" w:color="auto"/>
        <w:right w:val="none" w:sz="0" w:space="0" w:color="auto"/>
      </w:divBdr>
    </w:div>
    <w:div w:id="1943563073">
      <w:bodyDiv w:val="1"/>
      <w:marLeft w:val="0"/>
      <w:marRight w:val="0"/>
      <w:marTop w:val="0"/>
      <w:marBottom w:val="0"/>
      <w:divBdr>
        <w:top w:val="none" w:sz="0" w:space="0" w:color="auto"/>
        <w:left w:val="none" w:sz="0" w:space="0" w:color="auto"/>
        <w:bottom w:val="none" w:sz="0" w:space="0" w:color="auto"/>
        <w:right w:val="none" w:sz="0" w:space="0" w:color="auto"/>
      </w:divBdr>
    </w:div>
    <w:div w:id="1963881857">
      <w:bodyDiv w:val="1"/>
      <w:marLeft w:val="0"/>
      <w:marRight w:val="0"/>
      <w:marTop w:val="0"/>
      <w:marBottom w:val="0"/>
      <w:divBdr>
        <w:top w:val="none" w:sz="0" w:space="0" w:color="auto"/>
        <w:left w:val="none" w:sz="0" w:space="0" w:color="auto"/>
        <w:bottom w:val="none" w:sz="0" w:space="0" w:color="auto"/>
        <w:right w:val="none" w:sz="0" w:space="0" w:color="auto"/>
      </w:divBdr>
    </w:div>
    <w:div w:id="1967154381">
      <w:bodyDiv w:val="1"/>
      <w:marLeft w:val="0"/>
      <w:marRight w:val="0"/>
      <w:marTop w:val="0"/>
      <w:marBottom w:val="0"/>
      <w:divBdr>
        <w:top w:val="none" w:sz="0" w:space="0" w:color="auto"/>
        <w:left w:val="none" w:sz="0" w:space="0" w:color="auto"/>
        <w:bottom w:val="none" w:sz="0" w:space="0" w:color="auto"/>
        <w:right w:val="none" w:sz="0" w:space="0" w:color="auto"/>
      </w:divBdr>
    </w:div>
    <w:div w:id="1977292700">
      <w:bodyDiv w:val="1"/>
      <w:marLeft w:val="0"/>
      <w:marRight w:val="0"/>
      <w:marTop w:val="0"/>
      <w:marBottom w:val="0"/>
      <w:divBdr>
        <w:top w:val="none" w:sz="0" w:space="0" w:color="auto"/>
        <w:left w:val="none" w:sz="0" w:space="0" w:color="auto"/>
        <w:bottom w:val="none" w:sz="0" w:space="0" w:color="auto"/>
        <w:right w:val="none" w:sz="0" w:space="0" w:color="auto"/>
      </w:divBdr>
    </w:div>
    <w:div w:id="2039232755">
      <w:bodyDiv w:val="1"/>
      <w:marLeft w:val="0"/>
      <w:marRight w:val="0"/>
      <w:marTop w:val="0"/>
      <w:marBottom w:val="0"/>
      <w:divBdr>
        <w:top w:val="none" w:sz="0" w:space="0" w:color="auto"/>
        <w:left w:val="none" w:sz="0" w:space="0" w:color="auto"/>
        <w:bottom w:val="none" w:sz="0" w:space="0" w:color="auto"/>
        <w:right w:val="none" w:sz="0" w:space="0" w:color="auto"/>
      </w:divBdr>
    </w:div>
    <w:div w:id="2060471893">
      <w:bodyDiv w:val="1"/>
      <w:marLeft w:val="0"/>
      <w:marRight w:val="0"/>
      <w:marTop w:val="0"/>
      <w:marBottom w:val="0"/>
      <w:divBdr>
        <w:top w:val="none" w:sz="0" w:space="0" w:color="auto"/>
        <w:left w:val="none" w:sz="0" w:space="0" w:color="auto"/>
        <w:bottom w:val="none" w:sz="0" w:space="0" w:color="auto"/>
        <w:right w:val="none" w:sz="0" w:space="0" w:color="auto"/>
      </w:divBdr>
    </w:div>
    <w:div w:id="2069113435">
      <w:bodyDiv w:val="1"/>
      <w:marLeft w:val="0"/>
      <w:marRight w:val="0"/>
      <w:marTop w:val="0"/>
      <w:marBottom w:val="0"/>
      <w:divBdr>
        <w:top w:val="none" w:sz="0" w:space="0" w:color="auto"/>
        <w:left w:val="none" w:sz="0" w:space="0" w:color="auto"/>
        <w:bottom w:val="none" w:sz="0" w:space="0" w:color="auto"/>
        <w:right w:val="none" w:sz="0" w:space="0" w:color="auto"/>
      </w:divBdr>
    </w:div>
    <w:div w:id="2128699330">
      <w:bodyDiv w:val="1"/>
      <w:marLeft w:val="0"/>
      <w:marRight w:val="0"/>
      <w:marTop w:val="0"/>
      <w:marBottom w:val="0"/>
      <w:divBdr>
        <w:top w:val="none" w:sz="0" w:space="0" w:color="auto"/>
        <w:left w:val="none" w:sz="0" w:space="0" w:color="auto"/>
        <w:bottom w:val="none" w:sz="0" w:space="0" w:color="auto"/>
        <w:right w:val="none" w:sz="0" w:space="0" w:color="auto"/>
      </w:divBdr>
    </w:div>
    <w:div w:id="2131312411">
      <w:bodyDiv w:val="1"/>
      <w:marLeft w:val="0"/>
      <w:marRight w:val="0"/>
      <w:marTop w:val="0"/>
      <w:marBottom w:val="0"/>
      <w:divBdr>
        <w:top w:val="none" w:sz="0" w:space="0" w:color="auto"/>
        <w:left w:val="none" w:sz="0" w:space="0" w:color="auto"/>
        <w:bottom w:val="none" w:sz="0" w:space="0" w:color="auto"/>
        <w:right w:val="none" w:sz="0" w:space="0" w:color="auto"/>
      </w:divBdr>
    </w:div>
    <w:div w:id="2131628504">
      <w:bodyDiv w:val="1"/>
      <w:marLeft w:val="0"/>
      <w:marRight w:val="0"/>
      <w:marTop w:val="0"/>
      <w:marBottom w:val="0"/>
      <w:divBdr>
        <w:top w:val="none" w:sz="0" w:space="0" w:color="auto"/>
        <w:left w:val="none" w:sz="0" w:space="0" w:color="auto"/>
        <w:bottom w:val="none" w:sz="0" w:space="0" w:color="auto"/>
        <w:right w:val="none" w:sz="0" w:space="0" w:color="auto"/>
      </w:divBdr>
    </w:div>
    <w:div w:id="213617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18</ap:Pages>
  <ap:Words>7803</ap:Words>
  <ap:Characters>42917</ap:Characters>
  <ap:DocSecurity>0</ap:DocSecurity>
  <ap:Lines>357</ap:Lines>
  <ap:Paragraphs>101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50619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2026-11-03T15:20:00.0000000Z</dcterms:created>
  <dcterms:modified xsi:type="dcterms:W3CDTF">2026-11-03T15:20:00.0000000Z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b587cc-5349-4506-9b19-2242ab88a0ee_Enabled">
    <vt:lpwstr>true</vt:lpwstr>
  </property>
  <property fmtid="{D5CDD505-2E9C-101B-9397-08002B2CF9AE}" pid="3" name="MSIP_Label_f4b587cc-5349-4506-9b19-2242ab88a0ee_SetDate">
    <vt:lpwstr>2024-08-01T13:33:36Z</vt:lpwstr>
  </property>
  <property fmtid="{D5CDD505-2E9C-101B-9397-08002B2CF9AE}" pid="4" name="MSIP_Label_f4b587cc-5349-4506-9b19-2242ab88a0ee_Method">
    <vt:lpwstr>Privileged</vt:lpwstr>
  </property>
  <property fmtid="{D5CDD505-2E9C-101B-9397-08002B2CF9AE}" pid="5" name="MSIP_Label_f4b587cc-5349-4506-9b19-2242ab88a0ee_Name">
    <vt:lpwstr>FIN-DGFZ-Dep. V.</vt:lpwstr>
  </property>
  <property fmtid="{D5CDD505-2E9C-101B-9397-08002B2CF9AE}" pid="6" name="MSIP_Label_f4b587cc-5349-4506-9b19-2242ab88a0ee_SiteId">
    <vt:lpwstr>84712536-f524-40a0-913b-5d25ba502732</vt:lpwstr>
  </property>
  <property fmtid="{D5CDD505-2E9C-101B-9397-08002B2CF9AE}" pid="7" name="MSIP_Label_f4b587cc-5349-4506-9b19-2242ab88a0ee_ActionId">
    <vt:lpwstr>f9bda7ae-b981-4b6c-96b6-0a1a78804ae5</vt:lpwstr>
  </property>
  <property fmtid="{D5CDD505-2E9C-101B-9397-08002B2CF9AE}" pid="8" name="MSIP_Label_f4b587cc-5349-4506-9b19-2242ab88a0ee_ContentBits">
    <vt:lpwstr>0</vt:lpwstr>
  </property>
</Properties>
</file>