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3361" w:rsidR="00252F15" w:rsidP="00BE26AB" w:rsidRDefault="00252F15" w14:paraId="2749C852" w14:textId="7C591B6F">
      <w:pPr>
        <w:rPr>
          <w:szCs w:val="18"/>
        </w:rPr>
      </w:pPr>
      <w:r>
        <w:rPr>
          <w:szCs w:val="18"/>
        </w:rPr>
        <w:t>Geachte Voorzitter,</w:t>
      </w:r>
    </w:p>
    <w:p w:rsidR="000B3361" w:rsidP="00BE26AB" w:rsidRDefault="000B3361" w14:paraId="71E70502" w14:textId="77777777">
      <w:pPr>
        <w:rPr>
          <w:b/>
          <w:bCs/>
          <w:szCs w:val="18"/>
        </w:rPr>
      </w:pPr>
    </w:p>
    <w:p w:rsidRPr="000B3361" w:rsidR="00252F15" w:rsidP="00BE26AB" w:rsidRDefault="00252F15" w14:paraId="43D9D777" w14:textId="5967B854">
      <w:pPr>
        <w:rPr>
          <w:b/>
          <w:bCs/>
          <w:szCs w:val="18"/>
        </w:rPr>
      </w:pPr>
      <w:r w:rsidRPr="000B3361">
        <w:rPr>
          <w:szCs w:val="18"/>
        </w:rPr>
        <w:t xml:space="preserve">Met deze brief informeert het kabinet uw Kamer over de voortgang van de implementatie van een marktbreed capaciteitsmechanisme om de voorzieningszekerheid van elektriciteit te </w:t>
      </w:r>
      <w:r>
        <w:rPr>
          <w:szCs w:val="18"/>
        </w:rPr>
        <w:t>waar</w:t>
      </w:r>
      <w:r w:rsidRPr="000B3361">
        <w:rPr>
          <w:szCs w:val="18"/>
        </w:rPr>
        <w:t>borgen.</w:t>
      </w:r>
    </w:p>
    <w:p w:rsidR="00BE26AB" w:rsidP="00BE26AB" w:rsidRDefault="00BE26AB" w14:paraId="361A8277" w14:textId="77777777">
      <w:pPr>
        <w:rPr>
          <w:b/>
          <w:bCs/>
          <w:szCs w:val="18"/>
        </w:rPr>
      </w:pPr>
    </w:p>
    <w:p w:rsidR="000B3361" w:rsidP="00BE26AB" w:rsidRDefault="000B3361" w14:paraId="0F9D9511" w14:textId="59AF5346">
      <w:pPr>
        <w:rPr>
          <w:b/>
          <w:bCs/>
          <w:szCs w:val="18"/>
        </w:rPr>
      </w:pPr>
      <w:r w:rsidRPr="000B3361">
        <w:rPr>
          <w:b/>
          <w:bCs/>
          <w:szCs w:val="18"/>
        </w:rPr>
        <w:t xml:space="preserve">Inleiding </w:t>
      </w:r>
    </w:p>
    <w:p w:rsidR="00BE26AB" w:rsidP="00BE26AB" w:rsidRDefault="00BE26AB" w14:paraId="42E909D5" w14:textId="77777777">
      <w:pPr>
        <w:rPr>
          <w:b/>
          <w:bCs/>
          <w:szCs w:val="18"/>
        </w:rPr>
      </w:pPr>
    </w:p>
    <w:p w:rsidR="000B3361" w:rsidP="00BE26AB" w:rsidRDefault="000B3361" w14:paraId="2B6C734F" w14:textId="71A5AB60">
      <w:pPr>
        <w:rPr>
          <w:szCs w:val="18"/>
        </w:rPr>
      </w:pPr>
      <w:r w:rsidRPr="000B3361">
        <w:rPr>
          <w:szCs w:val="18"/>
        </w:rPr>
        <w:t xml:space="preserve">Het capaciteitsmechanisme is bedoeld om op kostenefficiënte wijze voldoende regelbaar vermogen, opslag en vraagrespons te waarborgen. Dit zorgt ervoor dat ook tijdens periodes van weinig wind en zon </w:t>
      </w:r>
      <w:r w:rsidR="00252F15">
        <w:rPr>
          <w:szCs w:val="18"/>
        </w:rPr>
        <w:t>in combinatie met een</w:t>
      </w:r>
      <w:r w:rsidRPr="000B3361">
        <w:rPr>
          <w:szCs w:val="18"/>
        </w:rPr>
        <w:t xml:space="preserve"> hoge elektriciteitsvraag voldoende capaciteit beschikbaar is om aan de</w:t>
      </w:r>
      <w:r w:rsidR="00252F15">
        <w:rPr>
          <w:szCs w:val="18"/>
        </w:rPr>
        <w:t>ze</w:t>
      </w:r>
      <w:r w:rsidRPr="000B3361">
        <w:rPr>
          <w:szCs w:val="18"/>
        </w:rPr>
        <w:t xml:space="preserve"> vraag te voldoen. Via jaarlijkse veilingen zullen aanbieders van deze capaciteit, naast hun reguliere marktopbrengsten, een vaste vergoeding ontvangen om daarmee een deel van hun jaarlijkse vaste kosten te dekken. </w:t>
      </w:r>
    </w:p>
    <w:p w:rsidRPr="000B3361" w:rsidR="00BE26AB" w:rsidP="00BE26AB" w:rsidRDefault="00BE26AB" w14:paraId="79281B66" w14:textId="77777777">
      <w:pPr>
        <w:rPr>
          <w:szCs w:val="18"/>
        </w:rPr>
      </w:pPr>
    </w:p>
    <w:p w:rsidR="000B3361" w:rsidP="00BE26AB" w:rsidRDefault="000B3361" w14:paraId="7A907822" w14:textId="111117A5">
      <w:pPr>
        <w:rPr>
          <w:szCs w:val="18"/>
        </w:rPr>
      </w:pPr>
      <w:r w:rsidRPr="000B3361">
        <w:rPr>
          <w:szCs w:val="18"/>
        </w:rPr>
        <w:t xml:space="preserve">Het kabinet streeft ernaar om </w:t>
      </w:r>
      <w:r w:rsidR="00252F15">
        <w:rPr>
          <w:szCs w:val="18"/>
        </w:rPr>
        <w:t xml:space="preserve">in 2028 </w:t>
      </w:r>
      <w:r w:rsidRPr="000B3361">
        <w:rPr>
          <w:szCs w:val="18"/>
        </w:rPr>
        <w:t>de eerste tender voor capaciteitsveilingen te houden voor het leveringsjaar 2029–2030. Deze brief geeft invulling aan de toezegging in het commissiedebat gasmarkt en leveringszekerheid</w:t>
      </w:r>
      <w:r w:rsidR="00105E05">
        <w:rPr>
          <w:szCs w:val="18"/>
        </w:rPr>
        <w:t xml:space="preserve"> van 4 juni 2026</w:t>
      </w:r>
      <w:r w:rsidR="007A0D26">
        <w:rPr>
          <w:rStyle w:val="Voetnootmarkering"/>
          <w:szCs w:val="18"/>
        </w:rPr>
        <w:footnoteReference w:id="1"/>
      </w:r>
      <w:r w:rsidRPr="000B3361">
        <w:rPr>
          <w:szCs w:val="18"/>
        </w:rPr>
        <w:t xml:space="preserve"> en in de brief van 19 juni 2026</w:t>
      </w:r>
      <w:r w:rsidRPr="000B3361">
        <w:rPr>
          <w:rStyle w:val="Voetnootmarkering"/>
          <w:szCs w:val="18"/>
        </w:rPr>
        <w:footnoteReference w:id="2"/>
      </w:r>
      <w:r w:rsidRPr="000B3361">
        <w:rPr>
          <w:szCs w:val="18"/>
        </w:rPr>
        <w:t xml:space="preserve"> om de Kamer na de zomer te informeren over de voortgang.</w:t>
      </w:r>
    </w:p>
    <w:p w:rsidR="00BE26AB" w:rsidP="00BE26AB" w:rsidRDefault="00BE26AB" w14:paraId="188AFA35" w14:textId="77777777">
      <w:pPr>
        <w:rPr>
          <w:szCs w:val="18"/>
        </w:rPr>
      </w:pPr>
    </w:p>
    <w:p w:rsidR="000B3361" w:rsidP="00BE26AB" w:rsidRDefault="000B3361" w14:paraId="135DB9C6" w14:textId="77777777">
      <w:pPr>
        <w:rPr>
          <w:b/>
          <w:bCs/>
          <w:szCs w:val="18"/>
        </w:rPr>
      </w:pPr>
      <w:r w:rsidRPr="000B3361">
        <w:rPr>
          <w:b/>
          <w:bCs/>
          <w:szCs w:val="18"/>
        </w:rPr>
        <w:t xml:space="preserve">Achtergrond en noodzaak </w:t>
      </w:r>
    </w:p>
    <w:p w:rsidRPr="000B3361" w:rsidR="00BE26AB" w:rsidP="00BE26AB" w:rsidRDefault="00BE26AB" w14:paraId="0E70ECAE" w14:textId="77777777">
      <w:pPr>
        <w:rPr>
          <w:b/>
          <w:bCs/>
          <w:szCs w:val="18"/>
        </w:rPr>
      </w:pPr>
    </w:p>
    <w:p w:rsidR="000B3361" w:rsidP="00BE26AB" w:rsidRDefault="000B3361" w14:paraId="0DAC9981" w14:textId="21BEB9E7">
      <w:pPr>
        <w:rPr>
          <w:szCs w:val="18"/>
        </w:rPr>
      </w:pPr>
      <w:r w:rsidRPr="000B3361">
        <w:rPr>
          <w:szCs w:val="18"/>
        </w:rPr>
        <w:t xml:space="preserve">De overgang naar duurzame energie maakt het aanbod van elektriciteit steeds weersafhankelijker. </w:t>
      </w:r>
      <w:r w:rsidR="00CA2BFD">
        <w:rPr>
          <w:szCs w:val="18"/>
        </w:rPr>
        <w:t xml:space="preserve">Regelbaar vermogen is daarom van belang omdat </w:t>
      </w:r>
      <w:r w:rsidR="00DA0BA6">
        <w:rPr>
          <w:szCs w:val="18"/>
        </w:rPr>
        <w:t xml:space="preserve">dit vermogen de vraag naar elektriciteit kan blijven accommoderen, ook op </w:t>
      </w:r>
      <w:r w:rsidR="00525540">
        <w:rPr>
          <w:szCs w:val="18"/>
        </w:rPr>
        <w:t>momenten met beperkt</w:t>
      </w:r>
      <w:r w:rsidR="00DA0BA6">
        <w:rPr>
          <w:szCs w:val="18"/>
        </w:rPr>
        <w:t xml:space="preserve"> aanbod van</w:t>
      </w:r>
      <w:r w:rsidR="00525540">
        <w:rPr>
          <w:szCs w:val="18"/>
        </w:rPr>
        <w:t xml:space="preserve"> hernieuwbare </w:t>
      </w:r>
      <w:r w:rsidR="00DA0BA6">
        <w:rPr>
          <w:szCs w:val="18"/>
        </w:rPr>
        <w:t>energie</w:t>
      </w:r>
      <w:r w:rsidR="00525540">
        <w:rPr>
          <w:szCs w:val="18"/>
        </w:rPr>
        <w:t xml:space="preserve">. </w:t>
      </w:r>
      <w:r w:rsidRPr="000B3361">
        <w:rPr>
          <w:szCs w:val="18"/>
        </w:rPr>
        <w:t xml:space="preserve">De markt realiseert en behoudt, volgens de Monitor Voorzieningszekerheid (MVZ) 2026 van </w:t>
      </w:r>
      <w:proofErr w:type="spellStart"/>
      <w:r w:rsidRPr="000B3361">
        <w:rPr>
          <w:szCs w:val="18"/>
        </w:rPr>
        <w:t>TenneT</w:t>
      </w:r>
      <w:proofErr w:type="spellEnd"/>
      <w:r w:rsidRPr="000B3361">
        <w:rPr>
          <w:szCs w:val="18"/>
        </w:rPr>
        <w:t>, in de toekomst onvoldoende regelbaar vermogen, vraagrespons en batterijen om samen op momenten van weinig wind en zon en</w:t>
      </w:r>
      <w:r w:rsidR="00252F15">
        <w:rPr>
          <w:szCs w:val="18"/>
        </w:rPr>
        <w:t xml:space="preserve"> een</w:t>
      </w:r>
      <w:r w:rsidRPr="000B3361">
        <w:rPr>
          <w:szCs w:val="18"/>
        </w:rPr>
        <w:t xml:space="preserve"> hoge vraag volledig aan de elektriciteitsvraag te voldoen. Doordat vooral regelbaar vermogen in de toekomst </w:t>
      </w:r>
      <w:r w:rsidRPr="000B3361">
        <w:rPr>
          <w:szCs w:val="18"/>
        </w:rPr>
        <w:lastRenderedPageBreak/>
        <w:t>steeds minder vaak zal worden ingezet, wordt het voor aanbieders moeilijker om de jaarlijkse vaste kosten van deze capaciteit te dekken. Tegelijkertijd kunnen batterijen en vraagrespons langere periodes met weinig hernieuwbare productie op dit moment nog niet overbruggen. Deze structurele uitdagingen en toegenomen risico’s worden onderstreept door de resultaten van de MVZ 2026.</w:t>
      </w:r>
    </w:p>
    <w:p w:rsidRPr="000B3361" w:rsidR="00BE26AB" w:rsidP="00BE26AB" w:rsidRDefault="00BE26AB" w14:paraId="6A1A1287" w14:textId="77777777">
      <w:pPr>
        <w:rPr>
          <w:szCs w:val="18"/>
        </w:rPr>
      </w:pPr>
    </w:p>
    <w:p w:rsidR="000B3361" w:rsidP="00BE26AB" w:rsidRDefault="000B3361" w14:paraId="3189A2A9" w14:textId="7CC1C254">
      <w:pPr>
        <w:rPr>
          <w:szCs w:val="18"/>
        </w:rPr>
      </w:pPr>
      <w:r w:rsidRPr="000B3361">
        <w:rPr>
          <w:szCs w:val="18"/>
        </w:rPr>
        <w:t xml:space="preserve">In aanvulling op het originele rapport heeft </w:t>
      </w:r>
      <w:proofErr w:type="spellStart"/>
      <w:r w:rsidRPr="000B3361">
        <w:rPr>
          <w:szCs w:val="18"/>
        </w:rPr>
        <w:t>TenneT</w:t>
      </w:r>
      <w:proofErr w:type="spellEnd"/>
      <w:r w:rsidRPr="000B3361">
        <w:rPr>
          <w:szCs w:val="18"/>
        </w:rPr>
        <w:t xml:space="preserve"> recent een corrigendum op de MVZ 2026 gepubliceerd</w:t>
      </w:r>
      <w:r w:rsidR="00105E05">
        <w:rPr>
          <w:szCs w:val="18"/>
        </w:rPr>
        <w:t>.</w:t>
      </w:r>
      <w:r w:rsidRPr="000B3361">
        <w:rPr>
          <w:rStyle w:val="Voetnootmarkering"/>
          <w:szCs w:val="18"/>
        </w:rPr>
        <w:footnoteReference w:id="3"/>
      </w:r>
      <w:r w:rsidRPr="000B3361">
        <w:rPr>
          <w:szCs w:val="18"/>
        </w:rPr>
        <w:t xml:space="preserve"> Daarin corrigeert </w:t>
      </w:r>
      <w:proofErr w:type="spellStart"/>
      <w:r w:rsidRPr="000B3361">
        <w:rPr>
          <w:szCs w:val="18"/>
        </w:rPr>
        <w:t>TenneT</w:t>
      </w:r>
      <w:proofErr w:type="spellEnd"/>
      <w:r w:rsidRPr="000B3361">
        <w:rPr>
          <w:szCs w:val="18"/>
        </w:rPr>
        <w:t xml:space="preserve"> een modelfout, waardoor het verwachte aantal uren per jaar met een tekort aan elektriciteit (LOLE) voor 2028, 2033 en 2035 lager uitvalt</w:t>
      </w:r>
      <w:r w:rsidRPr="000B3361" w:rsidDel="00E65123">
        <w:rPr>
          <w:szCs w:val="18"/>
        </w:rPr>
        <w:t xml:space="preserve"> dan in </w:t>
      </w:r>
      <w:r w:rsidR="00252F15">
        <w:rPr>
          <w:szCs w:val="18"/>
        </w:rPr>
        <w:t>de</w:t>
      </w:r>
      <w:r w:rsidRPr="000B3361" w:rsidDel="00E65123">
        <w:rPr>
          <w:szCs w:val="18"/>
        </w:rPr>
        <w:t xml:space="preserve"> brief van 19 juni </w:t>
      </w:r>
      <w:r w:rsidRPr="000B3361">
        <w:rPr>
          <w:szCs w:val="18"/>
        </w:rPr>
        <w:t>2026 vermeld</w:t>
      </w:r>
      <w:r w:rsidR="00105E05">
        <w:rPr>
          <w:szCs w:val="18"/>
        </w:rPr>
        <w:t>.</w:t>
      </w:r>
      <w:r w:rsidRPr="000B3361">
        <w:rPr>
          <w:rStyle w:val="Voetnootmarkering"/>
          <w:szCs w:val="18"/>
        </w:rPr>
        <w:footnoteReference w:id="4"/>
      </w:r>
      <w:r w:rsidRPr="000B3361">
        <w:rPr>
          <w:szCs w:val="18"/>
        </w:rPr>
        <w:t xml:space="preserve"> Voor 2030 blijft de verwachting ongewijzigd. De norm van vier uur tekort per jaar wordt ondanks deze correctie nog steeds vanaf 2030 overschreden, waardoor de conclusies en aanbevelingen van de monitor overeind blijven. </w:t>
      </w:r>
    </w:p>
    <w:p w:rsidRPr="000B3361" w:rsidR="00BE26AB" w:rsidP="00BE26AB" w:rsidRDefault="00BE26AB" w14:paraId="782A7D84" w14:textId="77777777">
      <w:pPr>
        <w:rPr>
          <w:rFonts w:eastAsia="Aptos" w:cs="Aptos"/>
          <w:szCs w:val="18"/>
        </w:rPr>
      </w:pPr>
    </w:p>
    <w:p w:rsidR="000B3361" w:rsidP="00BE26AB" w:rsidRDefault="000B3361" w14:paraId="0831FB19" w14:textId="77777777">
      <w:pPr>
        <w:rPr>
          <w:szCs w:val="18"/>
        </w:rPr>
      </w:pPr>
      <w:r w:rsidRPr="000B3361">
        <w:rPr>
          <w:szCs w:val="18"/>
        </w:rPr>
        <w:t xml:space="preserve">Naar aanleiding van deze ontwikkelingen heeft het kabinet daarom in de vorige Kamerbrief over dit onderwerp aangekondigd een marktbreed capaciteitsmechanisme in te voeren. Dit mechanisme moet het risico op schaarste en als gevolg daarvan het risico op uitval verminderen en leidt daarnaast gemiddeld tot minder en lagere prijspieken vergeleken met een situatie waarin die schaarste wel optreedt. Dit dempende effect op prijspieken heeft gemiddeld lagere groothandelsprijzen tot gevolg. Via jaarlijkse veilingen zullen aanbieders van productiecapaciteit, opslag en vraagrespons een vergoeding ontvangen via een centrale inkoper, in de Nederlandse situatie zal dit </w:t>
      </w:r>
      <w:proofErr w:type="spellStart"/>
      <w:r w:rsidRPr="000B3361">
        <w:rPr>
          <w:szCs w:val="18"/>
        </w:rPr>
        <w:t>TenneT</w:t>
      </w:r>
      <w:proofErr w:type="spellEnd"/>
      <w:r w:rsidRPr="000B3361">
        <w:rPr>
          <w:szCs w:val="18"/>
        </w:rPr>
        <w:t xml:space="preserve"> zijn. </w:t>
      </w:r>
    </w:p>
    <w:p w:rsidR="00BE26AB" w:rsidP="00BE26AB" w:rsidRDefault="00BE26AB" w14:paraId="776D4997" w14:textId="77777777">
      <w:pPr>
        <w:rPr>
          <w:szCs w:val="18"/>
        </w:rPr>
      </w:pPr>
    </w:p>
    <w:p w:rsidR="000B3361" w:rsidP="00BE26AB" w:rsidRDefault="000B3361" w14:paraId="007AAF6C" w14:textId="77777777">
      <w:pPr>
        <w:rPr>
          <w:b/>
          <w:bCs/>
          <w:szCs w:val="18"/>
        </w:rPr>
      </w:pPr>
      <w:r w:rsidRPr="000B3361">
        <w:rPr>
          <w:b/>
          <w:bCs/>
          <w:szCs w:val="18"/>
        </w:rPr>
        <w:t xml:space="preserve">Voortgang uitwerking </w:t>
      </w:r>
    </w:p>
    <w:p w:rsidRPr="000B3361" w:rsidR="00BE26AB" w:rsidP="00BE26AB" w:rsidRDefault="00BE26AB" w14:paraId="2778E216" w14:textId="77777777">
      <w:pPr>
        <w:rPr>
          <w:b/>
          <w:bCs/>
          <w:szCs w:val="18"/>
        </w:rPr>
      </w:pPr>
    </w:p>
    <w:p w:rsidR="000B3361" w:rsidP="00BE26AB" w:rsidRDefault="000B3361" w14:paraId="7DA884B1" w14:textId="77777777">
      <w:pPr>
        <w:rPr>
          <w:szCs w:val="18"/>
        </w:rPr>
      </w:pPr>
      <w:r w:rsidRPr="000B3361">
        <w:rPr>
          <w:szCs w:val="18"/>
        </w:rPr>
        <w:t xml:space="preserve">De uitwerking van het marktbreed capaciteitsmechanisme verloopt in nauwe samenwerking met </w:t>
      </w:r>
      <w:proofErr w:type="spellStart"/>
      <w:r w:rsidRPr="000B3361">
        <w:rPr>
          <w:szCs w:val="18"/>
        </w:rPr>
        <w:t>TenneT</w:t>
      </w:r>
      <w:proofErr w:type="spellEnd"/>
      <w:r w:rsidRPr="000B3361">
        <w:rPr>
          <w:szCs w:val="18"/>
        </w:rPr>
        <w:t xml:space="preserve"> en de Autoriteit Consument en Markt (ACM). Bij de vormgeving worden de volgende uitgangspunten meegenomen: </w:t>
      </w:r>
    </w:p>
    <w:p w:rsidRPr="000B3361" w:rsidR="00BE26AB" w:rsidP="00BE26AB" w:rsidRDefault="00BE26AB" w14:paraId="0F022A4D" w14:textId="77777777">
      <w:pPr>
        <w:rPr>
          <w:szCs w:val="18"/>
        </w:rPr>
      </w:pPr>
    </w:p>
    <w:p w:rsidRPr="000B3361" w:rsidR="000B3361" w:rsidP="00BE26AB" w:rsidRDefault="000B3361" w14:paraId="44F77EED" w14:textId="77777777">
      <w:pPr>
        <w:pStyle w:val="Lijstalinea"/>
        <w:numPr>
          <w:ilvl w:val="0"/>
          <w:numId w:val="16"/>
        </w:numPr>
        <w:spacing w:after="0" w:line="240" w:lineRule="atLeast"/>
        <w:rPr>
          <w:rFonts w:ascii="Verdana" w:hAnsi="Verdana"/>
          <w:sz w:val="18"/>
          <w:szCs w:val="18"/>
        </w:rPr>
      </w:pPr>
      <w:r w:rsidRPr="000B3361">
        <w:rPr>
          <w:rFonts w:ascii="Verdana" w:hAnsi="Verdana"/>
          <w:sz w:val="18"/>
          <w:szCs w:val="18"/>
        </w:rPr>
        <w:t>kostenefficiëntie: de kosten voor afnemers van elektriciteit worden zo laag mogelijk gehouden;</w:t>
      </w:r>
    </w:p>
    <w:p w:rsidRPr="000B3361" w:rsidR="000B3361" w:rsidP="00BE26AB" w:rsidRDefault="000B3361" w14:paraId="65CD1C71" w14:textId="77777777">
      <w:pPr>
        <w:pStyle w:val="Lijstalinea"/>
        <w:numPr>
          <w:ilvl w:val="0"/>
          <w:numId w:val="16"/>
        </w:numPr>
        <w:spacing w:after="0" w:line="240" w:lineRule="atLeast"/>
        <w:rPr>
          <w:rFonts w:ascii="Verdana" w:hAnsi="Verdana"/>
          <w:sz w:val="18"/>
          <w:szCs w:val="18"/>
        </w:rPr>
      </w:pPr>
      <w:r w:rsidRPr="000B3361">
        <w:rPr>
          <w:rFonts w:ascii="Verdana" w:hAnsi="Verdana"/>
          <w:sz w:val="18"/>
          <w:szCs w:val="18"/>
        </w:rPr>
        <w:t>technologieneutraliteit en -inclusiviteit: alle relevante technologieën kunnen deelnemen;</w:t>
      </w:r>
    </w:p>
    <w:p w:rsidRPr="000B3361" w:rsidR="000B3361" w:rsidP="00BE26AB" w:rsidRDefault="000B3361" w14:paraId="08C90CCC" w14:textId="77777777">
      <w:pPr>
        <w:pStyle w:val="Lijstalinea"/>
        <w:numPr>
          <w:ilvl w:val="0"/>
          <w:numId w:val="16"/>
        </w:numPr>
        <w:spacing w:after="0" w:line="240" w:lineRule="atLeast"/>
        <w:rPr>
          <w:rFonts w:ascii="Verdana" w:hAnsi="Verdana"/>
          <w:sz w:val="18"/>
          <w:szCs w:val="18"/>
        </w:rPr>
      </w:pPr>
      <w:r w:rsidRPr="000B3361" w:rsidDel="008F45C2">
        <w:rPr>
          <w:rFonts w:ascii="Verdana" w:hAnsi="Verdana"/>
          <w:sz w:val="18"/>
          <w:szCs w:val="18"/>
        </w:rPr>
        <w:t>a</w:t>
      </w:r>
      <w:r w:rsidRPr="000B3361">
        <w:rPr>
          <w:rFonts w:ascii="Verdana" w:hAnsi="Verdana"/>
          <w:sz w:val="18"/>
          <w:szCs w:val="18"/>
        </w:rPr>
        <w:t>ansluiting bij het CISAF-staatssteunkader</w:t>
      </w:r>
      <w:r w:rsidRPr="000B3361">
        <w:rPr>
          <w:rStyle w:val="Voetnootmarkering"/>
          <w:rFonts w:ascii="Verdana" w:hAnsi="Verdana"/>
          <w:sz w:val="18"/>
          <w:szCs w:val="18"/>
        </w:rPr>
        <w:footnoteReference w:id="5"/>
      </w:r>
      <w:r w:rsidRPr="000B3361">
        <w:rPr>
          <w:rFonts w:ascii="Verdana" w:hAnsi="Verdana"/>
          <w:sz w:val="18"/>
          <w:szCs w:val="18"/>
        </w:rPr>
        <w:t xml:space="preserve">, Europese regelgeving en bij mechanismen van buurlanden; </w:t>
      </w:r>
    </w:p>
    <w:p w:rsidR="3D65BB05" w:rsidP="3D65BB05" w:rsidRDefault="2CD68CFE" w14:paraId="040870EF" w14:textId="335D9BDE">
      <w:pPr>
        <w:pStyle w:val="Lijstalinea"/>
        <w:numPr>
          <w:ilvl w:val="0"/>
          <w:numId w:val="16"/>
        </w:numPr>
        <w:spacing w:after="0" w:line="240" w:lineRule="atLeast"/>
        <w:rPr>
          <w:rFonts w:ascii="Verdana" w:hAnsi="Verdana"/>
          <w:sz w:val="18"/>
          <w:szCs w:val="18"/>
        </w:rPr>
      </w:pPr>
      <w:r w:rsidRPr="1B10F0A0">
        <w:rPr>
          <w:rFonts w:ascii="Verdana" w:hAnsi="Verdana"/>
          <w:sz w:val="18"/>
          <w:szCs w:val="18"/>
        </w:rPr>
        <w:t>s</w:t>
      </w:r>
      <w:r w:rsidRPr="1B10F0A0" w:rsidR="15109DBF">
        <w:rPr>
          <w:rFonts w:ascii="Verdana" w:hAnsi="Verdana"/>
          <w:sz w:val="18"/>
          <w:szCs w:val="18"/>
        </w:rPr>
        <w:t>amenhang</w:t>
      </w:r>
      <w:r w:rsidRPr="7FD66FF9" w:rsidR="15109DBF">
        <w:rPr>
          <w:rFonts w:ascii="Verdana" w:hAnsi="Verdana"/>
          <w:sz w:val="18"/>
          <w:szCs w:val="18"/>
        </w:rPr>
        <w:t xml:space="preserve"> met verduurzaming van de </w:t>
      </w:r>
      <w:r w:rsidRPr="69590884" w:rsidR="15109DBF">
        <w:rPr>
          <w:rFonts w:ascii="Verdana" w:hAnsi="Verdana"/>
          <w:sz w:val="18"/>
          <w:szCs w:val="18"/>
        </w:rPr>
        <w:t>elektriciteitssector:</w:t>
      </w:r>
      <w:r w:rsidRPr="330066B1" w:rsidR="15109DBF">
        <w:rPr>
          <w:rFonts w:ascii="Verdana" w:hAnsi="Verdana"/>
          <w:sz w:val="18"/>
          <w:szCs w:val="18"/>
        </w:rPr>
        <w:t xml:space="preserve"> </w:t>
      </w:r>
      <w:r w:rsidRPr="075E4528" w:rsidR="15109DBF">
        <w:rPr>
          <w:rFonts w:ascii="Verdana" w:hAnsi="Verdana"/>
          <w:sz w:val="18"/>
          <w:szCs w:val="18"/>
        </w:rPr>
        <w:t xml:space="preserve">het ontwerp van </w:t>
      </w:r>
      <w:r w:rsidRPr="6CDF1C55" w:rsidR="15109DBF">
        <w:rPr>
          <w:rFonts w:ascii="Verdana" w:hAnsi="Verdana"/>
          <w:sz w:val="18"/>
          <w:szCs w:val="18"/>
        </w:rPr>
        <w:t xml:space="preserve">het mechanisme </w:t>
      </w:r>
      <w:r w:rsidRPr="6059E027" w:rsidR="15109DBF">
        <w:rPr>
          <w:rFonts w:ascii="Verdana" w:hAnsi="Verdana"/>
          <w:sz w:val="18"/>
          <w:szCs w:val="18"/>
        </w:rPr>
        <w:t xml:space="preserve">stimuleert waar mogelijk de </w:t>
      </w:r>
      <w:r w:rsidRPr="6AA7681D" w:rsidR="15109DBF">
        <w:rPr>
          <w:rFonts w:ascii="Verdana" w:hAnsi="Verdana"/>
          <w:sz w:val="18"/>
          <w:szCs w:val="18"/>
        </w:rPr>
        <w:t xml:space="preserve">inzet van </w:t>
      </w:r>
      <w:r w:rsidRPr="5D1D45A9" w:rsidR="15109DBF">
        <w:rPr>
          <w:rFonts w:ascii="Verdana" w:hAnsi="Verdana"/>
          <w:sz w:val="18"/>
          <w:szCs w:val="18"/>
        </w:rPr>
        <w:t xml:space="preserve">CO2-vrije </w:t>
      </w:r>
      <w:r w:rsidRPr="5952B9FA" w:rsidR="15109DBF">
        <w:rPr>
          <w:rFonts w:ascii="Verdana" w:hAnsi="Verdana"/>
          <w:sz w:val="18"/>
          <w:szCs w:val="18"/>
        </w:rPr>
        <w:t>capaciteit</w:t>
      </w:r>
      <w:r w:rsidRPr="09972E4F" w:rsidR="0DC4C097">
        <w:rPr>
          <w:rFonts w:ascii="Verdana" w:hAnsi="Verdana"/>
          <w:sz w:val="18"/>
          <w:szCs w:val="18"/>
        </w:rPr>
        <w:t>;</w:t>
      </w:r>
    </w:p>
    <w:p w:rsidRPr="000B3361" w:rsidR="000B3361" w:rsidP="00BE26AB" w:rsidRDefault="000B3361" w14:paraId="23FC973F" w14:textId="77777777">
      <w:pPr>
        <w:pStyle w:val="Lijstalinea"/>
        <w:numPr>
          <w:ilvl w:val="0"/>
          <w:numId w:val="16"/>
        </w:numPr>
        <w:spacing w:after="0" w:line="240" w:lineRule="atLeast"/>
        <w:rPr>
          <w:rFonts w:ascii="Verdana" w:hAnsi="Verdana"/>
          <w:sz w:val="18"/>
          <w:szCs w:val="18"/>
        </w:rPr>
      </w:pPr>
      <w:r w:rsidRPr="4336DA09">
        <w:rPr>
          <w:rFonts w:ascii="Verdana" w:hAnsi="Verdana"/>
          <w:sz w:val="18"/>
          <w:szCs w:val="18"/>
        </w:rPr>
        <w:t>snelle</w:t>
      </w:r>
      <w:r w:rsidRPr="000B3361">
        <w:rPr>
          <w:rFonts w:ascii="Verdana" w:hAnsi="Verdana"/>
          <w:sz w:val="18"/>
          <w:szCs w:val="18"/>
        </w:rPr>
        <w:t xml:space="preserve"> implementatie met ruimte voor toekomstige aanpassingen.</w:t>
      </w:r>
    </w:p>
    <w:p w:rsidR="00BE26AB" w:rsidP="00BE26AB" w:rsidRDefault="00BE26AB" w14:paraId="3487D3CF" w14:textId="77777777">
      <w:pPr>
        <w:rPr>
          <w:szCs w:val="18"/>
        </w:rPr>
      </w:pPr>
    </w:p>
    <w:p w:rsidR="000B3361" w:rsidP="00BE26AB" w:rsidRDefault="000B3361" w14:paraId="2C431B03" w14:textId="77B9F8B9">
      <w:pPr>
        <w:rPr>
          <w:rFonts w:eastAsia="Verdana" w:cs="Verdana"/>
          <w:szCs w:val="18"/>
        </w:rPr>
      </w:pPr>
      <w:r w:rsidRPr="000B3361">
        <w:rPr>
          <w:szCs w:val="18"/>
        </w:rPr>
        <w:lastRenderedPageBreak/>
        <w:t>De wettelijke grondslag voor het mechanisme is opgenomen in het op 7 juli 2026 ingediende Electricity Market Design (EMD-) wetsvoorstel.</w:t>
      </w:r>
      <w:r w:rsidR="00105E05">
        <w:rPr>
          <w:rStyle w:val="Voetnootmarkering"/>
          <w:szCs w:val="18"/>
        </w:rPr>
        <w:footnoteReference w:id="6"/>
      </w:r>
      <w:r w:rsidRPr="000B3361">
        <w:rPr>
          <w:szCs w:val="18"/>
        </w:rPr>
        <w:t xml:space="preserve"> De voor het capaciteitsmechanisme noodzakelijke </w:t>
      </w:r>
      <w:r w:rsidRPr="000B3361" w:rsidDel="00984253">
        <w:rPr>
          <w:szCs w:val="18"/>
        </w:rPr>
        <w:t>l</w:t>
      </w:r>
      <w:r w:rsidRPr="000B3361">
        <w:rPr>
          <w:szCs w:val="18"/>
        </w:rPr>
        <w:t>agere regelgeving zal volgens planning meelopen met het EMD-</w:t>
      </w:r>
      <w:r w:rsidRPr="000B3361" w:rsidDel="00984253">
        <w:rPr>
          <w:szCs w:val="18"/>
        </w:rPr>
        <w:t>wetsvoorstel en tegelijk</w:t>
      </w:r>
      <w:r w:rsidRPr="000B3361">
        <w:rPr>
          <w:szCs w:val="18"/>
        </w:rPr>
        <w:t xml:space="preserve"> hiermee </w:t>
      </w:r>
      <w:r w:rsidRPr="000B3361" w:rsidDel="00984253">
        <w:rPr>
          <w:szCs w:val="18"/>
        </w:rPr>
        <w:t>in werking treden</w:t>
      </w:r>
      <w:r w:rsidRPr="000B3361">
        <w:rPr>
          <w:szCs w:val="18"/>
        </w:rPr>
        <w:t>. De p</w:t>
      </w:r>
      <w:r w:rsidRPr="000B3361">
        <w:rPr>
          <w:rFonts w:eastAsia="Verdana" w:cs="Verdana"/>
          <w:szCs w:val="18"/>
        </w:rPr>
        <w:t>lanning is om de eerste uitwerking van het ontwerp</w:t>
      </w:r>
      <w:r w:rsidR="00252F15">
        <w:rPr>
          <w:rFonts w:eastAsia="Verdana" w:cs="Verdana"/>
          <w:szCs w:val="18"/>
        </w:rPr>
        <w:t xml:space="preserve"> van het capaciteitsmechanisme</w:t>
      </w:r>
      <w:r w:rsidRPr="000B3361">
        <w:rPr>
          <w:rFonts w:eastAsia="Verdana" w:cs="Verdana"/>
          <w:szCs w:val="18"/>
        </w:rPr>
        <w:t xml:space="preserve"> in december 2026 af te ronden. In het tweede kwartaal van 2027 is een consultatie van de regelgeving voorzien. Intussen is al een belangrijke processtap gezet met de formele indiening </w:t>
      </w:r>
      <w:r w:rsidRPr="000B3361" w:rsidDel="00237195">
        <w:rPr>
          <w:rFonts w:eastAsia="Verdana" w:cs="Verdana"/>
          <w:szCs w:val="18"/>
        </w:rPr>
        <w:t>in</w:t>
      </w:r>
      <w:r w:rsidRPr="000B3361">
        <w:rPr>
          <w:rFonts w:eastAsia="Verdana" w:cs="Verdana"/>
          <w:szCs w:val="18"/>
        </w:rPr>
        <w:t xml:space="preserve"> september jl. van het vereiste uitvoeringsplan (Market Reform Plan)</w:t>
      </w:r>
      <w:r w:rsidR="00105E05">
        <w:rPr>
          <w:rFonts w:eastAsia="Verdana" w:cs="Verdana"/>
          <w:szCs w:val="18"/>
        </w:rPr>
        <w:t xml:space="preserve"> bij de Europese Commissie (EC).</w:t>
      </w:r>
      <w:r w:rsidRPr="000B3361">
        <w:rPr>
          <w:rStyle w:val="Voetnootmarkering"/>
          <w:rFonts w:eastAsia="Verdana" w:cs="Verdana"/>
          <w:szCs w:val="18"/>
        </w:rPr>
        <w:footnoteReference w:id="7"/>
      </w:r>
      <w:r w:rsidRPr="000B3361">
        <w:rPr>
          <w:rFonts w:eastAsia="Verdana" w:cs="Verdana"/>
          <w:szCs w:val="18"/>
        </w:rPr>
        <w:t xml:space="preserve"> De EC zal haar formele opinie op dit plan begin 2027 uitbrengen.</w:t>
      </w:r>
    </w:p>
    <w:p w:rsidRPr="000B3361" w:rsidR="00BE26AB" w:rsidP="00BE26AB" w:rsidRDefault="00BE26AB" w14:paraId="4F0B4E11" w14:textId="77777777">
      <w:pPr>
        <w:rPr>
          <w:rFonts w:eastAsia="Verdana" w:cs="Verdana"/>
          <w:szCs w:val="18"/>
        </w:rPr>
      </w:pPr>
    </w:p>
    <w:p w:rsidR="000B3361" w:rsidP="00BE26AB" w:rsidRDefault="000B3361" w14:paraId="257014BD" w14:textId="69B9C410">
      <w:pPr>
        <w:rPr>
          <w:szCs w:val="18"/>
        </w:rPr>
      </w:pPr>
      <w:r w:rsidRPr="000B3361">
        <w:rPr>
          <w:szCs w:val="18"/>
        </w:rPr>
        <w:t xml:space="preserve">Naast de verwachte formele consultatie van de wet- en regelgeving in 2027 vindt er (informele) raadpleging plaats met brancheverenigingen via technische klankbordgroepen die op reguliere basis worden gefaciliteerd door </w:t>
      </w:r>
      <w:proofErr w:type="spellStart"/>
      <w:r w:rsidRPr="000B3361">
        <w:rPr>
          <w:szCs w:val="18"/>
        </w:rPr>
        <w:t>TenneT</w:t>
      </w:r>
      <w:proofErr w:type="spellEnd"/>
      <w:r w:rsidRPr="000B3361">
        <w:rPr>
          <w:szCs w:val="18"/>
        </w:rPr>
        <w:t xml:space="preserve">. Deze raadpleging richt zich op de technische en praktische aspecten van het mechanisme, om te waarborgen dat het goed uitvoerbaar is. De input uit deze raadpleging wordt meegenomen in de verdere uitwerking van het ontwerp. </w:t>
      </w:r>
    </w:p>
    <w:p w:rsidR="00BE26AB" w:rsidP="00BE26AB" w:rsidRDefault="00BE26AB" w14:paraId="25C53863" w14:textId="77777777">
      <w:pPr>
        <w:rPr>
          <w:szCs w:val="18"/>
        </w:rPr>
      </w:pPr>
    </w:p>
    <w:p w:rsidR="000B3361" w:rsidP="00BE26AB" w:rsidRDefault="000B3361" w14:paraId="57D8578C" w14:textId="7375D5C2">
      <w:pPr>
        <w:tabs>
          <w:tab w:val="center" w:pos="4513"/>
          <w:tab w:val="left" w:pos="4965"/>
        </w:tabs>
        <w:rPr>
          <w:b/>
          <w:bCs/>
          <w:szCs w:val="18"/>
        </w:rPr>
      </w:pPr>
      <w:r w:rsidRPr="000B3361">
        <w:rPr>
          <w:b/>
          <w:bCs/>
          <w:szCs w:val="18"/>
        </w:rPr>
        <w:t xml:space="preserve">Europese staatssteungoedkeuring </w:t>
      </w:r>
    </w:p>
    <w:p w:rsidRPr="000B3361" w:rsidR="00BE26AB" w:rsidP="00BE26AB" w:rsidRDefault="00BE26AB" w14:paraId="7B4E201D" w14:textId="77777777">
      <w:pPr>
        <w:tabs>
          <w:tab w:val="center" w:pos="4513"/>
          <w:tab w:val="left" w:pos="4965"/>
        </w:tabs>
        <w:rPr>
          <w:b/>
          <w:bCs/>
          <w:szCs w:val="18"/>
        </w:rPr>
      </w:pPr>
    </w:p>
    <w:p w:rsidR="000B3361" w:rsidP="00BE26AB" w:rsidRDefault="000B3361" w14:paraId="21A37B3D" w14:textId="77777777">
      <w:pPr>
        <w:rPr>
          <w:szCs w:val="18"/>
        </w:rPr>
      </w:pPr>
      <w:r w:rsidRPr="000B3361">
        <w:rPr>
          <w:szCs w:val="18"/>
        </w:rPr>
        <w:t>De Elektriciteitsverordening</w:t>
      </w:r>
      <w:r w:rsidRPr="000B3361">
        <w:rPr>
          <w:rStyle w:val="Voetnootmarkering"/>
          <w:szCs w:val="18"/>
        </w:rPr>
        <w:footnoteReference w:id="8"/>
      </w:r>
      <w:r w:rsidRPr="000B3361">
        <w:rPr>
          <w:szCs w:val="18"/>
        </w:rPr>
        <w:t xml:space="preserve"> en de staatssteunregels</w:t>
      </w:r>
      <w:r w:rsidRPr="000B3361">
        <w:rPr>
          <w:rStyle w:val="Voetnootmarkering"/>
          <w:szCs w:val="18"/>
        </w:rPr>
        <w:footnoteReference w:id="9"/>
      </w:r>
      <w:r w:rsidRPr="000B3361">
        <w:rPr>
          <w:szCs w:val="18"/>
        </w:rPr>
        <w:t xml:space="preserve"> maken goedkeuring van een capaciteitsmechanisme voor Nederland door de EC noodzakelijk. Dit proces bestaat uit een aantal elementen:</w:t>
      </w:r>
    </w:p>
    <w:p w:rsidRPr="000B3361" w:rsidR="00BE26AB" w:rsidP="00BE26AB" w:rsidRDefault="00BE26AB" w14:paraId="6496AB17" w14:textId="77777777">
      <w:pPr>
        <w:rPr>
          <w:szCs w:val="18"/>
        </w:rPr>
      </w:pPr>
    </w:p>
    <w:p w:rsidRPr="000B3361" w:rsidR="000B3361" w:rsidP="00BE26AB" w:rsidRDefault="000B3361" w14:paraId="17BBA3C9" w14:textId="77777777">
      <w:pPr>
        <w:pStyle w:val="Lijstalinea"/>
        <w:numPr>
          <w:ilvl w:val="0"/>
          <w:numId w:val="15"/>
        </w:numPr>
        <w:spacing w:after="0" w:line="240" w:lineRule="atLeast"/>
        <w:rPr>
          <w:rFonts w:ascii="Verdana" w:hAnsi="Verdana"/>
          <w:sz w:val="18"/>
          <w:szCs w:val="18"/>
        </w:rPr>
      </w:pPr>
      <w:r w:rsidRPr="000B3361">
        <w:rPr>
          <w:rFonts w:ascii="Verdana" w:hAnsi="Verdana"/>
          <w:sz w:val="18"/>
          <w:szCs w:val="18"/>
        </w:rPr>
        <w:t>het ontvangen van een opinie van de EC op het uitvoeringsplan, die begin 2027 wordt verwacht;</w:t>
      </w:r>
    </w:p>
    <w:p w:rsidRPr="000B3361" w:rsidR="000B3361" w:rsidP="00BE26AB" w:rsidRDefault="000B3361" w14:paraId="14871A95" w14:textId="77777777">
      <w:pPr>
        <w:pStyle w:val="Lijstalinea"/>
        <w:numPr>
          <w:ilvl w:val="0"/>
          <w:numId w:val="15"/>
        </w:numPr>
        <w:spacing w:after="0" w:line="240" w:lineRule="atLeast"/>
        <w:rPr>
          <w:rFonts w:ascii="Verdana" w:hAnsi="Verdana"/>
          <w:sz w:val="18"/>
          <w:szCs w:val="18"/>
        </w:rPr>
      </w:pPr>
      <w:r w:rsidRPr="000B3361">
        <w:rPr>
          <w:rFonts w:ascii="Verdana" w:hAnsi="Verdana"/>
          <w:sz w:val="18"/>
          <w:szCs w:val="18"/>
        </w:rPr>
        <w:t xml:space="preserve">het aantonen van een voorzieningszekerheidsprobleem, gebaseerd op de nationale of de Europese monitoring; </w:t>
      </w:r>
    </w:p>
    <w:p w:rsidRPr="000B3361" w:rsidR="000B3361" w:rsidP="00BE26AB" w:rsidRDefault="000B3361" w14:paraId="1E138153" w14:textId="77777777">
      <w:pPr>
        <w:pStyle w:val="Lijstalinea"/>
        <w:numPr>
          <w:ilvl w:val="0"/>
          <w:numId w:val="15"/>
        </w:numPr>
        <w:spacing w:after="0" w:line="240" w:lineRule="atLeast"/>
        <w:rPr>
          <w:rFonts w:ascii="Verdana" w:hAnsi="Verdana"/>
          <w:sz w:val="18"/>
          <w:szCs w:val="18"/>
        </w:rPr>
      </w:pPr>
      <w:r w:rsidRPr="000B3361">
        <w:rPr>
          <w:rFonts w:ascii="Verdana" w:hAnsi="Verdana"/>
          <w:sz w:val="18"/>
          <w:szCs w:val="18"/>
        </w:rPr>
        <w:t>(staatssteun)goedkeuring van de EC op het ontwerp van het capaciteitsmechanisme, waarbij het kabinet toewerkt naar goedkeuring in het derde kwartaal van 2027.</w:t>
      </w:r>
    </w:p>
    <w:p w:rsidR="00BE26AB" w:rsidP="00BE26AB" w:rsidRDefault="00BE26AB" w14:paraId="6D8C0615" w14:textId="77777777">
      <w:pPr>
        <w:rPr>
          <w:szCs w:val="18"/>
        </w:rPr>
      </w:pPr>
    </w:p>
    <w:p w:rsidR="000B3361" w:rsidP="00BE26AB" w:rsidRDefault="000B3361" w14:paraId="6D5513A8" w14:textId="3059512D">
      <w:pPr>
        <w:rPr>
          <w:rFonts w:eastAsia="Segoe UI" w:cs="Segoe UI"/>
          <w:color w:val="242424"/>
          <w:szCs w:val="18"/>
        </w:rPr>
      </w:pPr>
      <w:r w:rsidRPr="000B3361">
        <w:rPr>
          <w:szCs w:val="18"/>
        </w:rPr>
        <w:t xml:space="preserve">Er vinden thans op ambtelijk niveau informele gesprekken met de EC plaats om de stand van zaken te bespreken en eventuele aandachtspunten in een vroeg stadium te identificeren. </w:t>
      </w:r>
      <w:r w:rsidRPr="000B3361">
        <w:rPr>
          <w:rFonts w:eastAsia="Segoe UI" w:cs="Segoe UI"/>
          <w:color w:val="242424"/>
          <w:szCs w:val="18"/>
        </w:rPr>
        <w:t xml:space="preserve">Zodra het ontwerp van het mechanisme op hoofdlijnen is </w:t>
      </w:r>
      <w:r w:rsidRPr="000B3361">
        <w:rPr>
          <w:szCs w:val="18"/>
        </w:rPr>
        <w:t xml:space="preserve">uitgewerkt </w:t>
      </w:r>
      <w:r w:rsidRPr="000B3361">
        <w:rPr>
          <w:rFonts w:eastAsia="Segoe UI" w:cs="Segoe UI"/>
          <w:color w:val="242424"/>
          <w:szCs w:val="18"/>
        </w:rPr>
        <w:t xml:space="preserve">en er voldoende vertrouwen bij het kabinet </w:t>
      </w:r>
      <w:r w:rsidR="00252F15">
        <w:rPr>
          <w:rFonts w:eastAsia="Segoe UI" w:cs="Segoe UI"/>
          <w:color w:val="242424"/>
          <w:szCs w:val="18"/>
        </w:rPr>
        <w:t xml:space="preserve">is </w:t>
      </w:r>
      <w:r w:rsidRPr="000B3361">
        <w:rPr>
          <w:rFonts w:eastAsia="Segoe UI" w:cs="Segoe UI"/>
          <w:color w:val="242424"/>
          <w:szCs w:val="18"/>
        </w:rPr>
        <w:t xml:space="preserve">dat </w:t>
      </w:r>
      <w:r w:rsidRPr="000B3361">
        <w:rPr>
          <w:szCs w:val="18"/>
        </w:rPr>
        <w:t>het voorstel op steun van de EC kan rekenen</w:t>
      </w:r>
      <w:r w:rsidRPr="000B3361">
        <w:rPr>
          <w:rFonts w:eastAsia="Segoe UI" w:cs="Segoe UI"/>
          <w:color w:val="242424"/>
          <w:szCs w:val="18"/>
        </w:rPr>
        <w:t xml:space="preserve">, zal Nederland </w:t>
      </w:r>
      <w:r w:rsidRPr="000B3361">
        <w:rPr>
          <w:szCs w:val="18"/>
        </w:rPr>
        <w:t>de</w:t>
      </w:r>
      <w:r w:rsidRPr="000B3361">
        <w:rPr>
          <w:rFonts w:eastAsia="Segoe UI" w:cs="Segoe UI"/>
          <w:color w:val="242424"/>
          <w:szCs w:val="18"/>
        </w:rPr>
        <w:t xml:space="preserve"> formele goedkeuringsprocedure </w:t>
      </w:r>
      <w:r w:rsidRPr="000B3361">
        <w:rPr>
          <w:szCs w:val="18"/>
        </w:rPr>
        <w:t>in gang zetten</w:t>
      </w:r>
      <w:r w:rsidRPr="000B3361">
        <w:rPr>
          <w:rFonts w:eastAsia="Segoe UI" w:cs="Segoe UI"/>
          <w:color w:val="242424"/>
          <w:szCs w:val="18"/>
        </w:rPr>
        <w:t>.</w:t>
      </w:r>
    </w:p>
    <w:p w:rsidRPr="000B3361" w:rsidR="00BE26AB" w:rsidP="00BE26AB" w:rsidRDefault="00BE26AB" w14:paraId="7E0CBE1E" w14:textId="77777777">
      <w:pPr>
        <w:rPr>
          <w:szCs w:val="18"/>
        </w:rPr>
      </w:pPr>
    </w:p>
    <w:p w:rsidR="000B3361" w:rsidP="00BE26AB" w:rsidRDefault="000B3361" w14:paraId="73E0114F" w14:textId="36B0E3D0">
      <w:r>
        <w:t xml:space="preserve">Om het mechanisme adequaat te kunnen dimensioneren, is het bovendien nodig om een betrouwbaarheidsnorm oftewel </w:t>
      </w:r>
      <w:r w:rsidRPr="07789DD4">
        <w:rPr>
          <w:i/>
        </w:rPr>
        <w:t>Reliability Standard</w:t>
      </w:r>
      <w:r>
        <w:t xml:space="preserve"> (RS) vast te stellen. </w:t>
      </w:r>
      <w:r w:rsidR="00A95C90">
        <w:lastRenderedPageBreak/>
        <w:t>Deze betrouwbaarheidsnorm geeft aan hoeveel uur per jaar een tekort aan elektriciteit acceptabel is</w:t>
      </w:r>
      <w:r w:rsidR="007D7949">
        <w:t xml:space="preserve"> </w:t>
      </w:r>
      <w:r w:rsidRPr="00210AA4" w:rsidR="007D7949">
        <w:rPr>
          <w:i/>
        </w:rPr>
        <w:t>(</w:t>
      </w:r>
      <w:proofErr w:type="spellStart"/>
      <w:r w:rsidRPr="00210AA4" w:rsidR="00433F4D">
        <w:rPr>
          <w:i/>
        </w:rPr>
        <w:t>Loss</w:t>
      </w:r>
      <w:proofErr w:type="spellEnd"/>
      <w:r w:rsidRPr="00210AA4" w:rsidR="00433F4D">
        <w:rPr>
          <w:i/>
        </w:rPr>
        <w:t xml:space="preserve"> of Load </w:t>
      </w:r>
      <w:proofErr w:type="spellStart"/>
      <w:r w:rsidRPr="00210AA4" w:rsidR="007B5B3F">
        <w:rPr>
          <w:i/>
        </w:rPr>
        <w:t>E</w:t>
      </w:r>
      <w:r w:rsidRPr="00210AA4" w:rsidR="00433F4D">
        <w:rPr>
          <w:i/>
        </w:rPr>
        <w:t>xpectation</w:t>
      </w:r>
      <w:proofErr w:type="spellEnd"/>
      <w:r w:rsidR="00433F4D">
        <w:t xml:space="preserve">, LOLE) en bepaalt daarmee hoeveel capaciteit het mechanisme moet borgen. </w:t>
      </w:r>
      <w:r w:rsidR="006F1390">
        <w:t xml:space="preserve">Conform </w:t>
      </w:r>
      <w:r w:rsidRPr="00210AA4" w:rsidR="0084680B">
        <w:t xml:space="preserve">Verordening </w:t>
      </w:r>
      <w:r w:rsidR="003A36BA">
        <w:t>(EU)</w:t>
      </w:r>
      <w:r w:rsidR="0084680B">
        <w:t xml:space="preserve"> 2019/943 wordt de RS vastgesteld op basis van </w:t>
      </w:r>
      <w:r w:rsidR="00D43268">
        <w:t>twee waarden: de</w:t>
      </w:r>
      <w:r w:rsidRPr="00210AA4">
        <w:t xml:space="preserve"> </w:t>
      </w:r>
      <w:r w:rsidRPr="00210AA4">
        <w:rPr>
          <w:i/>
        </w:rPr>
        <w:t>Value of Lost Load</w:t>
      </w:r>
      <w:r w:rsidRPr="00210AA4">
        <w:t xml:space="preserve"> ( </w:t>
      </w:r>
      <w:proofErr w:type="spellStart"/>
      <w:r w:rsidRPr="00210AA4">
        <w:t>VoLL</w:t>
      </w:r>
      <w:proofErr w:type="spellEnd"/>
      <w:r w:rsidRPr="00210AA4">
        <w:t>)</w:t>
      </w:r>
      <w:r w:rsidR="00D43268">
        <w:t xml:space="preserve">, de waarde die afnemers hechten aan elektriciteit die </w:t>
      </w:r>
      <w:r w:rsidR="00791D39">
        <w:t xml:space="preserve">op een bepaald moment niet geleverd kan worden, </w:t>
      </w:r>
      <w:r w:rsidRPr="00210AA4">
        <w:t xml:space="preserve">en </w:t>
      </w:r>
      <w:r w:rsidR="00791D39">
        <w:t xml:space="preserve">de </w:t>
      </w:r>
      <w:proofErr w:type="spellStart"/>
      <w:r w:rsidRPr="00210AA4">
        <w:rPr>
          <w:i/>
        </w:rPr>
        <w:t>Cost</w:t>
      </w:r>
      <w:proofErr w:type="spellEnd"/>
      <w:r w:rsidRPr="00210AA4">
        <w:rPr>
          <w:i/>
        </w:rPr>
        <w:t xml:space="preserve"> of New Entry</w:t>
      </w:r>
      <w:r w:rsidRPr="00210AA4">
        <w:t xml:space="preserve"> (C</w:t>
      </w:r>
      <w:r w:rsidR="007344F5">
        <w:t>O</w:t>
      </w:r>
      <w:r w:rsidRPr="00210AA4">
        <w:t>NE)</w:t>
      </w:r>
      <w:r w:rsidR="00791D39">
        <w:t xml:space="preserve">, de </w:t>
      </w:r>
      <w:r w:rsidR="009B4B19">
        <w:t xml:space="preserve">geschatte vaste en variabele </w:t>
      </w:r>
      <w:r w:rsidR="00791D39">
        <w:t xml:space="preserve">kosten </w:t>
      </w:r>
      <w:r w:rsidR="0093741F">
        <w:t>om nieuwe (productie-)capaciteit te r</w:t>
      </w:r>
      <w:r w:rsidR="0D0149E3">
        <w:t>e</w:t>
      </w:r>
      <w:r w:rsidR="00791D39">
        <w:t>aliseren</w:t>
      </w:r>
      <w:r w:rsidRPr="00210AA4" w:rsidR="00105E05">
        <w:t>.</w:t>
      </w:r>
      <w:r w:rsidR="00DA0BA6">
        <w:t xml:space="preserve"> </w:t>
      </w:r>
      <w:r w:rsidR="00581F6B">
        <w:t xml:space="preserve">De </w:t>
      </w:r>
      <w:r w:rsidR="00DA0BA6">
        <w:t>betrouwbaarheids</w:t>
      </w:r>
      <w:r w:rsidR="00581F6B">
        <w:t xml:space="preserve">norm wordt </w:t>
      </w:r>
      <w:r w:rsidR="00DA0BA6">
        <w:t xml:space="preserve">zo </w:t>
      </w:r>
      <w:r w:rsidR="00581F6B">
        <w:t xml:space="preserve">vastgelegd </w:t>
      </w:r>
      <w:r w:rsidR="00DA0BA6">
        <w:t>dat</w:t>
      </w:r>
      <w:r w:rsidR="00581F6B">
        <w:t xml:space="preserve"> de kosten van </w:t>
      </w:r>
      <w:r w:rsidR="00253BD6">
        <w:t xml:space="preserve">extra capaciteit in balans zijn met de baten van </w:t>
      </w:r>
      <w:r w:rsidR="00FD32B5">
        <w:t xml:space="preserve">vermeden </w:t>
      </w:r>
      <w:r w:rsidR="00253BD6">
        <w:t>onderbrekingen</w:t>
      </w:r>
      <w:r w:rsidR="00302FFA">
        <w:t>.</w:t>
      </w:r>
      <w:r w:rsidRPr="00210AA4">
        <w:t xml:space="preserve"> </w:t>
      </w:r>
      <w:r w:rsidRPr="07789DD4">
        <w:rPr>
          <w:lang w:val="en-US"/>
        </w:rPr>
        <w:t xml:space="preserve">ACER (EU Agency for the Cooperation of Energy Regulators) </w:t>
      </w:r>
      <w:proofErr w:type="spellStart"/>
      <w:r w:rsidRPr="07789DD4">
        <w:rPr>
          <w:lang w:val="en-US"/>
        </w:rPr>
        <w:t>identificeert</w:t>
      </w:r>
      <w:proofErr w:type="spellEnd"/>
      <w:r w:rsidRPr="07789DD4">
        <w:rPr>
          <w:lang w:val="en-US"/>
        </w:rPr>
        <w:t xml:space="preserve"> </w:t>
      </w:r>
      <w:proofErr w:type="spellStart"/>
      <w:r w:rsidRPr="07789DD4">
        <w:rPr>
          <w:lang w:val="en-US"/>
        </w:rPr>
        <w:t>beide</w:t>
      </w:r>
      <w:proofErr w:type="spellEnd"/>
      <w:r w:rsidRPr="07789DD4">
        <w:rPr>
          <w:lang w:val="en-US"/>
        </w:rPr>
        <w:t xml:space="preserve"> </w:t>
      </w:r>
      <w:proofErr w:type="spellStart"/>
      <w:r w:rsidRPr="07789DD4">
        <w:rPr>
          <w:lang w:val="en-US"/>
        </w:rPr>
        <w:t>waardes</w:t>
      </w:r>
      <w:proofErr w:type="spellEnd"/>
      <w:r w:rsidRPr="07789DD4">
        <w:rPr>
          <w:lang w:val="en-US"/>
        </w:rPr>
        <w:t xml:space="preserve"> voor alle </w:t>
      </w:r>
      <w:proofErr w:type="spellStart"/>
      <w:r w:rsidRPr="07789DD4">
        <w:rPr>
          <w:lang w:val="en-US"/>
        </w:rPr>
        <w:t>lidstaten</w:t>
      </w:r>
      <w:proofErr w:type="spellEnd"/>
      <w:r w:rsidRPr="07789DD4">
        <w:rPr>
          <w:lang w:val="en-US"/>
        </w:rPr>
        <w:t xml:space="preserve">. </w:t>
      </w:r>
      <w:r>
        <w:t>ACER heeft recent datasets gepubliceerd</w:t>
      </w:r>
      <w:r w:rsidRPr="07789DD4">
        <w:rPr>
          <w:rStyle w:val="Voetnootmarkering"/>
        </w:rPr>
        <w:footnoteReference w:id="10"/>
      </w:r>
      <w:r>
        <w:t xml:space="preserve"> waarmee het mogelijk is om voor Nederland een </w:t>
      </w:r>
      <w:proofErr w:type="spellStart"/>
      <w:r>
        <w:t>CoNE</w:t>
      </w:r>
      <w:proofErr w:type="spellEnd"/>
      <w:r>
        <w:t xml:space="preserve">-waarde te berekenen. De </w:t>
      </w:r>
      <w:proofErr w:type="spellStart"/>
      <w:r>
        <w:t>VoLL</w:t>
      </w:r>
      <w:proofErr w:type="spellEnd"/>
      <w:r>
        <w:t xml:space="preserve"> zal naar verwachting in de loop van 2027 door ACER worden opgeleverd. Om het Nederlandse tijdspad voor de RS niet afhankelijk te maken van de doorlooptijd van dit Europese proces en maximale snelheid te behouden voor implementatie van het capaciteitsmechanisme zal de ACM, naast het proces dat ACER doorloopt, </w:t>
      </w:r>
      <w:r w:rsidDel="00C039F8">
        <w:t>de</w:t>
      </w:r>
      <w:r>
        <w:t xml:space="preserve"> </w:t>
      </w:r>
      <w:proofErr w:type="spellStart"/>
      <w:r>
        <w:t>VoLL</w:t>
      </w:r>
      <w:proofErr w:type="spellEnd"/>
      <w:r>
        <w:t xml:space="preserve">-waarde </w:t>
      </w:r>
      <w:r w:rsidDel="00C039F8">
        <w:t xml:space="preserve">via een extern onafhankelijk onderzoek </w:t>
      </w:r>
      <w:r>
        <w:t>opnieuw nationaal vaststellen (dit laatste is tevens een vijfjaarlijkse verplichting volgens de Elektriciteitsverordening)</w:t>
      </w:r>
      <w:r w:rsidR="003848BB">
        <w:t>.</w:t>
      </w:r>
      <w:r w:rsidDel="00C039F8">
        <w:t xml:space="preserve"> Dit zorgt ervoor </w:t>
      </w:r>
      <w:r>
        <w:t xml:space="preserve">dat de RS tijdig kan worden bepaald, zodat de implementatie van het mechanisme op schema blijft. </w:t>
      </w:r>
    </w:p>
    <w:p w:rsidR="00BE26AB" w:rsidP="00BE26AB" w:rsidRDefault="00BE26AB" w14:paraId="3B3E0B47" w14:textId="77777777">
      <w:pPr>
        <w:rPr>
          <w:b/>
          <w:bCs/>
          <w:szCs w:val="18"/>
        </w:rPr>
      </w:pPr>
    </w:p>
    <w:p w:rsidR="000B3361" w:rsidP="00BE26AB" w:rsidRDefault="000B3361" w14:paraId="7604F882" w14:textId="3812907E">
      <w:pPr>
        <w:rPr>
          <w:b/>
          <w:bCs/>
          <w:szCs w:val="18"/>
        </w:rPr>
      </w:pPr>
      <w:r w:rsidRPr="000B3361">
        <w:rPr>
          <w:b/>
          <w:bCs/>
          <w:szCs w:val="18"/>
        </w:rPr>
        <w:t xml:space="preserve">Financiering </w:t>
      </w:r>
    </w:p>
    <w:p w:rsidRPr="000B3361" w:rsidR="00BE26AB" w:rsidP="00BE26AB" w:rsidRDefault="00BE26AB" w14:paraId="3028E4EE" w14:textId="77777777">
      <w:pPr>
        <w:rPr>
          <w:b/>
          <w:bCs/>
          <w:szCs w:val="18"/>
        </w:rPr>
      </w:pPr>
    </w:p>
    <w:p w:rsidR="000B3361" w:rsidP="00BE26AB" w:rsidRDefault="000B3361" w14:paraId="37BE9A53" w14:textId="19C0982F">
      <w:pPr>
        <w:rPr>
          <w:szCs w:val="18"/>
        </w:rPr>
      </w:pPr>
      <w:r w:rsidRPr="000B3361">
        <w:rPr>
          <w:szCs w:val="18"/>
        </w:rPr>
        <w:t>Zoals in de Kamerbrief van juni jl.</w:t>
      </w:r>
      <w:r w:rsidRPr="000B3361">
        <w:rPr>
          <w:rStyle w:val="Voetnootmarkering"/>
          <w:szCs w:val="18"/>
        </w:rPr>
        <w:footnoteReference w:id="11"/>
      </w:r>
      <w:r w:rsidRPr="000B3361">
        <w:rPr>
          <w:szCs w:val="18"/>
        </w:rPr>
        <w:t xml:space="preserve"> is toegelicht, zullen de kosten van het mechanisme door de netbeheerders bij de eindgebruiker in rekening gebracht worden via tarieven. Uitgangspunt hierbij is dat alle verbruikers die tijdens uren met de grootste schaarste aan elektriciteit vermogen onttrekken aan het net gaan betalen voor het mechanisme. Op deze manier worden de kosten van de maatregel gedragen door de afnemers die aan de behoefte aan de maatregel hebben bijgedragen</w:t>
      </w:r>
      <w:r w:rsidR="00105E05">
        <w:rPr>
          <w:szCs w:val="18"/>
        </w:rPr>
        <w:t>.</w:t>
      </w:r>
      <w:r w:rsidRPr="000B3361">
        <w:rPr>
          <w:rStyle w:val="Voetnootmarkering"/>
          <w:szCs w:val="18"/>
        </w:rPr>
        <w:footnoteReference w:id="12"/>
      </w:r>
      <w:r w:rsidRPr="000B3361">
        <w:rPr>
          <w:szCs w:val="18"/>
        </w:rPr>
        <w:t xml:space="preserve"> Dit betekent dat de bijdrage die gebruikers van elektriciteit zullen betalen, zal worden gekoppeld aan het moment waarop zij verbruiken; hoe meer verbruik tijdens schaarste aan elektriciteit, hoe groter de bijdrage aan de kosten die daardoor ontstaan. Verplaatst het verbruik zich naar periodes buiten deze momenten, dan blijft de bijdrage beperkt. Dit creëert een prikkel om het verbruik te verschuiven naar momenten waarop voldoende stroom beschikbaar is. Zo zorgt de verrekening ervoor dat wie het meest bijdraagt aan de noodzaak van een capaciteitsmechanisme daar financieel ook het meest aan bijdraagt. Voor de kleine </w:t>
      </w:r>
      <w:r w:rsidRPr="000B3361" w:rsidDel="73A34511">
        <w:rPr>
          <w:szCs w:val="18"/>
        </w:rPr>
        <w:t>aansluitingen</w:t>
      </w:r>
      <w:r w:rsidRPr="000B3361">
        <w:rPr>
          <w:szCs w:val="18"/>
        </w:rPr>
        <w:t xml:space="preserve"> wordt in de uitwerking van de verrekening zoveel mogelijk verbinding gezocht bij de tijdsafhankelijke transporttarieven die ook op dit moment worden ontwikkeld. Ook hieraan zal de EC staatssteungoedkeuring moeten verlenen</w:t>
      </w:r>
      <w:r w:rsidR="00341D6B">
        <w:rPr>
          <w:szCs w:val="18"/>
        </w:rPr>
        <w:t xml:space="preserve"> en </w:t>
      </w:r>
      <w:r w:rsidR="00210250">
        <w:rPr>
          <w:szCs w:val="18"/>
        </w:rPr>
        <w:t xml:space="preserve">dit element </w:t>
      </w:r>
      <w:r w:rsidR="00341D6B">
        <w:rPr>
          <w:szCs w:val="18"/>
        </w:rPr>
        <w:t xml:space="preserve">is onderdeel van de </w:t>
      </w:r>
      <w:r w:rsidR="00210250">
        <w:rPr>
          <w:szCs w:val="18"/>
        </w:rPr>
        <w:t xml:space="preserve">eerdergenoemde </w:t>
      </w:r>
      <w:r w:rsidR="00341D6B">
        <w:rPr>
          <w:szCs w:val="18"/>
        </w:rPr>
        <w:t>informele gesprekken</w:t>
      </w:r>
      <w:r w:rsidR="00210250">
        <w:rPr>
          <w:szCs w:val="18"/>
        </w:rPr>
        <w:t xml:space="preserve"> met de EC</w:t>
      </w:r>
      <w:r w:rsidRPr="000B3361">
        <w:rPr>
          <w:szCs w:val="18"/>
        </w:rPr>
        <w:t xml:space="preserve">. </w:t>
      </w:r>
      <w:r w:rsidR="00272199">
        <w:rPr>
          <w:szCs w:val="18"/>
        </w:rPr>
        <w:t>D</w:t>
      </w:r>
      <w:r w:rsidRPr="000B3361">
        <w:rPr>
          <w:szCs w:val="18"/>
        </w:rPr>
        <w:t>e netbeheerders</w:t>
      </w:r>
      <w:r w:rsidR="00272199">
        <w:rPr>
          <w:szCs w:val="18"/>
        </w:rPr>
        <w:t xml:space="preserve"> werken</w:t>
      </w:r>
      <w:r w:rsidRPr="000B3361">
        <w:rPr>
          <w:szCs w:val="18"/>
        </w:rPr>
        <w:t xml:space="preserve"> nu aan een voorstel</w:t>
      </w:r>
      <w:r w:rsidR="00272199">
        <w:rPr>
          <w:szCs w:val="18"/>
        </w:rPr>
        <w:t xml:space="preserve"> hoe </w:t>
      </w:r>
      <w:r w:rsidR="00210250">
        <w:rPr>
          <w:szCs w:val="18"/>
        </w:rPr>
        <w:t xml:space="preserve">een dergelijke </w:t>
      </w:r>
      <w:r w:rsidR="00272199">
        <w:rPr>
          <w:szCs w:val="18"/>
        </w:rPr>
        <w:t>bijdrage voor het capaciteitsmechanisme kan worden uitgewerkt</w:t>
      </w:r>
      <w:r w:rsidRPr="000B3361">
        <w:rPr>
          <w:szCs w:val="18"/>
        </w:rPr>
        <w:t>.</w:t>
      </w:r>
      <w:r w:rsidRPr="000B3361" w:rsidDel="73A34511">
        <w:rPr>
          <w:szCs w:val="18"/>
        </w:rPr>
        <w:t xml:space="preserve"> </w:t>
      </w:r>
      <w:r w:rsidR="00272199">
        <w:rPr>
          <w:szCs w:val="18"/>
        </w:rPr>
        <w:t xml:space="preserve">Relevante partijen zullen </w:t>
      </w:r>
      <w:r w:rsidR="00210250">
        <w:rPr>
          <w:szCs w:val="18"/>
        </w:rPr>
        <w:t>daarna de</w:t>
      </w:r>
      <w:r w:rsidR="00272199">
        <w:rPr>
          <w:szCs w:val="18"/>
        </w:rPr>
        <w:t xml:space="preserve"> gelegenheid krijgen zich hierover uit te laten. </w:t>
      </w:r>
    </w:p>
    <w:p w:rsidR="00BE26AB" w:rsidP="00BE26AB" w:rsidRDefault="00BE26AB" w14:paraId="3CAEA7FF" w14:textId="77777777">
      <w:pPr>
        <w:rPr>
          <w:b/>
          <w:bCs/>
          <w:szCs w:val="18"/>
        </w:rPr>
      </w:pPr>
    </w:p>
    <w:p w:rsidR="000B3361" w:rsidP="00BE26AB" w:rsidRDefault="000B3361" w14:paraId="263328D0" w14:textId="1473E1EB">
      <w:pPr>
        <w:rPr>
          <w:b/>
          <w:bCs/>
          <w:szCs w:val="18"/>
        </w:rPr>
      </w:pPr>
      <w:r w:rsidRPr="000B3361">
        <w:rPr>
          <w:b/>
          <w:bCs/>
          <w:szCs w:val="18"/>
        </w:rPr>
        <w:t xml:space="preserve">Vervolgproces </w:t>
      </w:r>
    </w:p>
    <w:p w:rsidRPr="000B3361" w:rsidR="00BE26AB" w:rsidP="00BE26AB" w:rsidRDefault="00BE26AB" w14:paraId="78E58B7B" w14:textId="77777777">
      <w:pPr>
        <w:rPr>
          <w:b/>
          <w:bCs/>
          <w:szCs w:val="18"/>
        </w:rPr>
      </w:pPr>
    </w:p>
    <w:p w:rsidR="000B3361" w:rsidP="00BE26AB" w:rsidRDefault="000B3361" w14:paraId="13B1720E" w14:textId="77777777">
      <w:pPr>
        <w:rPr>
          <w:szCs w:val="18"/>
        </w:rPr>
      </w:pPr>
      <w:r w:rsidRPr="000B3361">
        <w:rPr>
          <w:szCs w:val="18"/>
        </w:rPr>
        <w:t xml:space="preserve">Het kabinet werkt voortvarend verder aan de voorbereidingen voor de eerste capaciteitsveilingen in 2028, met als doel om voor de winter 2029/2030 voldoende capaciteit te contracteren en daarmee de in de MVZ voorziene risico’s tijdig terug te brengen richting de betrouwbaarheidsnorm. De constructieve samenwerking met </w:t>
      </w:r>
      <w:proofErr w:type="spellStart"/>
      <w:r w:rsidRPr="000B3361">
        <w:rPr>
          <w:szCs w:val="18"/>
        </w:rPr>
        <w:t>TenneT</w:t>
      </w:r>
      <w:proofErr w:type="spellEnd"/>
      <w:r w:rsidRPr="000B3361">
        <w:rPr>
          <w:szCs w:val="18"/>
        </w:rPr>
        <w:t>, regionale netbeheerders, ACM en marktpartijen via brancheorganisaties wordt in dit verband zeer gewaardeerd. De gezamenlijke inspanningen dragen bij aan het succesvol vormgeven van het capaciteitsmechanisme. Hoewel de planning ambitieus is, ligt het proces op dit moment op koers om deze doelstelling tijdig te realiseren.</w:t>
      </w:r>
    </w:p>
    <w:p w:rsidRPr="000B3361" w:rsidR="00BE26AB" w:rsidP="00BE26AB" w:rsidRDefault="00BE26AB" w14:paraId="4C9B17BB" w14:textId="77777777">
      <w:pPr>
        <w:rPr>
          <w:szCs w:val="18"/>
        </w:rPr>
      </w:pPr>
    </w:p>
    <w:p w:rsidRPr="000B3361" w:rsidR="000B3361" w:rsidP="00BE26AB" w:rsidRDefault="000B3361" w14:paraId="1971494C" w14:textId="26A73F2E">
      <w:pPr>
        <w:rPr>
          <w:szCs w:val="18"/>
        </w:rPr>
      </w:pPr>
      <w:r w:rsidRPr="000B3361">
        <w:rPr>
          <w:szCs w:val="18"/>
        </w:rPr>
        <w:t>Het kabinet zal uw Kamer</w:t>
      </w:r>
      <w:r w:rsidR="00063519">
        <w:rPr>
          <w:szCs w:val="18"/>
        </w:rPr>
        <w:t xml:space="preserve"> in </w:t>
      </w:r>
      <w:r w:rsidR="00FD32B5">
        <w:rPr>
          <w:szCs w:val="18"/>
        </w:rPr>
        <w:t>het eerste kwartaal van 2027</w:t>
      </w:r>
      <w:r w:rsidR="00063519">
        <w:rPr>
          <w:szCs w:val="18"/>
        </w:rPr>
        <w:t xml:space="preserve"> informeren over de verdere voortgang.</w:t>
      </w:r>
      <w:r w:rsidRPr="000B3361">
        <w:rPr>
          <w:szCs w:val="18"/>
        </w:rPr>
        <w:t xml:space="preserve"> </w:t>
      </w:r>
    </w:p>
    <w:p w:rsidRPr="000B3361" w:rsidR="004425CC" w:rsidP="00BE26AB" w:rsidRDefault="004425CC" w14:paraId="11244BB7" w14:textId="77777777">
      <w:pPr>
        <w:rPr>
          <w:szCs w:val="18"/>
        </w:rPr>
      </w:pPr>
    </w:p>
    <w:p w:rsidRPr="000B3361" w:rsidR="006B3C17" w:rsidP="00BE26AB" w:rsidRDefault="006B3C17" w14:paraId="387960FB" w14:textId="77777777">
      <w:pPr>
        <w:rPr>
          <w:szCs w:val="18"/>
        </w:rPr>
      </w:pPr>
    </w:p>
    <w:p w:rsidRPr="000B3361" w:rsidR="006B3C17" w:rsidP="00BE26AB" w:rsidRDefault="006B3C17" w14:paraId="238A4B30" w14:textId="77777777">
      <w:pPr>
        <w:rPr>
          <w:szCs w:val="18"/>
        </w:rPr>
      </w:pPr>
    </w:p>
    <w:p w:rsidRPr="000B3361" w:rsidR="00D23B52" w:rsidP="00BE26AB" w:rsidRDefault="00D23B52" w14:paraId="594DA257" w14:textId="77777777">
      <w:pPr>
        <w:pStyle w:val="Normaalweb"/>
        <w:spacing w:before="0" w:beforeAutospacing="0" w:after="0" w:afterAutospacing="0" w:line="240" w:lineRule="atLeast"/>
        <w:rPr>
          <w:rFonts w:ascii="Verdana" w:hAnsi="Verdana"/>
          <w:sz w:val="18"/>
          <w:szCs w:val="18"/>
        </w:rPr>
      </w:pPr>
    </w:p>
    <w:p w:rsidRPr="000B3361" w:rsidR="00D23B52" w:rsidP="00BE26AB" w:rsidRDefault="00D23B52" w14:paraId="1259CF6E" w14:textId="77777777">
      <w:pPr>
        <w:pStyle w:val="Normaalweb"/>
        <w:spacing w:before="0" w:beforeAutospacing="0" w:after="0" w:afterAutospacing="0" w:line="240" w:lineRule="atLeast"/>
        <w:rPr>
          <w:rFonts w:ascii="Verdana" w:hAnsi="Verdana"/>
          <w:sz w:val="18"/>
          <w:szCs w:val="18"/>
        </w:rPr>
      </w:pPr>
    </w:p>
    <w:p w:rsidRPr="000B3361" w:rsidR="00D23B52" w:rsidP="00BE26AB" w:rsidRDefault="005E68A9" w14:paraId="1A77710D" w14:textId="77777777">
      <w:pPr>
        <w:pStyle w:val="Normaalweb"/>
        <w:spacing w:before="0" w:beforeAutospacing="0" w:after="0" w:afterAutospacing="0" w:line="240" w:lineRule="atLeast"/>
        <w:rPr>
          <w:rFonts w:ascii="Verdana" w:hAnsi="Verdana"/>
          <w:sz w:val="18"/>
          <w:szCs w:val="18"/>
        </w:rPr>
      </w:pPr>
      <w:proofErr w:type="spellStart"/>
      <w:r w:rsidRPr="000B3361">
        <w:rPr>
          <w:rFonts w:ascii="Verdana" w:hAnsi="Verdana"/>
          <w:sz w:val="18"/>
          <w:szCs w:val="18"/>
        </w:rPr>
        <w:t>Stientje</w:t>
      </w:r>
      <w:proofErr w:type="spellEnd"/>
      <w:r w:rsidRPr="000B3361">
        <w:rPr>
          <w:rFonts w:ascii="Verdana" w:hAnsi="Verdana"/>
          <w:sz w:val="18"/>
          <w:szCs w:val="18"/>
        </w:rPr>
        <w:t xml:space="preserve"> van Veldhoven-van der Meer </w:t>
      </w:r>
    </w:p>
    <w:p w:rsidRPr="000B3361" w:rsidR="00FA3C5D" w:rsidP="00BE26AB" w:rsidRDefault="005E68A9" w14:paraId="7338BB23" w14:textId="77777777">
      <w:pPr>
        <w:pStyle w:val="Normaalweb"/>
        <w:spacing w:before="0" w:beforeAutospacing="0" w:after="0" w:afterAutospacing="0" w:line="240" w:lineRule="atLeast"/>
        <w:rPr>
          <w:rFonts w:ascii="Verdana" w:hAnsi="Verdana"/>
          <w:sz w:val="18"/>
          <w:szCs w:val="18"/>
        </w:rPr>
      </w:pPr>
      <w:r w:rsidRPr="000B3361">
        <w:rPr>
          <w:rFonts w:ascii="Verdana" w:hAnsi="Verdana"/>
          <w:sz w:val="18"/>
          <w:szCs w:val="18"/>
        </w:rPr>
        <w:t xml:space="preserve">Minister van Klimaat en Groene Groei </w:t>
      </w:r>
    </w:p>
    <w:p w:rsidRPr="000B3361" w:rsidR="000639A7" w:rsidP="00BE26AB" w:rsidRDefault="000639A7" w14:paraId="62702F7D" w14:textId="77777777">
      <w:pPr>
        <w:rPr>
          <w:szCs w:val="18"/>
        </w:rPr>
      </w:pPr>
    </w:p>
    <w:p w:rsidRPr="000B3361" w:rsidR="00BD2D73" w:rsidP="00BE26AB" w:rsidRDefault="00BD2D73" w14:paraId="04DABF55" w14:textId="77777777">
      <w:pPr>
        <w:rPr>
          <w:szCs w:val="18"/>
        </w:rPr>
      </w:pPr>
    </w:p>
    <w:sectPr w:rsidRPr="000B3361"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94DB" w14:textId="77777777" w:rsidR="00967A90" w:rsidRDefault="00967A90">
      <w:r>
        <w:separator/>
      </w:r>
    </w:p>
    <w:p w14:paraId="756D59BE" w14:textId="77777777" w:rsidR="00967A90" w:rsidRDefault="00967A90"/>
  </w:endnote>
  <w:endnote w:type="continuationSeparator" w:id="0">
    <w:p w14:paraId="719BC7A1" w14:textId="77777777" w:rsidR="00967A90" w:rsidRDefault="00967A90">
      <w:r>
        <w:continuationSeparator/>
      </w:r>
    </w:p>
    <w:p w14:paraId="00466DF1" w14:textId="77777777" w:rsidR="00967A90" w:rsidRDefault="00967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19A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90208" w14:paraId="6690276B" w14:textId="77777777" w:rsidTr="00CA6A25">
      <w:trPr>
        <w:trHeight w:hRule="exact" w:val="240"/>
      </w:trPr>
      <w:tc>
        <w:tcPr>
          <w:tcW w:w="7601" w:type="dxa"/>
        </w:tcPr>
        <w:p w14:paraId="3B330A56" w14:textId="77777777" w:rsidR="00527BD4" w:rsidRDefault="00527BD4" w:rsidP="003F1F6B">
          <w:pPr>
            <w:pStyle w:val="Huisstijl-Rubricering"/>
          </w:pPr>
        </w:p>
      </w:tc>
      <w:tc>
        <w:tcPr>
          <w:tcW w:w="2156" w:type="dxa"/>
        </w:tcPr>
        <w:p w14:paraId="30206A06" w14:textId="1DCEB362" w:rsidR="00527BD4" w:rsidRPr="00645414" w:rsidRDefault="005E68A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F34FBC">
            <w:t>5</w:t>
          </w:r>
          <w:r w:rsidR="004425CC">
            <w:fldChar w:fldCharType="end"/>
          </w:r>
        </w:p>
      </w:tc>
    </w:tr>
  </w:tbl>
  <w:p w14:paraId="4345196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90208" w14:paraId="0CDBAE84" w14:textId="77777777" w:rsidTr="00CA6A25">
      <w:trPr>
        <w:trHeight w:hRule="exact" w:val="240"/>
      </w:trPr>
      <w:tc>
        <w:tcPr>
          <w:tcW w:w="7601" w:type="dxa"/>
        </w:tcPr>
        <w:p w14:paraId="74530F26" w14:textId="77777777" w:rsidR="00527BD4" w:rsidRDefault="00527BD4" w:rsidP="008C356D">
          <w:pPr>
            <w:pStyle w:val="Huisstijl-Rubricering"/>
          </w:pPr>
        </w:p>
      </w:tc>
      <w:tc>
        <w:tcPr>
          <w:tcW w:w="2170" w:type="dxa"/>
        </w:tcPr>
        <w:p w14:paraId="31791307" w14:textId="1E3AC936" w:rsidR="00527BD4" w:rsidRPr="00ED539E" w:rsidRDefault="005E68A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F34FBC">
            <w:t>5</w:t>
          </w:r>
          <w:r w:rsidR="00A13FBD">
            <w:fldChar w:fldCharType="end"/>
          </w:r>
        </w:p>
      </w:tc>
    </w:tr>
  </w:tbl>
  <w:p w14:paraId="62C2AF8E" w14:textId="77777777" w:rsidR="00527BD4" w:rsidRPr="00BC3B53" w:rsidRDefault="00527BD4" w:rsidP="008C356D">
    <w:pPr>
      <w:pStyle w:val="Voettekst"/>
      <w:spacing w:line="240" w:lineRule="auto"/>
      <w:rPr>
        <w:sz w:val="2"/>
        <w:szCs w:val="2"/>
      </w:rPr>
    </w:pPr>
  </w:p>
  <w:p w14:paraId="61D5BDD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EE46C" w14:textId="77777777" w:rsidR="00967A90" w:rsidRDefault="00967A90">
      <w:r>
        <w:separator/>
      </w:r>
    </w:p>
    <w:p w14:paraId="086DDA61" w14:textId="77777777" w:rsidR="00967A90" w:rsidRDefault="00967A90"/>
  </w:footnote>
  <w:footnote w:type="continuationSeparator" w:id="0">
    <w:p w14:paraId="5E9443BA" w14:textId="77777777" w:rsidR="00967A90" w:rsidRDefault="00967A90">
      <w:r>
        <w:continuationSeparator/>
      </w:r>
    </w:p>
    <w:p w14:paraId="78F71DBE" w14:textId="77777777" w:rsidR="00967A90" w:rsidRDefault="00967A90"/>
  </w:footnote>
  <w:footnote w:id="1">
    <w:p w14:paraId="4DCCDF06" w14:textId="7A2B0797" w:rsidR="007A0D26" w:rsidRPr="007A75F7" w:rsidRDefault="007A0D26">
      <w:pPr>
        <w:pStyle w:val="Voetnoottekst"/>
        <w:rPr>
          <w:szCs w:val="13"/>
        </w:rPr>
      </w:pPr>
      <w:r w:rsidRPr="007A75F7">
        <w:rPr>
          <w:rStyle w:val="Voetnootmarkering"/>
          <w:szCs w:val="13"/>
        </w:rPr>
        <w:footnoteRef/>
      </w:r>
      <w:r w:rsidRPr="007A75F7">
        <w:rPr>
          <w:szCs w:val="13"/>
        </w:rPr>
        <w:t xml:space="preserve"> TZ202606-053</w:t>
      </w:r>
    </w:p>
  </w:footnote>
  <w:footnote w:id="2">
    <w:p w14:paraId="68FA8EED"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Kamerstukken II 2025/26, 29023, nr. 705.</w:t>
      </w:r>
    </w:p>
  </w:footnote>
  <w:footnote w:id="3">
    <w:p w14:paraId="6F4A02EB"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https://www.tennet.eu/nl/over-tennet/publicaties/rapport-monitor-voorzieningszekerheid</w:t>
      </w:r>
    </w:p>
  </w:footnote>
  <w:footnote w:id="4">
    <w:p w14:paraId="055EF600" w14:textId="6C972122"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De LOLE (</w:t>
      </w:r>
      <w:proofErr w:type="spellStart"/>
      <w:r w:rsidRPr="007A75F7">
        <w:rPr>
          <w:szCs w:val="13"/>
        </w:rPr>
        <w:t>Loss</w:t>
      </w:r>
      <w:proofErr w:type="spellEnd"/>
      <w:r w:rsidRPr="007A75F7">
        <w:rPr>
          <w:szCs w:val="13"/>
        </w:rPr>
        <w:t xml:space="preserve"> of Load </w:t>
      </w:r>
      <w:proofErr w:type="spellStart"/>
      <w:r w:rsidRPr="007A75F7">
        <w:rPr>
          <w:szCs w:val="13"/>
        </w:rPr>
        <w:t>Expected</w:t>
      </w:r>
      <w:proofErr w:type="spellEnd"/>
      <w:r w:rsidRPr="007A75F7">
        <w:rPr>
          <w:szCs w:val="13"/>
        </w:rPr>
        <w:t>, in uur per jaar) is voor 2028, 2033 en 2035 na deze correctie respectievelijk 0,6-2,8 (i.p.v. 0,7-4,5), 10,9-21,8 (i.p.v. 18,9–31,1) en 22,6-32,4 (i.p.v. 37,3–46,0), waarbij de bandbreedte van de cijfers het gevolg is van de verscheidenheid van de gehanteerde scenario’s. Voor 2030 blijft de bandbreedte ongewijzigd, tussen de 7,2 en 10,8 uur LOLE.</w:t>
      </w:r>
      <w:r w:rsidR="00210AA4">
        <w:rPr>
          <w:szCs w:val="13"/>
        </w:rPr>
        <w:t xml:space="preserve"> </w:t>
      </w:r>
    </w:p>
  </w:footnote>
  <w:footnote w:id="5">
    <w:p w14:paraId="270FFE98"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Kader voor staatssteunmaatregelen ter ondersteuning van de Clean Industrial Deal (CISAF).</w:t>
      </w:r>
    </w:p>
  </w:footnote>
  <w:footnote w:id="6">
    <w:p w14:paraId="55A06D86" w14:textId="6F167668" w:rsidR="00105E05" w:rsidRPr="007A75F7" w:rsidRDefault="00105E05">
      <w:pPr>
        <w:pStyle w:val="Voetnoottekst"/>
        <w:rPr>
          <w:b/>
          <w:bCs/>
          <w:szCs w:val="13"/>
        </w:rPr>
      </w:pPr>
      <w:r w:rsidRPr="007A75F7">
        <w:rPr>
          <w:rStyle w:val="Voetnootmarkering"/>
          <w:szCs w:val="13"/>
        </w:rPr>
        <w:footnoteRef/>
      </w:r>
      <w:r w:rsidRPr="007A75F7">
        <w:rPr>
          <w:szCs w:val="13"/>
        </w:rPr>
        <w:t xml:space="preserve"> Het bij koninklijke boodschap van 3 juli 2026 ingediende voorstel van wet tot wijziging van de Energiewet, de Wet belastingen op milieugrondslag en de Wet op de accijns, ter implementatie van het EU-wetgevingspakket</w:t>
      </w:r>
    </w:p>
  </w:footnote>
  <w:footnote w:id="7">
    <w:p w14:paraId="2BA6E795" w14:textId="37F02EB6"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w:t>
      </w:r>
      <w:hyperlink r:id="rId1" w:history="1">
        <w:r w:rsidR="009F4089" w:rsidRPr="007A75F7">
          <w:rPr>
            <w:rStyle w:val="Hyperlink"/>
            <w:szCs w:val="13"/>
          </w:rPr>
          <w:t>https://energy.ec.europa.eu/news/consultation-proposed-electricity-market-reforms-netherlands-2026-09-10_en</w:t>
        </w:r>
      </w:hyperlink>
    </w:p>
  </w:footnote>
  <w:footnote w:id="8">
    <w:p w14:paraId="3D0F1B37"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Verordening (EU) 2019/943 betreffende de interne markt van elektriciteit, m.n. artikelen 11 en 20 tot en met 26.</w:t>
      </w:r>
    </w:p>
  </w:footnote>
  <w:footnote w:id="9">
    <w:p w14:paraId="0793EFE4"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Richtsnoeren staatssteun ten behoeve van klimaat, milieubescherming en energie 2022 (CEEAG) en Kader voor staatssteunmaatregelen ter ondersteuning van de Clean Industrial Deal (CISAF).</w:t>
      </w:r>
    </w:p>
  </w:footnote>
  <w:footnote w:id="10">
    <w:p w14:paraId="6A53DE86"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https://www.acer.europa.eu/news/acer-unveils-first-eu-wide-dataset-investment-costs-long-term-electricity-system-modelling.</w:t>
      </w:r>
    </w:p>
  </w:footnote>
  <w:footnote w:id="11">
    <w:p w14:paraId="2E8CB63D"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Kamerstukken II 2025/26, 29023, nr. 705.</w:t>
      </w:r>
    </w:p>
  </w:footnote>
  <w:footnote w:id="12">
    <w:p w14:paraId="673809CA" w14:textId="77777777" w:rsidR="000B3361" w:rsidRPr="007A75F7" w:rsidRDefault="000B3361" w:rsidP="000B3361">
      <w:pPr>
        <w:pStyle w:val="Voetnoottekst"/>
        <w:rPr>
          <w:szCs w:val="13"/>
        </w:rPr>
      </w:pPr>
      <w:r w:rsidRPr="007A75F7">
        <w:rPr>
          <w:rStyle w:val="Voetnootmarkering"/>
          <w:szCs w:val="13"/>
        </w:rPr>
        <w:footnoteRef/>
      </w:r>
      <w:r w:rsidRPr="007A75F7">
        <w:rPr>
          <w:szCs w:val="13"/>
        </w:rPr>
        <w:t xml:space="preserve"> Richtsnoeren staatssteun ten behoeve van klimaat, milieubescherming en energie 2022 (CEEAG).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90208" w14:paraId="7E179ACF" w14:textId="77777777" w:rsidTr="00A50CF6">
      <w:tc>
        <w:tcPr>
          <w:tcW w:w="2156" w:type="dxa"/>
        </w:tcPr>
        <w:p w14:paraId="71950CC3" w14:textId="77777777" w:rsidR="00527BD4" w:rsidRPr="005819CE" w:rsidRDefault="005E68A9" w:rsidP="00A50CF6">
          <w:pPr>
            <w:pStyle w:val="Huisstijl-Adres"/>
            <w:rPr>
              <w:b/>
            </w:rPr>
          </w:pPr>
          <w:r>
            <w:rPr>
              <w:b/>
            </w:rPr>
            <w:t>Directoraat-generaal Klimaat en Energie</w:t>
          </w:r>
          <w:r w:rsidRPr="005819CE">
            <w:rPr>
              <w:b/>
            </w:rPr>
            <w:br/>
          </w:r>
          <w:r>
            <w:t>Directie Energiemarkt</w:t>
          </w:r>
        </w:p>
      </w:tc>
    </w:tr>
    <w:tr w:rsidR="00390208" w14:paraId="54C48B2A" w14:textId="77777777" w:rsidTr="00A50CF6">
      <w:trPr>
        <w:trHeight w:hRule="exact" w:val="200"/>
      </w:trPr>
      <w:tc>
        <w:tcPr>
          <w:tcW w:w="2156" w:type="dxa"/>
        </w:tcPr>
        <w:p w14:paraId="6A9AEEB5" w14:textId="77777777" w:rsidR="00527BD4" w:rsidRPr="005819CE" w:rsidRDefault="00527BD4" w:rsidP="00A50CF6"/>
      </w:tc>
    </w:tr>
    <w:tr w:rsidR="00390208" w14:paraId="4D2D7430" w14:textId="77777777" w:rsidTr="00502512">
      <w:trPr>
        <w:trHeight w:hRule="exact" w:val="774"/>
      </w:trPr>
      <w:tc>
        <w:tcPr>
          <w:tcW w:w="2156" w:type="dxa"/>
        </w:tcPr>
        <w:p w14:paraId="131BBC4D" w14:textId="77777777" w:rsidR="00527BD4" w:rsidRDefault="005E68A9" w:rsidP="003A5290">
          <w:pPr>
            <w:pStyle w:val="Huisstijl-Kopje"/>
          </w:pPr>
          <w:r>
            <w:t>Ons kenmerk</w:t>
          </w:r>
        </w:p>
        <w:p w14:paraId="2A139AFC" w14:textId="77777777" w:rsidR="00527BD4" w:rsidRPr="005819CE" w:rsidRDefault="005E68A9" w:rsidP="004425CC">
          <w:pPr>
            <w:pStyle w:val="Huisstijl-Kopje"/>
          </w:pPr>
          <w:r>
            <w:rPr>
              <w:b w:val="0"/>
            </w:rPr>
            <w:t>KGG_DGKE_EM</w:t>
          </w:r>
          <w:r w:rsidRPr="00502512">
            <w:rPr>
              <w:b w:val="0"/>
            </w:rPr>
            <w:t xml:space="preserve"> / </w:t>
          </w:r>
          <w:r>
            <w:rPr>
              <w:b w:val="0"/>
            </w:rPr>
            <w:t>108728313</w:t>
          </w:r>
        </w:p>
      </w:tc>
    </w:tr>
  </w:tbl>
  <w:p w14:paraId="63CF2995" w14:textId="77777777" w:rsidR="00527BD4" w:rsidRDefault="00527BD4" w:rsidP="008C356D">
    <w:pPr>
      <w:pStyle w:val="Koptekst"/>
      <w:rPr>
        <w:rFonts w:cs="Verdana-Bold"/>
        <w:b/>
        <w:bCs/>
        <w:smallCaps/>
        <w:szCs w:val="18"/>
      </w:rPr>
    </w:pPr>
  </w:p>
  <w:p w14:paraId="1D7B124C" w14:textId="77777777" w:rsidR="00527BD4" w:rsidRDefault="00527BD4" w:rsidP="008C356D"/>
  <w:p w14:paraId="1579A6EF" w14:textId="77777777" w:rsidR="00527BD4" w:rsidRPr="00740712" w:rsidRDefault="00527BD4" w:rsidP="008C356D"/>
  <w:p w14:paraId="7705D093" w14:textId="77777777" w:rsidR="00527BD4" w:rsidRPr="00217880" w:rsidRDefault="00527BD4" w:rsidP="008C356D">
    <w:pPr>
      <w:spacing w:line="0" w:lineRule="atLeast"/>
      <w:rPr>
        <w:sz w:val="2"/>
        <w:szCs w:val="2"/>
      </w:rPr>
    </w:pPr>
  </w:p>
  <w:p w14:paraId="351F889F" w14:textId="77777777" w:rsidR="00527BD4" w:rsidRDefault="00527BD4" w:rsidP="004F44C2">
    <w:pPr>
      <w:pStyle w:val="Koptekst"/>
      <w:rPr>
        <w:rFonts w:cs="Verdana-Bold"/>
        <w:b/>
        <w:bCs/>
        <w:smallCaps/>
        <w:szCs w:val="18"/>
      </w:rPr>
    </w:pPr>
  </w:p>
  <w:p w14:paraId="15C900EC" w14:textId="77777777" w:rsidR="00527BD4" w:rsidRDefault="00527BD4" w:rsidP="004F44C2"/>
  <w:p w14:paraId="5B352A4F" w14:textId="77777777" w:rsidR="00527BD4" w:rsidRPr="00740712" w:rsidRDefault="00527BD4" w:rsidP="004F44C2"/>
  <w:p w14:paraId="21A50AF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90208" w14:paraId="006013FB" w14:textId="77777777" w:rsidTr="00751A6A">
      <w:trPr>
        <w:trHeight w:val="2636"/>
      </w:trPr>
      <w:tc>
        <w:tcPr>
          <w:tcW w:w="737" w:type="dxa"/>
        </w:tcPr>
        <w:p w14:paraId="1DDE35B8" w14:textId="77777777" w:rsidR="00527BD4" w:rsidRDefault="00527BD4" w:rsidP="00D0609E">
          <w:pPr>
            <w:framePr w:w="6340" w:h="2750" w:hRule="exact" w:hSpace="180" w:wrap="around" w:vAnchor="page" w:hAnchor="text" w:x="3873" w:y="-140"/>
            <w:spacing w:line="240" w:lineRule="auto"/>
          </w:pPr>
        </w:p>
      </w:tc>
      <w:tc>
        <w:tcPr>
          <w:tcW w:w="5156" w:type="dxa"/>
        </w:tcPr>
        <w:p w14:paraId="70BF8FC9" w14:textId="3E47EBA3" w:rsidR="00527BD4" w:rsidRDefault="00210AA4" w:rsidP="00651CEE">
          <w:pPr>
            <w:framePr w:w="6340" w:h="2750" w:hRule="exact" w:hSpace="180" w:wrap="around" w:vAnchor="page" w:hAnchor="text" w:x="3873" w:y="-140"/>
            <w:spacing w:line="240" w:lineRule="auto"/>
          </w:pPr>
          <w:r>
            <w:t xml:space="preserve">  </w:t>
          </w:r>
          <w:r w:rsidR="005E68A9">
            <w:rPr>
              <w:noProof/>
            </w:rPr>
            <w:drawing>
              <wp:inline distT="0" distB="0" distL="0" distR="0" wp14:anchorId="25B56348" wp14:editId="3AAE7754">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FFBF7D8" w14:textId="77777777" w:rsidR="007269E3" w:rsidRDefault="007269E3" w:rsidP="00651CEE">
          <w:pPr>
            <w:framePr w:w="6340" w:h="2750" w:hRule="exact" w:hSpace="180" w:wrap="around" w:vAnchor="page" w:hAnchor="text" w:x="3873" w:y="-140"/>
            <w:spacing w:line="240" w:lineRule="auto"/>
          </w:pPr>
        </w:p>
      </w:tc>
    </w:tr>
  </w:tbl>
  <w:p w14:paraId="00EB3710" w14:textId="77777777" w:rsidR="00527BD4" w:rsidRDefault="00527BD4" w:rsidP="00D0609E">
    <w:pPr>
      <w:framePr w:w="6340" w:h="2750" w:hRule="exact" w:hSpace="180" w:wrap="around" w:vAnchor="page" w:hAnchor="text" w:x="3873" w:y="-140"/>
    </w:pPr>
  </w:p>
  <w:p w14:paraId="5AAC211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90208" w:rsidRPr="00BE26AB" w14:paraId="2A1822E8" w14:textId="77777777" w:rsidTr="00A50CF6">
      <w:tc>
        <w:tcPr>
          <w:tcW w:w="2160" w:type="dxa"/>
        </w:tcPr>
        <w:p w14:paraId="187EC4D1" w14:textId="77777777" w:rsidR="00527BD4" w:rsidRPr="005819CE" w:rsidRDefault="005E68A9" w:rsidP="00A50CF6">
          <w:pPr>
            <w:pStyle w:val="Huisstijl-Adres"/>
            <w:rPr>
              <w:b/>
            </w:rPr>
          </w:pPr>
          <w:r>
            <w:rPr>
              <w:b/>
            </w:rPr>
            <w:t>Directoraat-generaal Klimaat en Energie</w:t>
          </w:r>
          <w:r w:rsidRPr="005819CE">
            <w:rPr>
              <w:b/>
            </w:rPr>
            <w:br/>
          </w:r>
          <w:r>
            <w:t>Directie Energiemarkt</w:t>
          </w:r>
        </w:p>
        <w:p w14:paraId="525140F8" w14:textId="77777777" w:rsidR="00527BD4" w:rsidRPr="00BE5ED9" w:rsidRDefault="005E68A9" w:rsidP="00A50CF6">
          <w:pPr>
            <w:pStyle w:val="Huisstijl-Adres"/>
          </w:pPr>
          <w:r>
            <w:rPr>
              <w:b/>
            </w:rPr>
            <w:t>Bezoekadres</w:t>
          </w:r>
          <w:r>
            <w:rPr>
              <w:b/>
            </w:rPr>
            <w:br/>
          </w:r>
          <w:r>
            <w:t>Bezuidenhoutseweg 73</w:t>
          </w:r>
          <w:r w:rsidRPr="005819CE">
            <w:br/>
          </w:r>
          <w:r>
            <w:t>2594 AC Den Haag</w:t>
          </w:r>
        </w:p>
        <w:p w14:paraId="12364908" w14:textId="77777777" w:rsidR="00EF495B" w:rsidRDefault="005E68A9" w:rsidP="0098788A">
          <w:pPr>
            <w:pStyle w:val="Huisstijl-Adres"/>
          </w:pPr>
          <w:r>
            <w:rPr>
              <w:b/>
            </w:rPr>
            <w:t>Postadres</w:t>
          </w:r>
          <w:r>
            <w:rPr>
              <w:b/>
            </w:rPr>
            <w:br/>
          </w:r>
          <w:r>
            <w:t>Postbus 20401</w:t>
          </w:r>
          <w:r w:rsidRPr="005819CE">
            <w:br/>
            <w:t>2500 E</w:t>
          </w:r>
          <w:r>
            <w:t>K</w:t>
          </w:r>
          <w:r w:rsidRPr="005819CE">
            <w:t xml:space="preserve"> Den Haag</w:t>
          </w:r>
        </w:p>
        <w:p w14:paraId="479C70B4" w14:textId="77777777" w:rsidR="00EF495B" w:rsidRPr="005B3814" w:rsidRDefault="005E68A9" w:rsidP="0098788A">
          <w:pPr>
            <w:pStyle w:val="Huisstijl-Adres"/>
          </w:pPr>
          <w:r>
            <w:rPr>
              <w:b/>
            </w:rPr>
            <w:t>Overheidsidentificatienr</w:t>
          </w:r>
          <w:r>
            <w:rPr>
              <w:b/>
            </w:rPr>
            <w:br/>
          </w:r>
          <w:r w:rsidRPr="005B3814">
            <w:t>00000001003214369000</w:t>
          </w:r>
        </w:p>
        <w:p w14:paraId="741022E8" w14:textId="2DFA538F" w:rsidR="00527BD4" w:rsidRPr="00BE26AB" w:rsidRDefault="005E68A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390208" w:rsidRPr="00BE26AB" w14:paraId="460A2F86" w14:textId="77777777" w:rsidTr="00A50CF6">
      <w:trPr>
        <w:trHeight w:hRule="exact" w:val="200"/>
      </w:trPr>
      <w:tc>
        <w:tcPr>
          <w:tcW w:w="2160" w:type="dxa"/>
        </w:tcPr>
        <w:p w14:paraId="7AFFE53C" w14:textId="77777777" w:rsidR="00527BD4" w:rsidRPr="009522E8" w:rsidRDefault="00527BD4" w:rsidP="00A50CF6"/>
      </w:tc>
    </w:tr>
    <w:tr w:rsidR="00390208" w14:paraId="442A9361" w14:textId="77777777" w:rsidTr="00A50CF6">
      <w:tc>
        <w:tcPr>
          <w:tcW w:w="2160" w:type="dxa"/>
        </w:tcPr>
        <w:p w14:paraId="0FCE03EB" w14:textId="77777777" w:rsidR="000C0163" w:rsidRPr="005819CE" w:rsidRDefault="005E68A9" w:rsidP="000C0163">
          <w:pPr>
            <w:pStyle w:val="Huisstijl-Kopje"/>
          </w:pPr>
          <w:r>
            <w:t>Ons kenmerk</w:t>
          </w:r>
          <w:r w:rsidRPr="005819CE">
            <w:t xml:space="preserve"> </w:t>
          </w:r>
        </w:p>
        <w:p w14:paraId="10A5D009" w14:textId="221BBA5E" w:rsidR="00527BD4" w:rsidRPr="005819CE" w:rsidRDefault="005E68A9" w:rsidP="00BE26AB">
          <w:pPr>
            <w:pStyle w:val="Huisstijl-Gegeven"/>
          </w:pPr>
          <w:r>
            <w:t>KGG_DGKE_EM</w:t>
          </w:r>
          <w:r w:rsidR="00926AE2">
            <w:t xml:space="preserve"> / </w:t>
          </w:r>
          <w:r>
            <w:t>108728313</w:t>
          </w:r>
        </w:p>
      </w:tc>
    </w:tr>
  </w:tbl>
  <w:p w14:paraId="3064CD3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90208" w14:paraId="7EA159FB" w14:textId="77777777" w:rsidTr="007610AA">
      <w:trPr>
        <w:trHeight w:val="400"/>
      </w:trPr>
      <w:tc>
        <w:tcPr>
          <w:tcW w:w="7520" w:type="dxa"/>
          <w:gridSpan w:val="2"/>
        </w:tcPr>
        <w:p w14:paraId="2621ED82" w14:textId="77777777" w:rsidR="00527BD4" w:rsidRPr="00BC3B53" w:rsidRDefault="005E68A9" w:rsidP="00A50CF6">
          <w:pPr>
            <w:pStyle w:val="Huisstijl-Retouradres"/>
          </w:pPr>
          <w:r>
            <w:t>&gt; Retouradres Postbus 20401 2500 EK Den Haag</w:t>
          </w:r>
        </w:p>
      </w:tc>
    </w:tr>
    <w:tr w:rsidR="00390208" w14:paraId="72CEAAAC" w14:textId="77777777" w:rsidTr="007610AA">
      <w:tc>
        <w:tcPr>
          <w:tcW w:w="7520" w:type="dxa"/>
          <w:gridSpan w:val="2"/>
        </w:tcPr>
        <w:p w14:paraId="0F05F683" w14:textId="77777777" w:rsidR="00527BD4" w:rsidRPr="00983E8F" w:rsidRDefault="00527BD4" w:rsidP="00A50CF6">
          <w:pPr>
            <w:pStyle w:val="Huisstijl-Rubricering"/>
          </w:pPr>
        </w:p>
      </w:tc>
    </w:tr>
    <w:tr w:rsidR="00390208" w14:paraId="44335E9E" w14:textId="77777777" w:rsidTr="007610AA">
      <w:trPr>
        <w:trHeight w:hRule="exact" w:val="2440"/>
      </w:trPr>
      <w:tc>
        <w:tcPr>
          <w:tcW w:w="7520" w:type="dxa"/>
          <w:gridSpan w:val="2"/>
        </w:tcPr>
        <w:p w14:paraId="7C56E667" w14:textId="77777777" w:rsidR="000B3361" w:rsidRDefault="000B3361" w:rsidP="00A50CF6">
          <w:pPr>
            <w:pStyle w:val="Huisstijl-NAW"/>
          </w:pPr>
          <w:r w:rsidRPr="000B3361">
            <w:t xml:space="preserve">De Voorzitter van de Tweede Kamer </w:t>
          </w:r>
        </w:p>
        <w:p w14:paraId="0BBDCA54" w14:textId="77777777" w:rsidR="000B3361" w:rsidRDefault="000B3361" w:rsidP="00A50CF6">
          <w:pPr>
            <w:pStyle w:val="Huisstijl-NAW"/>
          </w:pPr>
          <w:r w:rsidRPr="000B3361">
            <w:t xml:space="preserve">der Staten-Generaal </w:t>
          </w:r>
        </w:p>
        <w:p w14:paraId="50EF6446" w14:textId="77777777" w:rsidR="000B3361" w:rsidRDefault="000B3361" w:rsidP="00A50CF6">
          <w:pPr>
            <w:pStyle w:val="Huisstijl-NAW"/>
          </w:pPr>
          <w:r w:rsidRPr="000B3361">
            <w:t xml:space="preserve">Prinses Irenestraat 6 </w:t>
          </w:r>
        </w:p>
        <w:p w14:paraId="7D767354" w14:textId="1C8F7F18" w:rsidR="00527BD4" w:rsidRDefault="000B3361" w:rsidP="00A50CF6">
          <w:pPr>
            <w:pStyle w:val="Huisstijl-NAW"/>
          </w:pPr>
          <w:r w:rsidRPr="000B3361">
            <w:t>2595 BD</w:t>
          </w:r>
          <w:r w:rsidR="00210AA4">
            <w:t xml:space="preserve"> </w:t>
          </w:r>
          <w:r w:rsidR="003D1EF9">
            <w:t xml:space="preserve"> </w:t>
          </w:r>
          <w:r w:rsidRPr="000B3361">
            <w:t>DEN HAAG</w:t>
          </w:r>
        </w:p>
      </w:tc>
    </w:tr>
    <w:tr w:rsidR="00390208" w14:paraId="7DF1D0E6" w14:textId="77777777" w:rsidTr="007610AA">
      <w:trPr>
        <w:trHeight w:hRule="exact" w:val="400"/>
      </w:trPr>
      <w:tc>
        <w:tcPr>
          <w:tcW w:w="7520" w:type="dxa"/>
          <w:gridSpan w:val="2"/>
        </w:tcPr>
        <w:p w14:paraId="01C1AC0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90208" w14:paraId="13AB4AE5" w14:textId="77777777" w:rsidTr="007610AA">
      <w:trPr>
        <w:trHeight w:val="240"/>
      </w:trPr>
      <w:tc>
        <w:tcPr>
          <w:tcW w:w="900" w:type="dxa"/>
        </w:tcPr>
        <w:p w14:paraId="40E7FC85" w14:textId="77777777" w:rsidR="00527BD4" w:rsidRPr="007709EF" w:rsidRDefault="005E68A9" w:rsidP="00A50CF6">
          <w:pPr>
            <w:rPr>
              <w:szCs w:val="18"/>
            </w:rPr>
          </w:pPr>
          <w:r>
            <w:rPr>
              <w:szCs w:val="18"/>
            </w:rPr>
            <w:t>Datum</w:t>
          </w:r>
        </w:p>
      </w:tc>
      <w:tc>
        <w:tcPr>
          <w:tcW w:w="6620" w:type="dxa"/>
        </w:tcPr>
        <w:p w14:paraId="1ECF598D" w14:textId="0C385EE4" w:rsidR="00527BD4" w:rsidRPr="007709EF" w:rsidRDefault="003D1EF9" w:rsidP="00A50CF6">
          <w:r>
            <w:t>3 november 2026</w:t>
          </w:r>
        </w:p>
      </w:tc>
    </w:tr>
    <w:tr w:rsidR="00390208" w14:paraId="68B0ADEB" w14:textId="77777777" w:rsidTr="007610AA">
      <w:trPr>
        <w:trHeight w:val="240"/>
      </w:trPr>
      <w:tc>
        <w:tcPr>
          <w:tcW w:w="900" w:type="dxa"/>
        </w:tcPr>
        <w:p w14:paraId="2D64F069" w14:textId="77777777" w:rsidR="00527BD4" w:rsidRPr="007709EF" w:rsidRDefault="005E68A9" w:rsidP="00A50CF6">
          <w:pPr>
            <w:rPr>
              <w:szCs w:val="18"/>
            </w:rPr>
          </w:pPr>
          <w:r>
            <w:rPr>
              <w:szCs w:val="18"/>
            </w:rPr>
            <w:t>Betreft</w:t>
          </w:r>
        </w:p>
      </w:tc>
      <w:tc>
        <w:tcPr>
          <w:tcW w:w="6620" w:type="dxa"/>
        </w:tcPr>
        <w:p w14:paraId="1467AEFC" w14:textId="77777777" w:rsidR="00527BD4" w:rsidRPr="007709EF" w:rsidRDefault="005E68A9" w:rsidP="00A50CF6">
          <w:r>
            <w:t xml:space="preserve">Kamerbrief voortgang </w:t>
          </w:r>
          <w:proofErr w:type="spellStart"/>
          <w:r>
            <w:t>marktbreed</w:t>
          </w:r>
          <w:proofErr w:type="spellEnd"/>
          <w:r>
            <w:t xml:space="preserve"> capaciteitsmechanisme </w:t>
          </w:r>
        </w:p>
      </w:tc>
    </w:tr>
  </w:tbl>
  <w:p w14:paraId="5D0D0F4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ED820D"/>
    <w:multiLevelType w:val="hybridMultilevel"/>
    <w:tmpl w:val="23AE2B66"/>
    <w:lvl w:ilvl="0" w:tplc="7780E1DE">
      <w:start w:val="1"/>
      <w:numFmt w:val="decimal"/>
      <w:lvlText w:val="%1."/>
      <w:lvlJc w:val="left"/>
      <w:pPr>
        <w:ind w:left="720" w:hanging="360"/>
      </w:pPr>
      <w:rPr>
        <w:rFonts w:asciiTheme="minorHAnsi" w:eastAsiaTheme="minorHAnsi" w:hAnsiTheme="minorHAnsi" w:cstheme="minorBidi"/>
      </w:rPr>
    </w:lvl>
    <w:lvl w:ilvl="1" w:tplc="F578B6BE">
      <w:start w:val="1"/>
      <w:numFmt w:val="bullet"/>
      <w:lvlText w:val="o"/>
      <w:lvlJc w:val="left"/>
      <w:pPr>
        <w:ind w:left="1440" w:hanging="360"/>
      </w:pPr>
      <w:rPr>
        <w:rFonts w:ascii="Courier New" w:hAnsi="Courier New" w:hint="default"/>
      </w:rPr>
    </w:lvl>
    <w:lvl w:ilvl="2" w:tplc="4A54FD26">
      <w:start w:val="1"/>
      <w:numFmt w:val="bullet"/>
      <w:lvlText w:val=""/>
      <w:lvlJc w:val="left"/>
      <w:pPr>
        <w:ind w:left="2160" w:hanging="360"/>
      </w:pPr>
      <w:rPr>
        <w:rFonts w:ascii="Wingdings" w:hAnsi="Wingdings" w:hint="default"/>
      </w:rPr>
    </w:lvl>
    <w:lvl w:ilvl="3" w:tplc="47747F54">
      <w:start w:val="1"/>
      <w:numFmt w:val="bullet"/>
      <w:lvlText w:val=""/>
      <w:lvlJc w:val="left"/>
      <w:pPr>
        <w:ind w:left="2880" w:hanging="360"/>
      </w:pPr>
      <w:rPr>
        <w:rFonts w:ascii="Symbol" w:hAnsi="Symbol" w:hint="default"/>
      </w:rPr>
    </w:lvl>
    <w:lvl w:ilvl="4" w:tplc="3AAC45EA">
      <w:start w:val="1"/>
      <w:numFmt w:val="bullet"/>
      <w:lvlText w:val="o"/>
      <w:lvlJc w:val="left"/>
      <w:pPr>
        <w:ind w:left="3600" w:hanging="360"/>
      </w:pPr>
      <w:rPr>
        <w:rFonts w:ascii="Courier New" w:hAnsi="Courier New" w:hint="default"/>
      </w:rPr>
    </w:lvl>
    <w:lvl w:ilvl="5" w:tplc="ACF81248">
      <w:start w:val="1"/>
      <w:numFmt w:val="bullet"/>
      <w:lvlText w:val=""/>
      <w:lvlJc w:val="left"/>
      <w:pPr>
        <w:ind w:left="4320" w:hanging="360"/>
      </w:pPr>
      <w:rPr>
        <w:rFonts w:ascii="Wingdings" w:hAnsi="Wingdings" w:hint="default"/>
      </w:rPr>
    </w:lvl>
    <w:lvl w:ilvl="6" w:tplc="C48E23AC">
      <w:start w:val="1"/>
      <w:numFmt w:val="bullet"/>
      <w:lvlText w:val=""/>
      <w:lvlJc w:val="left"/>
      <w:pPr>
        <w:ind w:left="5040" w:hanging="360"/>
      </w:pPr>
      <w:rPr>
        <w:rFonts w:ascii="Symbol" w:hAnsi="Symbol" w:hint="default"/>
      </w:rPr>
    </w:lvl>
    <w:lvl w:ilvl="7" w:tplc="DD84B24A">
      <w:start w:val="1"/>
      <w:numFmt w:val="bullet"/>
      <w:lvlText w:val="o"/>
      <w:lvlJc w:val="left"/>
      <w:pPr>
        <w:ind w:left="5760" w:hanging="360"/>
      </w:pPr>
      <w:rPr>
        <w:rFonts w:ascii="Courier New" w:hAnsi="Courier New" w:hint="default"/>
      </w:rPr>
    </w:lvl>
    <w:lvl w:ilvl="8" w:tplc="630C4014">
      <w:start w:val="1"/>
      <w:numFmt w:val="bullet"/>
      <w:lvlText w:val=""/>
      <w:lvlJc w:val="left"/>
      <w:pPr>
        <w:ind w:left="6480" w:hanging="360"/>
      </w:pPr>
      <w:rPr>
        <w:rFonts w:ascii="Wingdings" w:hAnsi="Wingdings" w:hint="default"/>
      </w:rPr>
    </w:lvl>
  </w:abstractNum>
  <w:abstractNum w:abstractNumId="11" w15:restartNumberingAfterBreak="0">
    <w:nsid w:val="0A4120A4"/>
    <w:multiLevelType w:val="hybridMultilevel"/>
    <w:tmpl w:val="1D8E1FCE"/>
    <w:lvl w:ilvl="0" w:tplc="C616DD7C">
      <w:start w:val="1"/>
      <w:numFmt w:val="bullet"/>
      <w:pStyle w:val="Lijstopsomteken"/>
      <w:lvlText w:val="•"/>
      <w:lvlJc w:val="left"/>
      <w:pPr>
        <w:tabs>
          <w:tab w:val="num" w:pos="227"/>
        </w:tabs>
        <w:ind w:left="227" w:hanging="227"/>
      </w:pPr>
      <w:rPr>
        <w:rFonts w:ascii="Verdana" w:hAnsi="Verdana" w:hint="default"/>
        <w:sz w:val="18"/>
        <w:szCs w:val="18"/>
      </w:rPr>
    </w:lvl>
    <w:lvl w:ilvl="1" w:tplc="91A4E256" w:tentative="1">
      <w:start w:val="1"/>
      <w:numFmt w:val="bullet"/>
      <w:lvlText w:val="o"/>
      <w:lvlJc w:val="left"/>
      <w:pPr>
        <w:tabs>
          <w:tab w:val="num" w:pos="1440"/>
        </w:tabs>
        <w:ind w:left="1440" w:hanging="360"/>
      </w:pPr>
      <w:rPr>
        <w:rFonts w:ascii="Courier New" w:hAnsi="Courier New" w:cs="Courier New" w:hint="default"/>
      </w:rPr>
    </w:lvl>
    <w:lvl w:ilvl="2" w:tplc="8BDCF288" w:tentative="1">
      <w:start w:val="1"/>
      <w:numFmt w:val="bullet"/>
      <w:lvlText w:val=""/>
      <w:lvlJc w:val="left"/>
      <w:pPr>
        <w:tabs>
          <w:tab w:val="num" w:pos="2160"/>
        </w:tabs>
        <w:ind w:left="2160" w:hanging="360"/>
      </w:pPr>
      <w:rPr>
        <w:rFonts w:ascii="Wingdings" w:hAnsi="Wingdings" w:hint="default"/>
      </w:rPr>
    </w:lvl>
    <w:lvl w:ilvl="3" w:tplc="FFEA6400" w:tentative="1">
      <w:start w:val="1"/>
      <w:numFmt w:val="bullet"/>
      <w:lvlText w:val=""/>
      <w:lvlJc w:val="left"/>
      <w:pPr>
        <w:tabs>
          <w:tab w:val="num" w:pos="2880"/>
        </w:tabs>
        <w:ind w:left="2880" w:hanging="360"/>
      </w:pPr>
      <w:rPr>
        <w:rFonts w:ascii="Symbol" w:hAnsi="Symbol" w:hint="default"/>
      </w:rPr>
    </w:lvl>
    <w:lvl w:ilvl="4" w:tplc="CE8A3490" w:tentative="1">
      <w:start w:val="1"/>
      <w:numFmt w:val="bullet"/>
      <w:lvlText w:val="o"/>
      <w:lvlJc w:val="left"/>
      <w:pPr>
        <w:tabs>
          <w:tab w:val="num" w:pos="3600"/>
        </w:tabs>
        <w:ind w:left="3600" w:hanging="360"/>
      </w:pPr>
      <w:rPr>
        <w:rFonts w:ascii="Courier New" w:hAnsi="Courier New" w:cs="Courier New" w:hint="default"/>
      </w:rPr>
    </w:lvl>
    <w:lvl w:ilvl="5" w:tplc="06067ACA" w:tentative="1">
      <w:start w:val="1"/>
      <w:numFmt w:val="bullet"/>
      <w:lvlText w:val=""/>
      <w:lvlJc w:val="left"/>
      <w:pPr>
        <w:tabs>
          <w:tab w:val="num" w:pos="4320"/>
        </w:tabs>
        <w:ind w:left="4320" w:hanging="360"/>
      </w:pPr>
      <w:rPr>
        <w:rFonts w:ascii="Wingdings" w:hAnsi="Wingdings" w:hint="default"/>
      </w:rPr>
    </w:lvl>
    <w:lvl w:ilvl="6" w:tplc="17242634" w:tentative="1">
      <w:start w:val="1"/>
      <w:numFmt w:val="bullet"/>
      <w:lvlText w:val=""/>
      <w:lvlJc w:val="left"/>
      <w:pPr>
        <w:tabs>
          <w:tab w:val="num" w:pos="5040"/>
        </w:tabs>
        <w:ind w:left="5040" w:hanging="360"/>
      </w:pPr>
      <w:rPr>
        <w:rFonts w:ascii="Symbol" w:hAnsi="Symbol" w:hint="default"/>
      </w:rPr>
    </w:lvl>
    <w:lvl w:ilvl="7" w:tplc="F0A0F2FA" w:tentative="1">
      <w:start w:val="1"/>
      <w:numFmt w:val="bullet"/>
      <w:lvlText w:val="o"/>
      <w:lvlJc w:val="left"/>
      <w:pPr>
        <w:tabs>
          <w:tab w:val="num" w:pos="5760"/>
        </w:tabs>
        <w:ind w:left="5760" w:hanging="360"/>
      </w:pPr>
      <w:rPr>
        <w:rFonts w:ascii="Courier New" w:hAnsi="Courier New" w:cs="Courier New" w:hint="default"/>
      </w:rPr>
    </w:lvl>
    <w:lvl w:ilvl="8" w:tplc="F8DCD12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E7FC3836">
      <w:start w:val="1"/>
      <w:numFmt w:val="bullet"/>
      <w:pStyle w:val="Lijstopsomteken2"/>
      <w:lvlText w:val="–"/>
      <w:lvlJc w:val="left"/>
      <w:pPr>
        <w:tabs>
          <w:tab w:val="num" w:pos="227"/>
        </w:tabs>
        <w:ind w:left="227" w:firstLine="0"/>
      </w:pPr>
      <w:rPr>
        <w:rFonts w:ascii="Verdana" w:hAnsi="Verdana" w:hint="default"/>
      </w:rPr>
    </w:lvl>
    <w:lvl w:ilvl="1" w:tplc="FE20D7D4" w:tentative="1">
      <w:start w:val="1"/>
      <w:numFmt w:val="bullet"/>
      <w:lvlText w:val="o"/>
      <w:lvlJc w:val="left"/>
      <w:pPr>
        <w:tabs>
          <w:tab w:val="num" w:pos="1440"/>
        </w:tabs>
        <w:ind w:left="1440" w:hanging="360"/>
      </w:pPr>
      <w:rPr>
        <w:rFonts w:ascii="Courier New" w:hAnsi="Courier New" w:cs="Courier New" w:hint="default"/>
      </w:rPr>
    </w:lvl>
    <w:lvl w:ilvl="2" w:tplc="63760378" w:tentative="1">
      <w:start w:val="1"/>
      <w:numFmt w:val="bullet"/>
      <w:lvlText w:val=""/>
      <w:lvlJc w:val="left"/>
      <w:pPr>
        <w:tabs>
          <w:tab w:val="num" w:pos="2160"/>
        </w:tabs>
        <w:ind w:left="2160" w:hanging="360"/>
      </w:pPr>
      <w:rPr>
        <w:rFonts w:ascii="Wingdings" w:hAnsi="Wingdings" w:hint="default"/>
      </w:rPr>
    </w:lvl>
    <w:lvl w:ilvl="3" w:tplc="8B8054F6" w:tentative="1">
      <w:start w:val="1"/>
      <w:numFmt w:val="bullet"/>
      <w:lvlText w:val=""/>
      <w:lvlJc w:val="left"/>
      <w:pPr>
        <w:tabs>
          <w:tab w:val="num" w:pos="2880"/>
        </w:tabs>
        <w:ind w:left="2880" w:hanging="360"/>
      </w:pPr>
      <w:rPr>
        <w:rFonts w:ascii="Symbol" w:hAnsi="Symbol" w:hint="default"/>
      </w:rPr>
    </w:lvl>
    <w:lvl w:ilvl="4" w:tplc="CD4EAFF4" w:tentative="1">
      <w:start w:val="1"/>
      <w:numFmt w:val="bullet"/>
      <w:lvlText w:val="o"/>
      <w:lvlJc w:val="left"/>
      <w:pPr>
        <w:tabs>
          <w:tab w:val="num" w:pos="3600"/>
        </w:tabs>
        <w:ind w:left="3600" w:hanging="360"/>
      </w:pPr>
      <w:rPr>
        <w:rFonts w:ascii="Courier New" w:hAnsi="Courier New" w:cs="Courier New" w:hint="default"/>
      </w:rPr>
    </w:lvl>
    <w:lvl w:ilvl="5" w:tplc="A3FCA0A6" w:tentative="1">
      <w:start w:val="1"/>
      <w:numFmt w:val="bullet"/>
      <w:lvlText w:val=""/>
      <w:lvlJc w:val="left"/>
      <w:pPr>
        <w:tabs>
          <w:tab w:val="num" w:pos="4320"/>
        </w:tabs>
        <w:ind w:left="4320" w:hanging="360"/>
      </w:pPr>
      <w:rPr>
        <w:rFonts w:ascii="Wingdings" w:hAnsi="Wingdings" w:hint="default"/>
      </w:rPr>
    </w:lvl>
    <w:lvl w:ilvl="6" w:tplc="6CDCAE9A" w:tentative="1">
      <w:start w:val="1"/>
      <w:numFmt w:val="bullet"/>
      <w:lvlText w:val=""/>
      <w:lvlJc w:val="left"/>
      <w:pPr>
        <w:tabs>
          <w:tab w:val="num" w:pos="5040"/>
        </w:tabs>
        <w:ind w:left="5040" w:hanging="360"/>
      </w:pPr>
      <w:rPr>
        <w:rFonts w:ascii="Symbol" w:hAnsi="Symbol" w:hint="default"/>
      </w:rPr>
    </w:lvl>
    <w:lvl w:ilvl="7" w:tplc="EA1E2F0C" w:tentative="1">
      <w:start w:val="1"/>
      <w:numFmt w:val="bullet"/>
      <w:lvlText w:val="o"/>
      <w:lvlJc w:val="left"/>
      <w:pPr>
        <w:tabs>
          <w:tab w:val="num" w:pos="5760"/>
        </w:tabs>
        <w:ind w:left="5760" w:hanging="360"/>
      </w:pPr>
      <w:rPr>
        <w:rFonts w:ascii="Courier New" w:hAnsi="Courier New" w:cs="Courier New" w:hint="default"/>
      </w:rPr>
    </w:lvl>
    <w:lvl w:ilvl="8" w:tplc="2E50FF0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7C44C2"/>
    <w:multiLevelType w:val="hybridMultilevel"/>
    <w:tmpl w:val="F92E13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55081116">
    <w:abstractNumId w:val="11"/>
  </w:num>
  <w:num w:numId="2" w16cid:durableId="323552285">
    <w:abstractNumId w:val="7"/>
  </w:num>
  <w:num w:numId="3" w16cid:durableId="335575217">
    <w:abstractNumId w:val="6"/>
  </w:num>
  <w:num w:numId="4" w16cid:durableId="1442142207">
    <w:abstractNumId w:val="5"/>
  </w:num>
  <w:num w:numId="5" w16cid:durableId="922026306">
    <w:abstractNumId w:val="4"/>
  </w:num>
  <w:num w:numId="6" w16cid:durableId="1299801131">
    <w:abstractNumId w:val="8"/>
  </w:num>
  <w:num w:numId="7" w16cid:durableId="855272853">
    <w:abstractNumId w:val="3"/>
  </w:num>
  <w:num w:numId="8" w16cid:durableId="1821070003">
    <w:abstractNumId w:val="2"/>
  </w:num>
  <w:num w:numId="9" w16cid:durableId="531648429">
    <w:abstractNumId w:val="1"/>
  </w:num>
  <w:num w:numId="10" w16cid:durableId="1079910038">
    <w:abstractNumId w:val="0"/>
  </w:num>
  <w:num w:numId="11" w16cid:durableId="1305499809">
    <w:abstractNumId w:val="9"/>
  </w:num>
  <w:num w:numId="12" w16cid:durableId="640119341">
    <w:abstractNumId w:val="12"/>
  </w:num>
  <w:num w:numId="13" w16cid:durableId="361980675">
    <w:abstractNumId w:val="15"/>
  </w:num>
  <w:num w:numId="14" w16cid:durableId="575211292">
    <w:abstractNumId w:val="13"/>
  </w:num>
  <w:num w:numId="15" w16cid:durableId="907884930">
    <w:abstractNumId w:val="10"/>
  </w:num>
  <w:num w:numId="16" w16cid:durableId="59948571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46689"/>
    <w:rsid w:val="0005708E"/>
    <w:rsid w:val="0006024D"/>
    <w:rsid w:val="0006276E"/>
    <w:rsid w:val="00062F30"/>
    <w:rsid w:val="00063519"/>
    <w:rsid w:val="000639A7"/>
    <w:rsid w:val="00071F28"/>
    <w:rsid w:val="000733A1"/>
    <w:rsid w:val="00074079"/>
    <w:rsid w:val="00080CDC"/>
    <w:rsid w:val="00092799"/>
    <w:rsid w:val="00092C5F"/>
    <w:rsid w:val="00096680"/>
    <w:rsid w:val="000A0F36"/>
    <w:rsid w:val="000A174A"/>
    <w:rsid w:val="000A3E0A"/>
    <w:rsid w:val="000A65AC"/>
    <w:rsid w:val="000A7159"/>
    <w:rsid w:val="000B129A"/>
    <w:rsid w:val="000B3361"/>
    <w:rsid w:val="000B7281"/>
    <w:rsid w:val="000B7FAB"/>
    <w:rsid w:val="000C0163"/>
    <w:rsid w:val="000C1BA1"/>
    <w:rsid w:val="000C3EA9"/>
    <w:rsid w:val="000C6A25"/>
    <w:rsid w:val="000D0225"/>
    <w:rsid w:val="000E7895"/>
    <w:rsid w:val="000F161D"/>
    <w:rsid w:val="000F3CAA"/>
    <w:rsid w:val="00102ABB"/>
    <w:rsid w:val="00105E05"/>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C79A3"/>
    <w:rsid w:val="001D0FA0"/>
    <w:rsid w:val="001D1272"/>
    <w:rsid w:val="001E34C6"/>
    <w:rsid w:val="001E50FF"/>
    <w:rsid w:val="001E5581"/>
    <w:rsid w:val="001F2462"/>
    <w:rsid w:val="001F3C70"/>
    <w:rsid w:val="001F6C6C"/>
    <w:rsid w:val="001F7E8C"/>
    <w:rsid w:val="00200D88"/>
    <w:rsid w:val="00201F68"/>
    <w:rsid w:val="00210250"/>
    <w:rsid w:val="00210AA4"/>
    <w:rsid w:val="00212F2A"/>
    <w:rsid w:val="00214F2B"/>
    <w:rsid w:val="00217880"/>
    <w:rsid w:val="00222D66"/>
    <w:rsid w:val="00224A8A"/>
    <w:rsid w:val="002309A8"/>
    <w:rsid w:val="002369BF"/>
    <w:rsid w:val="00236CFE"/>
    <w:rsid w:val="00241D72"/>
    <w:rsid w:val="002428E3"/>
    <w:rsid w:val="00243031"/>
    <w:rsid w:val="00252F15"/>
    <w:rsid w:val="00253BD6"/>
    <w:rsid w:val="00260BAF"/>
    <w:rsid w:val="00261DAC"/>
    <w:rsid w:val="002650F7"/>
    <w:rsid w:val="00272199"/>
    <w:rsid w:val="00273F3B"/>
    <w:rsid w:val="00274DB7"/>
    <w:rsid w:val="00275984"/>
    <w:rsid w:val="00280F74"/>
    <w:rsid w:val="002822CA"/>
    <w:rsid w:val="00286998"/>
    <w:rsid w:val="00291AB7"/>
    <w:rsid w:val="00292EB2"/>
    <w:rsid w:val="0029422B"/>
    <w:rsid w:val="002958EF"/>
    <w:rsid w:val="00296669"/>
    <w:rsid w:val="002A0938"/>
    <w:rsid w:val="002B009F"/>
    <w:rsid w:val="002B153C"/>
    <w:rsid w:val="002B52FC"/>
    <w:rsid w:val="002B55F4"/>
    <w:rsid w:val="002C2830"/>
    <w:rsid w:val="002D001A"/>
    <w:rsid w:val="002D28E2"/>
    <w:rsid w:val="002D317B"/>
    <w:rsid w:val="002D3494"/>
    <w:rsid w:val="002D3587"/>
    <w:rsid w:val="002D502D"/>
    <w:rsid w:val="002E0F69"/>
    <w:rsid w:val="002F5147"/>
    <w:rsid w:val="002F78E8"/>
    <w:rsid w:val="002F7ABD"/>
    <w:rsid w:val="003009CA"/>
    <w:rsid w:val="00302FFA"/>
    <w:rsid w:val="00307DF5"/>
    <w:rsid w:val="00312597"/>
    <w:rsid w:val="00313D26"/>
    <w:rsid w:val="00317ED1"/>
    <w:rsid w:val="00327BA5"/>
    <w:rsid w:val="0033326F"/>
    <w:rsid w:val="00333E10"/>
    <w:rsid w:val="00334154"/>
    <w:rsid w:val="003372C4"/>
    <w:rsid w:val="00340ECA"/>
    <w:rsid w:val="00341D6B"/>
    <w:rsid w:val="00341FA0"/>
    <w:rsid w:val="00344F3D"/>
    <w:rsid w:val="00345299"/>
    <w:rsid w:val="00351A8D"/>
    <w:rsid w:val="003526BB"/>
    <w:rsid w:val="00352BCF"/>
    <w:rsid w:val="00352DFB"/>
    <w:rsid w:val="00353932"/>
    <w:rsid w:val="00353B15"/>
    <w:rsid w:val="0035464B"/>
    <w:rsid w:val="00357B8F"/>
    <w:rsid w:val="00361A56"/>
    <w:rsid w:val="0036252A"/>
    <w:rsid w:val="00364D9D"/>
    <w:rsid w:val="00371048"/>
    <w:rsid w:val="0037396C"/>
    <w:rsid w:val="0037421D"/>
    <w:rsid w:val="00376093"/>
    <w:rsid w:val="00376743"/>
    <w:rsid w:val="003779BE"/>
    <w:rsid w:val="00383DA1"/>
    <w:rsid w:val="003848BB"/>
    <w:rsid w:val="00385F30"/>
    <w:rsid w:val="00390208"/>
    <w:rsid w:val="00393696"/>
    <w:rsid w:val="00393963"/>
    <w:rsid w:val="00395575"/>
    <w:rsid w:val="00395672"/>
    <w:rsid w:val="00396A8F"/>
    <w:rsid w:val="003A06C8"/>
    <w:rsid w:val="003A0D7C"/>
    <w:rsid w:val="003A36BA"/>
    <w:rsid w:val="003A46AB"/>
    <w:rsid w:val="003A5290"/>
    <w:rsid w:val="003B0155"/>
    <w:rsid w:val="003B6302"/>
    <w:rsid w:val="003B7EE7"/>
    <w:rsid w:val="003C05A0"/>
    <w:rsid w:val="003C110F"/>
    <w:rsid w:val="003C2CCB"/>
    <w:rsid w:val="003D1EF9"/>
    <w:rsid w:val="003D39EC"/>
    <w:rsid w:val="003D5DED"/>
    <w:rsid w:val="003E3DD5"/>
    <w:rsid w:val="003F03E4"/>
    <w:rsid w:val="003F07C6"/>
    <w:rsid w:val="003F1342"/>
    <w:rsid w:val="003F1F6B"/>
    <w:rsid w:val="003F3757"/>
    <w:rsid w:val="003F38BD"/>
    <w:rsid w:val="003F44B7"/>
    <w:rsid w:val="004008E9"/>
    <w:rsid w:val="00413D48"/>
    <w:rsid w:val="004307D4"/>
    <w:rsid w:val="00433F4D"/>
    <w:rsid w:val="00441AC2"/>
    <w:rsid w:val="0044249B"/>
    <w:rsid w:val="004425CC"/>
    <w:rsid w:val="004432D9"/>
    <w:rsid w:val="00450043"/>
    <w:rsid w:val="0045023C"/>
    <w:rsid w:val="00451A5B"/>
    <w:rsid w:val="00452BCD"/>
    <w:rsid w:val="00452CEA"/>
    <w:rsid w:val="00465B52"/>
    <w:rsid w:val="0046708E"/>
    <w:rsid w:val="00472A65"/>
    <w:rsid w:val="00474463"/>
    <w:rsid w:val="00474B75"/>
    <w:rsid w:val="00483F0B"/>
    <w:rsid w:val="00490F77"/>
    <w:rsid w:val="00491AD6"/>
    <w:rsid w:val="00496319"/>
    <w:rsid w:val="00497279"/>
    <w:rsid w:val="004A163B"/>
    <w:rsid w:val="004A670A"/>
    <w:rsid w:val="004B0B50"/>
    <w:rsid w:val="004B5465"/>
    <w:rsid w:val="004B70F0"/>
    <w:rsid w:val="004C0C3D"/>
    <w:rsid w:val="004C21A8"/>
    <w:rsid w:val="004C78F9"/>
    <w:rsid w:val="004D176D"/>
    <w:rsid w:val="004D505E"/>
    <w:rsid w:val="004D72CA"/>
    <w:rsid w:val="004E173B"/>
    <w:rsid w:val="004E2242"/>
    <w:rsid w:val="004E6FB0"/>
    <w:rsid w:val="004F42FF"/>
    <w:rsid w:val="004F44C2"/>
    <w:rsid w:val="00502512"/>
    <w:rsid w:val="00503FD2"/>
    <w:rsid w:val="00505262"/>
    <w:rsid w:val="00516022"/>
    <w:rsid w:val="00521CEE"/>
    <w:rsid w:val="00522D6C"/>
    <w:rsid w:val="00525540"/>
    <w:rsid w:val="00527BD4"/>
    <w:rsid w:val="005330E6"/>
    <w:rsid w:val="00537095"/>
    <w:rsid w:val="005403C8"/>
    <w:rsid w:val="005429DC"/>
    <w:rsid w:val="005565F9"/>
    <w:rsid w:val="005655FE"/>
    <w:rsid w:val="00573041"/>
    <w:rsid w:val="0057523D"/>
    <w:rsid w:val="00575B80"/>
    <w:rsid w:val="0057620F"/>
    <w:rsid w:val="005819CE"/>
    <w:rsid w:val="00581F6B"/>
    <w:rsid w:val="0058298D"/>
    <w:rsid w:val="00584C1A"/>
    <w:rsid w:val="0058527B"/>
    <w:rsid w:val="00593C2B"/>
    <w:rsid w:val="00595231"/>
    <w:rsid w:val="00596166"/>
    <w:rsid w:val="00596972"/>
    <w:rsid w:val="0059796E"/>
    <w:rsid w:val="00597F64"/>
    <w:rsid w:val="005A207F"/>
    <w:rsid w:val="005A2AB1"/>
    <w:rsid w:val="005A2F35"/>
    <w:rsid w:val="005B3814"/>
    <w:rsid w:val="005B463E"/>
    <w:rsid w:val="005B502D"/>
    <w:rsid w:val="005C34E1"/>
    <w:rsid w:val="005C3FE0"/>
    <w:rsid w:val="005C740C"/>
    <w:rsid w:val="005D625B"/>
    <w:rsid w:val="005D6FBD"/>
    <w:rsid w:val="005E68A9"/>
    <w:rsid w:val="005F62D3"/>
    <w:rsid w:val="005F6D11"/>
    <w:rsid w:val="005F7CD1"/>
    <w:rsid w:val="00600CF0"/>
    <w:rsid w:val="006048F4"/>
    <w:rsid w:val="0060660A"/>
    <w:rsid w:val="006066CF"/>
    <w:rsid w:val="006068B2"/>
    <w:rsid w:val="00607C35"/>
    <w:rsid w:val="0061227B"/>
    <w:rsid w:val="00613B1D"/>
    <w:rsid w:val="00617A44"/>
    <w:rsid w:val="006202B6"/>
    <w:rsid w:val="00625CD0"/>
    <w:rsid w:val="0062627D"/>
    <w:rsid w:val="00627432"/>
    <w:rsid w:val="00637DFC"/>
    <w:rsid w:val="0064284A"/>
    <w:rsid w:val="00642D6C"/>
    <w:rsid w:val="00643FAA"/>
    <w:rsid w:val="006448E4"/>
    <w:rsid w:val="00645414"/>
    <w:rsid w:val="00651CEE"/>
    <w:rsid w:val="00653606"/>
    <w:rsid w:val="006610E9"/>
    <w:rsid w:val="00661591"/>
    <w:rsid w:val="00664678"/>
    <w:rsid w:val="006653B3"/>
    <w:rsid w:val="00665ABB"/>
    <w:rsid w:val="0066632F"/>
    <w:rsid w:val="00674A89"/>
    <w:rsid w:val="00674F3D"/>
    <w:rsid w:val="006761BA"/>
    <w:rsid w:val="00681430"/>
    <w:rsid w:val="00685545"/>
    <w:rsid w:val="006864B3"/>
    <w:rsid w:val="00692D64"/>
    <w:rsid w:val="00696380"/>
    <w:rsid w:val="006A013B"/>
    <w:rsid w:val="006A10F8"/>
    <w:rsid w:val="006A2100"/>
    <w:rsid w:val="006A2453"/>
    <w:rsid w:val="006A25FC"/>
    <w:rsid w:val="006A5C3B"/>
    <w:rsid w:val="006A72E0"/>
    <w:rsid w:val="006B0BF3"/>
    <w:rsid w:val="006B3C17"/>
    <w:rsid w:val="006B4CA7"/>
    <w:rsid w:val="006B775E"/>
    <w:rsid w:val="006B7BC7"/>
    <w:rsid w:val="006C2535"/>
    <w:rsid w:val="006C441E"/>
    <w:rsid w:val="006C4B90"/>
    <w:rsid w:val="006C5712"/>
    <w:rsid w:val="006D1016"/>
    <w:rsid w:val="006D17F2"/>
    <w:rsid w:val="006E3546"/>
    <w:rsid w:val="006E3FA9"/>
    <w:rsid w:val="006E7D82"/>
    <w:rsid w:val="006F038F"/>
    <w:rsid w:val="006F0F93"/>
    <w:rsid w:val="006F1390"/>
    <w:rsid w:val="006F31F2"/>
    <w:rsid w:val="006F7494"/>
    <w:rsid w:val="006F751F"/>
    <w:rsid w:val="007053D9"/>
    <w:rsid w:val="00705433"/>
    <w:rsid w:val="00714DC5"/>
    <w:rsid w:val="00715237"/>
    <w:rsid w:val="00721AE1"/>
    <w:rsid w:val="007254A5"/>
    <w:rsid w:val="00725748"/>
    <w:rsid w:val="007269E3"/>
    <w:rsid w:val="00732F79"/>
    <w:rsid w:val="007344F5"/>
    <w:rsid w:val="00735D88"/>
    <w:rsid w:val="0073720D"/>
    <w:rsid w:val="00737507"/>
    <w:rsid w:val="00740712"/>
    <w:rsid w:val="00742AB9"/>
    <w:rsid w:val="00746C31"/>
    <w:rsid w:val="00751A6A"/>
    <w:rsid w:val="00754FBF"/>
    <w:rsid w:val="007610AA"/>
    <w:rsid w:val="007709EF"/>
    <w:rsid w:val="00782701"/>
    <w:rsid w:val="00783559"/>
    <w:rsid w:val="00791D39"/>
    <w:rsid w:val="0079551B"/>
    <w:rsid w:val="00797AA5"/>
    <w:rsid w:val="007A0D26"/>
    <w:rsid w:val="007A26BD"/>
    <w:rsid w:val="007A4105"/>
    <w:rsid w:val="007A75F7"/>
    <w:rsid w:val="007B4483"/>
    <w:rsid w:val="007B4503"/>
    <w:rsid w:val="007B51A6"/>
    <w:rsid w:val="007B5B3F"/>
    <w:rsid w:val="007C406E"/>
    <w:rsid w:val="007C5183"/>
    <w:rsid w:val="007C7573"/>
    <w:rsid w:val="007D7949"/>
    <w:rsid w:val="007E2B20"/>
    <w:rsid w:val="007E32D3"/>
    <w:rsid w:val="007E65F1"/>
    <w:rsid w:val="007E661F"/>
    <w:rsid w:val="007F1FE4"/>
    <w:rsid w:val="007F439C"/>
    <w:rsid w:val="007F5331"/>
    <w:rsid w:val="007F7862"/>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680B"/>
    <w:rsid w:val="00847444"/>
    <w:rsid w:val="008517C6"/>
    <w:rsid w:val="008547BA"/>
    <w:rsid w:val="008553C7"/>
    <w:rsid w:val="00857FEB"/>
    <w:rsid w:val="008601AF"/>
    <w:rsid w:val="008624E1"/>
    <w:rsid w:val="00862B64"/>
    <w:rsid w:val="00872271"/>
    <w:rsid w:val="008738B5"/>
    <w:rsid w:val="0088295A"/>
    <w:rsid w:val="00883137"/>
    <w:rsid w:val="0089117B"/>
    <w:rsid w:val="00894A3B"/>
    <w:rsid w:val="008A1F5D"/>
    <w:rsid w:val="008A28F5"/>
    <w:rsid w:val="008B1198"/>
    <w:rsid w:val="008B3471"/>
    <w:rsid w:val="008B3929"/>
    <w:rsid w:val="008B4125"/>
    <w:rsid w:val="008B4CB3"/>
    <w:rsid w:val="008B567B"/>
    <w:rsid w:val="008B7B24"/>
    <w:rsid w:val="008C356D"/>
    <w:rsid w:val="008D0D84"/>
    <w:rsid w:val="008D43B5"/>
    <w:rsid w:val="008D7BFF"/>
    <w:rsid w:val="008E0B3F"/>
    <w:rsid w:val="008E48F7"/>
    <w:rsid w:val="008E49AD"/>
    <w:rsid w:val="008E68D8"/>
    <w:rsid w:val="008E698E"/>
    <w:rsid w:val="008F2584"/>
    <w:rsid w:val="008F3246"/>
    <w:rsid w:val="008F3C1B"/>
    <w:rsid w:val="008F508C"/>
    <w:rsid w:val="00901BE9"/>
    <w:rsid w:val="0090271B"/>
    <w:rsid w:val="00906C2E"/>
    <w:rsid w:val="00910642"/>
    <w:rsid w:val="00910DDF"/>
    <w:rsid w:val="0091243A"/>
    <w:rsid w:val="00922290"/>
    <w:rsid w:val="00926AE2"/>
    <w:rsid w:val="00930B13"/>
    <w:rsid w:val="009311C8"/>
    <w:rsid w:val="00933376"/>
    <w:rsid w:val="00933A2F"/>
    <w:rsid w:val="0093741F"/>
    <w:rsid w:val="009522E8"/>
    <w:rsid w:val="009554E2"/>
    <w:rsid w:val="00967A90"/>
    <w:rsid w:val="009716D8"/>
    <w:rsid w:val="009718F9"/>
    <w:rsid w:val="00971F42"/>
    <w:rsid w:val="00972FB9"/>
    <w:rsid w:val="00975112"/>
    <w:rsid w:val="00981768"/>
    <w:rsid w:val="00983544"/>
    <w:rsid w:val="00983893"/>
    <w:rsid w:val="00983E8F"/>
    <w:rsid w:val="0098788A"/>
    <w:rsid w:val="00994FDA"/>
    <w:rsid w:val="009A31BF"/>
    <w:rsid w:val="009A3B71"/>
    <w:rsid w:val="009A61BC"/>
    <w:rsid w:val="009B0138"/>
    <w:rsid w:val="009B0FE9"/>
    <w:rsid w:val="009B1187"/>
    <w:rsid w:val="009B173A"/>
    <w:rsid w:val="009B4B19"/>
    <w:rsid w:val="009C29B7"/>
    <w:rsid w:val="009C3F20"/>
    <w:rsid w:val="009C7CA1"/>
    <w:rsid w:val="009D043D"/>
    <w:rsid w:val="009E3C59"/>
    <w:rsid w:val="009F3259"/>
    <w:rsid w:val="009F4089"/>
    <w:rsid w:val="009F6CBD"/>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A81"/>
    <w:rsid w:val="00A41FE2"/>
    <w:rsid w:val="00A46FEF"/>
    <w:rsid w:val="00A47948"/>
    <w:rsid w:val="00A50CF6"/>
    <w:rsid w:val="00A50FA6"/>
    <w:rsid w:val="00A56946"/>
    <w:rsid w:val="00A6170E"/>
    <w:rsid w:val="00A63B8C"/>
    <w:rsid w:val="00A67327"/>
    <w:rsid w:val="00A715F8"/>
    <w:rsid w:val="00A749C6"/>
    <w:rsid w:val="00A77F6F"/>
    <w:rsid w:val="00A81C40"/>
    <w:rsid w:val="00A831FD"/>
    <w:rsid w:val="00A83352"/>
    <w:rsid w:val="00A8481E"/>
    <w:rsid w:val="00A850A2"/>
    <w:rsid w:val="00A91FA3"/>
    <w:rsid w:val="00A927D3"/>
    <w:rsid w:val="00A95C90"/>
    <w:rsid w:val="00AA7FC9"/>
    <w:rsid w:val="00AB237D"/>
    <w:rsid w:val="00AB5933"/>
    <w:rsid w:val="00AD3E33"/>
    <w:rsid w:val="00AE013D"/>
    <w:rsid w:val="00AE11B7"/>
    <w:rsid w:val="00AE7029"/>
    <w:rsid w:val="00AE7F68"/>
    <w:rsid w:val="00AF0633"/>
    <w:rsid w:val="00AF2321"/>
    <w:rsid w:val="00AF52F6"/>
    <w:rsid w:val="00AF52FD"/>
    <w:rsid w:val="00AF54A8"/>
    <w:rsid w:val="00AF7237"/>
    <w:rsid w:val="00B0043A"/>
    <w:rsid w:val="00B00D75"/>
    <w:rsid w:val="00B070CB"/>
    <w:rsid w:val="00B12456"/>
    <w:rsid w:val="00B145F0"/>
    <w:rsid w:val="00B259C8"/>
    <w:rsid w:val="00B269E3"/>
    <w:rsid w:val="00B26CCF"/>
    <w:rsid w:val="00B30C78"/>
    <w:rsid w:val="00B30FC2"/>
    <w:rsid w:val="00B331A2"/>
    <w:rsid w:val="00B425F0"/>
    <w:rsid w:val="00B42DFA"/>
    <w:rsid w:val="00B531DD"/>
    <w:rsid w:val="00B55014"/>
    <w:rsid w:val="00B62232"/>
    <w:rsid w:val="00B63A01"/>
    <w:rsid w:val="00B70BF3"/>
    <w:rsid w:val="00B71DC2"/>
    <w:rsid w:val="00B73748"/>
    <w:rsid w:val="00B742A7"/>
    <w:rsid w:val="00B849F5"/>
    <w:rsid w:val="00B91CFC"/>
    <w:rsid w:val="00B93893"/>
    <w:rsid w:val="00BA1397"/>
    <w:rsid w:val="00BA1B75"/>
    <w:rsid w:val="00BA7E0A"/>
    <w:rsid w:val="00BC2C00"/>
    <w:rsid w:val="00BC3B53"/>
    <w:rsid w:val="00BC3B96"/>
    <w:rsid w:val="00BC4AE3"/>
    <w:rsid w:val="00BC5B28"/>
    <w:rsid w:val="00BD2370"/>
    <w:rsid w:val="00BD2D73"/>
    <w:rsid w:val="00BD416F"/>
    <w:rsid w:val="00BE26AB"/>
    <w:rsid w:val="00BE3F88"/>
    <w:rsid w:val="00BE4756"/>
    <w:rsid w:val="00BE5ED9"/>
    <w:rsid w:val="00BE7B41"/>
    <w:rsid w:val="00BF7015"/>
    <w:rsid w:val="00C011E5"/>
    <w:rsid w:val="00C04F41"/>
    <w:rsid w:val="00C05AB3"/>
    <w:rsid w:val="00C13AE1"/>
    <w:rsid w:val="00C15A91"/>
    <w:rsid w:val="00C206F1"/>
    <w:rsid w:val="00C217E1"/>
    <w:rsid w:val="00C219B1"/>
    <w:rsid w:val="00C33AC5"/>
    <w:rsid w:val="00C36EF3"/>
    <w:rsid w:val="00C4015B"/>
    <w:rsid w:val="00C40C60"/>
    <w:rsid w:val="00C43FE6"/>
    <w:rsid w:val="00C5258E"/>
    <w:rsid w:val="00C530C9"/>
    <w:rsid w:val="00C619A7"/>
    <w:rsid w:val="00C73D5F"/>
    <w:rsid w:val="00C82AFE"/>
    <w:rsid w:val="00C83DBC"/>
    <w:rsid w:val="00C97C80"/>
    <w:rsid w:val="00CA2BFD"/>
    <w:rsid w:val="00CA47D3"/>
    <w:rsid w:val="00CA58B7"/>
    <w:rsid w:val="00CA6533"/>
    <w:rsid w:val="00CA6A25"/>
    <w:rsid w:val="00CA6A3F"/>
    <w:rsid w:val="00CA7C99"/>
    <w:rsid w:val="00CB0A71"/>
    <w:rsid w:val="00CB617A"/>
    <w:rsid w:val="00CC16C4"/>
    <w:rsid w:val="00CC5350"/>
    <w:rsid w:val="00CC6290"/>
    <w:rsid w:val="00CC6947"/>
    <w:rsid w:val="00CD233D"/>
    <w:rsid w:val="00CD3499"/>
    <w:rsid w:val="00CD362D"/>
    <w:rsid w:val="00CD4A96"/>
    <w:rsid w:val="00CE101D"/>
    <w:rsid w:val="00CE1814"/>
    <w:rsid w:val="00CE1A95"/>
    <w:rsid w:val="00CE1C84"/>
    <w:rsid w:val="00CE38C3"/>
    <w:rsid w:val="00CE5055"/>
    <w:rsid w:val="00CF053F"/>
    <w:rsid w:val="00CF1A17"/>
    <w:rsid w:val="00CF2A51"/>
    <w:rsid w:val="00CF65AC"/>
    <w:rsid w:val="00D0279F"/>
    <w:rsid w:val="00D0375A"/>
    <w:rsid w:val="00D0609E"/>
    <w:rsid w:val="00D078E1"/>
    <w:rsid w:val="00D100E9"/>
    <w:rsid w:val="00D10E7E"/>
    <w:rsid w:val="00D17942"/>
    <w:rsid w:val="00D21E4B"/>
    <w:rsid w:val="00D22441"/>
    <w:rsid w:val="00D23522"/>
    <w:rsid w:val="00D23656"/>
    <w:rsid w:val="00D23B52"/>
    <w:rsid w:val="00D264D6"/>
    <w:rsid w:val="00D32F78"/>
    <w:rsid w:val="00D33BF0"/>
    <w:rsid w:val="00D33DE0"/>
    <w:rsid w:val="00D35941"/>
    <w:rsid w:val="00D36447"/>
    <w:rsid w:val="00D43268"/>
    <w:rsid w:val="00D44958"/>
    <w:rsid w:val="00D516BE"/>
    <w:rsid w:val="00D5423B"/>
    <w:rsid w:val="00D54E6A"/>
    <w:rsid w:val="00D54F4E"/>
    <w:rsid w:val="00D56E01"/>
    <w:rsid w:val="00D57A56"/>
    <w:rsid w:val="00D604B3"/>
    <w:rsid w:val="00D60BA4"/>
    <w:rsid w:val="00D62419"/>
    <w:rsid w:val="00D6541E"/>
    <w:rsid w:val="00D71146"/>
    <w:rsid w:val="00D73F2E"/>
    <w:rsid w:val="00D77870"/>
    <w:rsid w:val="00D80977"/>
    <w:rsid w:val="00D80CCE"/>
    <w:rsid w:val="00D86EEA"/>
    <w:rsid w:val="00D87D03"/>
    <w:rsid w:val="00D9360B"/>
    <w:rsid w:val="00D95C88"/>
    <w:rsid w:val="00D97B2E"/>
    <w:rsid w:val="00DA0BA6"/>
    <w:rsid w:val="00DA241E"/>
    <w:rsid w:val="00DA4D17"/>
    <w:rsid w:val="00DB36FE"/>
    <w:rsid w:val="00DB533A"/>
    <w:rsid w:val="00DB60AE"/>
    <w:rsid w:val="00DB6307"/>
    <w:rsid w:val="00DC3580"/>
    <w:rsid w:val="00DD1DCD"/>
    <w:rsid w:val="00DD338F"/>
    <w:rsid w:val="00DD3B68"/>
    <w:rsid w:val="00DD66F2"/>
    <w:rsid w:val="00DD6C74"/>
    <w:rsid w:val="00DE3FE0"/>
    <w:rsid w:val="00DE578A"/>
    <w:rsid w:val="00DF05A6"/>
    <w:rsid w:val="00DF2583"/>
    <w:rsid w:val="00DF54D9"/>
    <w:rsid w:val="00DF7283"/>
    <w:rsid w:val="00E01A59"/>
    <w:rsid w:val="00E069C7"/>
    <w:rsid w:val="00E10DC6"/>
    <w:rsid w:val="00E11F8E"/>
    <w:rsid w:val="00E15881"/>
    <w:rsid w:val="00E16A8F"/>
    <w:rsid w:val="00E21DE3"/>
    <w:rsid w:val="00E273C5"/>
    <w:rsid w:val="00E307D1"/>
    <w:rsid w:val="00E320B8"/>
    <w:rsid w:val="00E32EFB"/>
    <w:rsid w:val="00E3731D"/>
    <w:rsid w:val="00E46A66"/>
    <w:rsid w:val="00E51469"/>
    <w:rsid w:val="00E634E3"/>
    <w:rsid w:val="00E717C4"/>
    <w:rsid w:val="00E741CC"/>
    <w:rsid w:val="00E758FD"/>
    <w:rsid w:val="00E77E18"/>
    <w:rsid w:val="00E77F89"/>
    <w:rsid w:val="00E80330"/>
    <w:rsid w:val="00E806C5"/>
    <w:rsid w:val="00E80E71"/>
    <w:rsid w:val="00E850D3"/>
    <w:rsid w:val="00E853D6"/>
    <w:rsid w:val="00E876B9"/>
    <w:rsid w:val="00E93ACC"/>
    <w:rsid w:val="00EA0FD2"/>
    <w:rsid w:val="00EA709D"/>
    <w:rsid w:val="00EC0DFF"/>
    <w:rsid w:val="00EC237D"/>
    <w:rsid w:val="00EC2918"/>
    <w:rsid w:val="00EC4D0E"/>
    <w:rsid w:val="00EC4E2B"/>
    <w:rsid w:val="00ED072A"/>
    <w:rsid w:val="00ED539E"/>
    <w:rsid w:val="00EE4A1F"/>
    <w:rsid w:val="00EE4C2D"/>
    <w:rsid w:val="00EE6B27"/>
    <w:rsid w:val="00EF1B5A"/>
    <w:rsid w:val="00EF24FB"/>
    <w:rsid w:val="00EF2CCA"/>
    <w:rsid w:val="00EF495B"/>
    <w:rsid w:val="00EF60DC"/>
    <w:rsid w:val="00F00F54"/>
    <w:rsid w:val="00F03963"/>
    <w:rsid w:val="00F11068"/>
    <w:rsid w:val="00F1256D"/>
    <w:rsid w:val="00F13A4E"/>
    <w:rsid w:val="00F172BB"/>
    <w:rsid w:val="00F17B10"/>
    <w:rsid w:val="00F20E47"/>
    <w:rsid w:val="00F21BEF"/>
    <w:rsid w:val="00F2315B"/>
    <w:rsid w:val="00F2391B"/>
    <w:rsid w:val="00F267D4"/>
    <w:rsid w:val="00F3455C"/>
    <w:rsid w:val="00F34805"/>
    <w:rsid w:val="00F34FBC"/>
    <w:rsid w:val="00F41A6F"/>
    <w:rsid w:val="00F45A25"/>
    <w:rsid w:val="00F50F86"/>
    <w:rsid w:val="00F52593"/>
    <w:rsid w:val="00F53F91"/>
    <w:rsid w:val="00F61569"/>
    <w:rsid w:val="00F61A72"/>
    <w:rsid w:val="00F62B67"/>
    <w:rsid w:val="00F66F13"/>
    <w:rsid w:val="00F70423"/>
    <w:rsid w:val="00F74073"/>
    <w:rsid w:val="00F752C2"/>
    <w:rsid w:val="00F75603"/>
    <w:rsid w:val="00F845B4"/>
    <w:rsid w:val="00F8713B"/>
    <w:rsid w:val="00F93F9E"/>
    <w:rsid w:val="00FA0961"/>
    <w:rsid w:val="00FA2CD7"/>
    <w:rsid w:val="00FA3C5D"/>
    <w:rsid w:val="00FB06ED"/>
    <w:rsid w:val="00FB3CD2"/>
    <w:rsid w:val="00FC2311"/>
    <w:rsid w:val="00FC3165"/>
    <w:rsid w:val="00FC36AB"/>
    <w:rsid w:val="00FC4300"/>
    <w:rsid w:val="00FC7D52"/>
    <w:rsid w:val="00FC7F66"/>
    <w:rsid w:val="00FD024F"/>
    <w:rsid w:val="00FD32B5"/>
    <w:rsid w:val="00FD5776"/>
    <w:rsid w:val="00FE1CB6"/>
    <w:rsid w:val="00FE486B"/>
    <w:rsid w:val="00FE4F08"/>
    <w:rsid w:val="00FF192E"/>
    <w:rsid w:val="00FF1CF2"/>
    <w:rsid w:val="02DE4426"/>
    <w:rsid w:val="075E4528"/>
    <w:rsid w:val="07789DD4"/>
    <w:rsid w:val="093AE03E"/>
    <w:rsid w:val="09972E4F"/>
    <w:rsid w:val="0D0149E3"/>
    <w:rsid w:val="0DC4C097"/>
    <w:rsid w:val="0DF95564"/>
    <w:rsid w:val="11087D78"/>
    <w:rsid w:val="15109DBF"/>
    <w:rsid w:val="1B10F0A0"/>
    <w:rsid w:val="22CD6107"/>
    <w:rsid w:val="2A0597B0"/>
    <w:rsid w:val="2ABB4DA2"/>
    <w:rsid w:val="2CD68CFE"/>
    <w:rsid w:val="2D3342F8"/>
    <w:rsid w:val="323AD012"/>
    <w:rsid w:val="325775F4"/>
    <w:rsid w:val="330066B1"/>
    <w:rsid w:val="3D65BB05"/>
    <w:rsid w:val="3F6BF4D2"/>
    <w:rsid w:val="41C61A04"/>
    <w:rsid w:val="427D41B2"/>
    <w:rsid w:val="4336DA09"/>
    <w:rsid w:val="512A1F57"/>
    <w:rsid w:val="54358D80"/>
    <w:rsid w:val="5536A04A"/>
    <w:rsid w:val="5583DA0F"/>
    <w:rsid w:val="57AE751C"/>
    <w:rsid w:val="5952B9FA"/>
    <w:rsid w:val="5C3183CA"/>
    <w:rsid w:val="5C86619E"/>
    <w:rsid w:val="5D1D45A9"/>
    <w:rsid w:val="6059E027"/>
    <w:rsid w:val="69590884"/>
    <w:rsid w:val="6AA7681D"/>
    <w:rsid w:val="6C183389"/>
    <w:rsid w:val="6C92EEEA"/>
    <w:rsid w:val="6CDF1C55"/>
    <w:rsid w:val="6EC48307"/>
    <w:rsid w:val="77298F12"/>
    <w:rsid w:val="7E085890"/>
    <w:rsid w:val="7FD66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C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paragraph" w:styleId="Lijstalinea">
    <w:name w:val="List Paragraph"/>
    <w:basedOn w:val="Standaard"/>
    <w:uiPriority w:val="34"/>
    <w:qFormat/>
    <w:rsid w:val="000B3361"/>
    <w:pPr>
      <w:spacing w:after="160" w:line="279" w:lineRule="auto"/>
      <w:ind w:left="720"/>
      <w:contextualSpacing/>
    </w:pPr>
    <w:rPr>
      <w:rFonts w:asciiTheme="minorHAnsi" w:eastAsiaTheme="minorHAnsi" w:hAnsiTheme="minorHAnsi" w:cstheme="minorBidi"/>
      <w:sz w:val="24"/>
      <w:lang w:eastAsia="en-US"/>
    </w:rPr>
  </w:style>
  <w:style w:type="character" w:styleId="Voetnootmarkering">
    <w:name w:val="footnote reference"/>
    <w:basedOn w:val="Standaardalinea-lettertype"/>
    <w:uiPriority w:val="99"/>
    <w:semiHidden/>
    <w:unhideWhenUsed/>
    <w:rsid w:val="000B3361"/>
    <w:rPr>
      <w:vertAlign w:val="superscript"/>
    </w:rPr>
  </w:style>
  <w:style w:type="character" w:styleId="Onopgelostemelding">
    <w:name w:val="Unresolved Mention"/>
    <w:basedOn w:val="Standaardalinea-lettertype"/>
    <w:uiPriority w:val="99"/>
    <w:semiHidden/>
    <w:unhideWhenUsed/>
    <w:rsid w:val="009F4089"/>
    <w:rPr>
      <w:color w:val="605E5C"/>
      <w:shd w:val="clear" w:color="auto" w:fill="E1DFDD"/>
    </w:rPr>
  </w:style>
  <w:style w:type="character" w:styleId="Verwijzingopmerking">
    <w:name w:val="annotation reference"/>
    <w:basedOn w:val="Standaardalinea-lettertype"/>
    <w:semiHidden/>
    <w:unhideWhenUsed/>
    <w:rsid w:val="009522E8"/>
    <w:rPr>
      <w:sz w:val="16"/>
      <w:szCs w:val="16"/>
    </w:rPr>
  </w:style>
  <w:style w:type="paragraph" w:styleId="Tekstopmerking">
    <w:name w:val="annotation text"/>
    <w:basedOn w:val="Standaard"/>
    <w:link w:val="TekstopmerkingChar"/>
    <w:unhideWhenUsed/>
    <w:rsid w:val="009522E8"/>
    <w:pPr>
      <w:spacing w:line="240" w:lineRule="auto"/>
    </w:pPr>
    <w:rPr>
      <w:sz w:val="20"/>
      <w:szCs w:val="20"/>
    </w:rPr>
  </w:style>
  <w:style w:type="character" w:customStyle="1" w:styleId="TekstopmerkingChar">
    <w:name w:val="Tekst opmerking Char"/>
    <w:basedOn w:val="Standaardalinea-lettertype"/>
    <w:link w:val="Tekstopmerking"/>
    <w:rsid w:val="009522E8"/>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9522E8"/>
    <w:rPr>
      <w:b/>
      <w:bCs/>
    </w:rPr>
  </w:style>
  <w:style w:type="character" w:customStyle="1" w:styleId="OnderwerpvanopmerkingChar">
    <w:name w:val="Onderwerp van opmerking Char"/>
    <w:basedOn w:val="TekstopmerkingChar"/>
    <w:link w:val="Onderwerpvanopmerking"/>
    <w:semiHidden/>
    <w:rsid w:val="009522E8"/>
    <w:rPr>
      <w:rFonts w:ascii="Verdana" w:hAnsi="Verdana"/>
      <w:b/>
      <w:bCs/>
      <w:lang w:val="nl-NL" w:eastAsia="nl-NL"/>
    </w:rPr>
  </w:style>
  <w:style w:type="character" w:styleId="Vermelding">
    <w:name w:val="Mention"/>
    <w:basedOn w:val="Standaardalinea-lettertype"/>
    <w:uiPriority w:val="99"/>
    <w:unhideWhenUsed/>
    <w:rsid w:val="00491AD6"/>
    <w:rPr>
      <w:color w:val="2B579A"/>
      <w:shd w:val="clear" w:color="auto" w:fill="E1DFDD"/>
    </w:rPr>
  </w:style>
  <w:style w:type="paragraph" w:styleId="Revisie">
    <w:name w:val="Revision"/>
    <w:hidden/>
    <w:uiPriority w:val="99"/>
    <w:semiHidden/>
    <w:rsid w:val="00E320B8"/>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energy.ec.europa.eu%2Fnews%2Fconsultation-proposed-electricity-market-reforms-netherlands-2026-09-10_en&amp;data=05%7C02%7Ci.p.c.vandenboogaard%40minezk.nl%7Cd71dc10335f94aad5f7408df2ec32555%7C1321633ef6b944e2a44f59b9d264ecb7%7C0%7C0%7C639281087809235688%7CUnknown%7CTWFpbGZsb3d8eyJFbXB0eU1hcGkiOnRydWUsIlYiOiIwLjAuMDAwMCIsIlAiOiJXaW4zMiIsIkFOIjoiTWFpbCIsIldUIjoyfQ%3D%3D%7C0%7C%7C%7C&amp;sdata=fVImOMAXgqTQlfpIsVLTVmfsmsPZJ461VvU2sdjw%2F%2F4%3D&amp;reserved=0"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5</ap:Pages>
  <ap:Words>1589</ap:Words>
  <ap:Characters>8742</ap:Characters>
  <ap:DocSecurity>0</ap:DocSecurity>
  <ap:Lines>72</ap:Lines>
  <ap:Paragraphs>20</ap:Paragraphs>
  <ap:ScaleCrop>false</ap:ScaleCrop>
  <ap:LinksUpToDate>false</ap:LinksUpToDate>
  <ap:CharactersWithSpaces>10311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2026-11-03T09:09:00.0000000Z</dcterms:created>
  <dcterms:modified xsi:type="dcterms:W3CDTF">2026-11-03T09:09:00.0000000Z</dcterms:modified>
  <dc:description>------------------------</dc:description>
  <dc:subject/>
  <keywords/>
  <version/>
  <category/>
</coreProperties>
</file>