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B6596" w:rsidP="002B6596" w:rsidRDefault="002B6596" w14:paraId="1CA23934" w14:textId="77777777">
      <w:r>
        <w:t>Geachte voorzitter,</w:t>
      </w:r>
    </w:p>
    <w:p w:rsidR="002B6596" w:rsidP="002B6596" w:rsidRDefault="002B6596" w14:paraId="16793C10" w14:textId="77777777"/>
    <w:p w:rsidR="002B6596" w:rsidP="002B6596" w:rsidRDefault="002B6596" w14:paraId="4401F6D2" w14:textId="77777777">
      <w:r>
        <w:t>Het ministerie van Economische Zaken en Klimaat heeft in</w:t>
      </w:r>
      <w:r w:rsidRPr="001505C0">
        <w:t xml:space="preserve"> samenwerking </w:t>
      </w:r>
      <w:r>
        <w:t>met het</w:t>
      </w:r>
      <w:r w:rsidRPr="001505C0">
        <w:t xml:space="preserve"> ministerie van Financiën </w:t>
      </w:r>
      <w:r>
        <w:t xml:space="preserve">en de Rijksdienst voor Ondernemend Nederland (RVO) een verdere verkenning uitgevoerd naar </w:t>
      </w:r>
      <w:r w:rsidRPr="001505C0">
        <w:t>het instrument circulaire hefboom</w:t>
      </w:r>
      <w:r>
        <w:t xml:space="preserve">. Hieruit blijkt dat het instrument in beginsel potentie heeft om de transitie naar een circulaire economie te versnellen. Tevens blijkt dat voor een zorgvuldige afweging over (de haalbaarheid van) de introductie van de circulaire hefboom, diepgaander onderzoek per productgroep nodig is. </w:t>
      </w:r>
    </w:p>
    <w:p w:rsidR="002B6596" w:rsidP="002B6596" w:rsidRDefault="002B6596" w14:paraId="1A66BB4C" w14:textId="77777777"/>
    <w:p w:rsidR="002B6596" w:rsidP="002B6596" w:rsidRDefault="002B6596" w14:paraId="722C0063" w14:textId="77777777">
      <w:r>
        <w:t>Deze brief wordt verstuurd mede namens de staatssecretaris van Financiën en gaat na een korte inleiding over het instrument circulaire hefboom in op de uitkomsten van het onderzoek en de conclusies die het kabinet trekt. Deze brief geeft ook invulling aan de toezegging om de Kamer te informeren over de circulaire hefboom.</w:t>
      </w:r>
      <w:r>
        <w:rPr>
          <w:rStyle w:val="Voetnootmarkering"/>
        </w:rPr>
        <w:footnoteReference w:id="1"/>
      </w:r>
      <w:r>
        <w:t xml:space="preserve"> </w:t>
      </w:r>
    </w:p>
    <w:p w:rsidR="002B6596" w:rsidP="002B6596" w:rsidRDefault="002B6596" w14:paraId="1D17D57F" w14:textId="77777777"/>
    <w:p w:rsidRPr="006E1EE7" w:rsidR="002B6596" w:rsidP="002B6596" w:rsidRDefault="002B6596" w14:paraId="3666229C" w14:textId="77777777">
      <w:pPr>
        <w:rPr>
          <w:b/>
          <w:bCs/>
        </w:rPr>
      </w:pPr>
      <w:r>
        <w:rPr>
          <w:b/>
          <w:bCs/>
        </w:rPr>
        <w:t>Het instrument c</w:t>
      </w:r>
      <w:r w:rsidRPr="006E1EE7">
        <w:rPr>
          <w:b/>
          <w:bCs/>
        </w:rPr>
        <w:t>irculaire hefboom</w:t>
      </w:r>
    </w:p>
    <w:p w:rsidRPr="007365E3" w:rsidR="002B6596" w:rsidP="002B6596" w:rsidRDefault="002B6596" w14:paraId="074A7A5D" w14:textId="77777777">
      <w:r>
        <w:t>Het voorstel voor de invoering van een circulaire hefboom is afkomstig uit het eindrapport van de Plastictafel, die onder leiding stond van d</w:t>
      </w:r>
      <w:r w:rsidRPr="00412695">
        <w:t>e Speciaal Regeringsvertegenwoordiger Circulaire Economie (SRCE)</w:t>
      </w:r>
      <w:r>
        <w:t xml:space="preserve">. Het rapport is op 1 juli 2025 overhandigd aan het kabinet en de Kamer. </w:t>
      </w:r>
      <w:r w:rsidRPr="00205555">
        <w:rPr>
          <w:szCs w:val="18"/>
        </w:rPr>
        <w:t>De</w:t>
      </w:r>
      <w:r>
        <w:rPr>
          <w:szCs w:val="18"/>
        </w:rPr>
        <w:t xml:space="preserve"> </w:t>
      </w:r>
      <w:r w:rsidRPr="00205555">
        <w:rPr>
          <w:szCs w:val="18"/>
        </w:rPr>
        <w:t>circulaire hefboom is een</w:t>
      </w:r>
      <w:r>
        <w:rPr>
          <w:szCs w:val="18"/>
        </w:rPr>
        <w:t xml:space="preserve"> </w:t>
      </w:r>
      <w:r w:rsidRPr="00205555">
        <w:rPr>
          <w:szCs w:val="18"/>
        </w:rPr>
        <w:t>instrument dat bedrijven</w:t>
      </w:r>
      <w:r>
        <w:rPr>
          <w:szCs w:val="18"/>
        </w:rPr>
        <w:t xml:space="preserve"> middels een heffing </w:t>
      </w:r>
      <w:r w:rsidRPr="00205555">
        <w:rPr>
          <w:szCs w:val="18"/>
        </w:rPr>
        <w:t xml:space="preserve">laat betalen voor </w:t>
      </w:r>
      <w:r>
        <w:rPr>
          <w:szCs w:val="18"/>
        </w:rPr>
        <w:t>het gebruik</w:t>
      </w:r>
      <w:r w:rsidRPr="00205555">
        <w:rPr>
          <w:szCs w:val="18"/>
        </w:rPr>
        <w:t xml:space="preserve"> van </w:t>
      </w:r>
      <w:r>
        <w:rPr>
          <w:szCs w:val="18"/>
        </w:rPr>
        <w:t xml:space="preserve">(virgin) </w:t>
      </w:r>
      <w:r w:rsidRPr="00205555">
        <w:rPr>
          <w:szCs w:val="18"/>
        </w:rPr>
        <w:t>fossiel</w:t>
      </w:r>
      <w:r>
        <w:rPr>
          <w:szCs w:val="18"/>
        </w:rPr>
        <w:t xml:space="preserve"> materiaal </w:t>
      </w:r>
      <w:r w:rsidRPr="00205555">
        <w:rPr>
          <w:szCs w:val="18"/>
        </w:rPr>
        <w:t>in hun</w:t>
      </w:r>
      <w:r>
        <w:rPr>
          <w:szCs w:val="18"/>
        </w:rPr>
        <w:t xml:space="preserve"> </w:t>
      </w:r>
      <w:r w:rsidRPr="00205555">
        <w:rPr>
          <w:szCs w:val="18"/>
        </w:rPr>
        <w:t>product, met als doel de</w:t>
      </w:r>
      <w:r>
        <w:rPr>
          <w:szCs w:val="18"/>
        </w:rPr>
        <w:t xml:space="preserve"> </w:t>
      </w:r>
      <w:r w:rsidRPr="00205555">
        <w:rPr>
          <w:szCs w:val="18"/>
        </w:rPr>
        <w:t>overgang naar circulaire</w:t>
      </w:r>
      <w:r>
        <w:rPr>
          <w:szCs w:val="18"/>
        </w:rPr>
        <w:t xml:space="preserve"> materialen </w:t>
      </w:r>
      <w:r w:rsidRPr="00205555">
        <w:rPr>
          <w:szCs w:val="18"/>
        </w:rPr>
        <w:t>te stimuleren.</w:t>
      </w:r>
      <w:r>
        <w:rPr>
          <w:szCs w:val="18"/>
        </w:rPr>
        <w:t xml:space="preserve"> </w:t>
      </w:r>
      <w:r w:rsidRPr="00205555">
        <w:rPr>
          <w:szCs w:val="18"/>
        </w:rPr>
        <w:t>De opbrengsten van</w:t>
      </w:r>
      <w:r>
        <w:rPr>
          <w:szCs w:val="18"/>
        </w:rPr>
        <w:t xml:space="preserve"> </w:t>
      </w:r>
      <w:r w:rsidRPr="00205555">
        <w:rPr>
          <w:szCs w:val="18"/>
        </w:rPr>
        <w:t>de</w:t>
      </w:r>
      <w:r>
        <w:rPr>
          <w:szCs w:val="18"/>
        </w:rPr>
        <w:t>ze</w:t>
      </w:r>
      <w:r w:rsidRPr="00205555">
        <w:rPr>
          <w:szCs w:val="18"/>
        </w:rPr>
        <w:t xml:space="preserve"> heffing </w:t>
      </w:r>
      <w:r>
        <w:rPr>
          <w:szCs w:val="18"/>
        </w:rPr>
        <w:t xml:space="preserve">worden </w:t>
      </w:r>
      <w:r w:rsidRPr="00205555">
        <w:rPr>
          <w:szCs w:val="18"/>
        </w:rPr>
        <w:t>geïnvesteerd in</w:t>
      </w:r>
      <w:r>
        <w:rPr>
          <w:szCs w:val="18"/>
        </w:rPr>
        <w:t xml:space="preserve"> het ontwikkelen van </w:t>
      </w:r>
      <w:r w:rsidRPr="00205555">
        <w:rPr>
          <w:szCs w:val="18"/>
        </w:rPr>
        <w:t>circulaire</w:t>
      </w:r>
      <w:r>
        <w:rPr>
          <w:szCs w:val="18"/>
        </w:rPr>
        <w:t xml:space="preserve"> i</w:t>
      </w:r>
      <w:r w:rsidRPr="00205555">
        <w:rPr>
          <w:szCs w:val="18"/>
        </w:rPr>
        <w:t xml:space="preserve">nnovaties en oplossingen </w:t>
      </w:r>
      <w:r>
        <w:rPr>
          <w:szCs w:val="18"/>
        </w:rPr>
        <w:t xml:space="preserve">zodat </w:t>
      </w:r>
      <w:r w:rsidRPr="00205555">
        <w:rPr>
          <w:szCs w:val="18"/>
        </w:rPr>
        <w:t>deze aantrekkelijker</w:t>
      </w:r>
      <w:r>
        <w:rPr>
          <w:szCs w:val="18"/>
        </w:rPr>
        <w:t xml:space="preserve"> </w:t>
      </w:r>
      <w:r w:rsidRPr="00205555">
        <w:rPr>
          <w:szCs w:val="18"/>
        </w:rPr>
        <w:t>worden.</w:t>
      </w:r>
    </w:p>
    <w:p w:rsidR="002B6596" w:rsidP="002B6596" w:rsidRDefault="002B6596" w14:paraId="4F450465" w14:textId="77777777"/>
    <w:p w:rsidR="002B6596" w:rsidP="002B6596" w:rsidRDefault="002B6596" w14:paraId="25C682E4" w14:textId="45A8B049">
      <w:r w:rsidRPr="004839A6">
        <w:t xml:space="preserve">Het voorstel voor een circulaire hefboom bestaat </w:t>
      </w:r>
      <w:r>
        <w:t xml:space="preserve">daarmee </w:t>
      </w:r>
      <w:r w:rsidRPr="004839A6">
        <w:t xml:space="preserve">uit twee delen, </w:t>
      </w:r>
      <w:r>
        <w:t>éé</w:t>
      </w:r>
      <w:r w:rsidRPr="004839A6">
        <w:t>n heffingsdeel</w:t>
      </w:r>
      <w:r>
        <w:t xml:space="preserve"> </w:t>
      </w:r>
      <w:r w:rsidRPr="004839A6">
        <w:t xml:space="preserve">en </w:t>
      </w:r>
      <w:r w:rsidR="0001160B">
        <w:t>éé</w:t>
      </w:r>
      <w:r w:rsidRPr="004839A6">
        <w:t>n stimuleringsdeel. De heffing vindt plaats</w:t>
      </w:r>
      <w:r>
        <w:t xml:space="preserve"> </w:t>
      </w:r>
      <w:r w:rsidRPr="004839A6">
        <w:t xml:space="preserve">op basis van het aandeel </w:t>
      </w:r>
      <w:r>
        <w:t xml:space="preserve">(virgin) </w:t>
      </w:r>
      <w:r w:rsidRPr="004839A6">
        <w:t>fossiel plastic in producten. Afhankelijk van de</w:t>
      </w:r>
      <w:r>
        <w:t xml:space="preserve"> </w:t>
      </w:r>
      <w:r w:rsidRPr="004839A6">
        <w:t>productcategorie</w:t>
      </w:r>
      <w:r>
        <w:t xml:space="preserve"> </w:t>
      </w:r>
      <w:r w:rsidRPr="004839A6">
        <w:t>kunnen hier ook andere producteigenschappen aan worden toegevoegd, wanneer dit gewenst</w:t>
      </w:r>
      <w:r>
        <w:t xml:space="preserve"> </w:t>
      </w:r>
      <w:r w:rsidRPr="004839A6">
        <w:t xml:space="preserve">is vanuit de circulaire transitie. Bijvoorbeeld bij de productgroep </w:t>
      </w:r>
      <w:r w:rsidRPr="004839A6">
        <w:lastRenderedPageBreak/>
        <w:t xml:space="preserve">textiel </w:t>
      </w:r>
      <w:r>
        <w:t xml:space="preserve">kan dit gaan om </w:t>
      </w:r>
      <w:r w:rsidRPr="004839A6">
        <w:t>het aantal</w:t>
      </w:r>
      <w:r>
        <w:t xml:space="preserve"> </w:t>
      </w:r>
      <w:r w:rsidRPr="004839A6">
        <w:t xml:space="preserve">gebruikte materialen, </w:t>
      </w:r>
      <w:r>
        <w:t>omdat het recyclen van weefsels die uit meerdere materialen bestaan complex is.</w:t>
      </w:r>
    </w:p>
    <w:p w:rsidR="002B6596" w:rsidP="002B6596" w:rsidRDefault="002B6596" w14:paraId="4B982365" w14:textId="77777777"/>
    <w:p w:rsidRPr="00E62EAE" w:rsidR="002B6596" w:rsidP="002B6596" w:rsidRDefault="002B6596" w14:paraId="2692A6DF" w14:textId="77777777">
      <w:r>
        <w:t>I</w:t>
      </w:r>
      <w:r w:rsidRPr="00E62EAE">
        <w:t>n het voorstel van de Plastictafel</w:t>
      </w:r>
      <w:r w:rsidRPr="004839A6">
        <w:t xml:space="preserve"> </w:t>
      </w:r>
      <w:r>
        <w:t>wordt d</w:t>
      </w:r>
      <w:r w:rsidRPr="004839A6">
        <w:t>e heffing betaald door importeurs en producenten die producten</w:t>
      </w:r>
      <w:r>
        <w:t xml:space="preserve"> met plastic erin </w:t>
      </w:r>
      <w:r w:rsidRPr="004839A6">
        <w:t xml:space="preserve">op de Nederlandse markt brengen. De heffingen </w:t>
      </w:r>
      <w:r w:rsidRPr="00E62EAE">
        <w:t xml:space="preserve">komen, in het voorstel van de Plastictafel, terecht in een transitiefonds, waarna de middelen weer ten goede komen aan de </w:t>
      </w:r>
      <w:r>
        <w:t>circulaire transitie</w:t>
      </w:r>
      <w:r w:rsidRPr="00E62EAE">
        <w:t>, bijvoorbeeld door het verlagen van kosten voor circulaire koplopers. Hieronder wordt de laatste stand van zaken toegelicht.</w:t>
      </w:r>
    </w:p>
    <w:p w:rsidR="002B6596" w:rsidP="002B6596" w:rsidRDefault="002B6596" w14:paraId="63186FEF" w14:textId="77777777"/>
    <w:p w:rsidR="002B6596" w:rsidP="002B6596" w:rsidRDefault="002B6596" w14:paraId="3B8B0322" w14:textId="77777777">
      <w:pPr>
        <w:rPr>
          <w:b/>
          <w:bCs/>
        </w:rPr>
      </w:pPr>
      <w:r>
        <w:rPr>
          <w:b/>
          <w:bCs/>
        </w:rPr>
        <w:t>Uitkomsten onderzoek</w:t>
      </w:r>
    </w:p>
    <w:p w:rsidRPr="00296622" w:rsidR="002B6596" w:rsidP="002B6596" w:rsidRDefault="002B6596" w14:paraId="5F040AFD" w14:textId="77777777">
      <w:r>
        <w:t>In het onderzoek is door de betrokken ministeries gekeken naar de j</w:t>
      </w:r>
      <w:r w:rsidRPr="00296622">
        <w:t>uridische haalbaarheid</w:t>
      </w:r>
      <w:r>
        <w:t xml:space="preserve"> en potentiële mogelijkheden voor uitvoering. </w:t>
      </w:r>
    </w:p>
    <w:p w:rsidR="002B6596" w:rsidP="002B6596" w:rsidRDefault="002B6596" w14:paraId="39266B5F" w14:textId="77777777">
      <w:pPr>
        <w:rPr>
          <w:b/>
          <w:bCs/>
        </w:rPr>
      </w:pPr>
    </w:p>
    <w:p w:rsidRPr="003E5F4B" w:rsidR="002B6596" w:rsidP="002B6596" w:rsidRDefault="002B6596" w14:paraId="11F1DEBA" w14:textId="77777777">
      <w:pPr>
        <w:rPr>
          <w:i/>
          <w:iCs/>
        </w:rPr>
      </w:pPr>
      <w:r>
        <w:rPr>
          <w:i/>
          <w:iCs/>
        </w:rPr>
        <w:t>Heffingsgedeelte</w:t>
      </w:r>
    </w:p>
    <w:p w:rsidR="002B6596" w:rsidP="002B6596" w:rsidRDefault="002B6596" w14:paraId="06FA366D" w14:textId="77777777">
      <w:r>
        <w:t xml:space="preserve">Juridisch is het mogelijk een heffing op het aandeel fossiel plastic (of een andere relevante producteigenschap) in te voeren, mits dit in wet wordt vastgelegd en de uitvoering wordt belegd bij een publieke organisatie die verantwoordelijk is voor het innen van de belasting en het controleren van aangiften. Bij verdere uitwerking van de circulaire hefboom zal verder verkend moeten worden welke organisatie deze taken het beste kan uitvoeren en welke uitvoeringskosten dit met zich meebrengt. </w:t>
      </w:r>
    </w:p>
    <w:p w:rsidR="002B6596" w:rsidP="002B6596" w:rsidRDefault="002B6596" w14:paraId="4806B78F" w14:textId="77777777"/>
    <w:p w:rsidR="002B6596" w:rsidP="002B6596" w:rsidRDefault="002B6596" w14:paraId="44BCB91F" w14:textId="0822C807">
      <w:r>
        <w:t xml:space="preserve">De grondslag voor de heffing kan worden gebaseerd op het aandeel virgin fossiel plastic (of een andere relevante producteigenschap) in producten die onder de circulaire hefboom zouden vallen en op de Nederlandse markt worden gebracht. De </w:t>
      </w:r>
      <w:r w:rsidRPr="00BD7C49">
        <w:t>belastingplichtige is de producent of importeur die het betreffende product op de Nederlandse markt brengt.</w:t>
      </w:r>
      <w:r>
        <w:t xml:space="preserve"> </w:t>
      </w:r>
      <w:r w:rsidR="00DD0BCD">
        <w:t>B</w:t>
      </w:r>
      <w:r>
        <w:t>elangrijk</w:t>
      </w:r>
      <w:r w:rsidRPr="00DF2F58">
        <w:t xml:space="preserve"> voor de haalbaarheid en uitvoerbaarheid is dat, wanneer de grondslag het aandeel virgin fossiel plastic bevat, de heffing wordt gebaseerd op de digitale productpaspoorten (DPP), voortkomend uit de Ecodesign voor Duurzame Producten Verordening (ESPR) en de Bouwproductenverordening voor bouwmateriale</w:t>
      </w:r>
      <w:r>
        <w:t>n.</w:t>
      </w:r>
      <w:r w:rsidRPr="004E1777">
        <w:t xml:space="preserve"> Daarnaast is een (nog vorm te geven) nationale verplichting tot aangifte voor producenten en importeurs vereist.</w:t>
      </w:r>
      <w:r w:rsidRPr="004E1777">
        <w:rPr>
          <w:i/>
          <w:iCs/>
        </w:rPr>
        <w:t xml:space="preserve"> </w:t>
      </w:r>
      <w:r>
        <w:t xml:space="preserve">In die aangifte dienen producenten en importeurs aan te geven </w:t>
      </w:r>
      <w:r w:rsidRPr="00D500CB">
        <w:rPr>
          <w:i/>
          <w:iCs/>
        </w:rPr>
        <w:t>hoeveel</w:t>
      </w:r>
      <w:r>
        <w:t xml:space="preserve"> producten met plastic zij op de Nederlandse markt hebben gebracht en het aandeel virgin fossiel plastic hierin. </w:t>
      </w:r>
    </w:p>
    <w:p w:rsidR="002B6596" w:rsidP="002B6596" w:rsidRDefault="002B6596" w14:paraId="1716C1BE" w14:textId="77777777"/>
    <w:p w:rsidR="002B6596" w:rsidP="002B6596" w:rsidRDefault="002B6596" w14:paraId="5F134394" w14:textId="77777777">
      <w:r>
        <w:t xml:space="preserve">Voorwaarde om de grondslag op DPP’s te kunnen baseren is dat deze beschikbaar zijn, de benodigde data erin aanwezig zijn, en dat deze informatie toegankelijk en voldoende betrouwbaar is. </w:t>
      </w:r>
      <w:r w:rsidRPr="00C9159D">
        <w:t xml:space="preserve">Op basis van informele gesprekken met de </w:t>
      </w:r>
      <w:r>
        <w:t xml:space="preserve">Europese </w:t>
      </w:r>
      <w:r w:rsidRPr="00C9159D">
        <w:t xml:space="preserve">Commissie is de verwachting dat de data aanwezig en openbaar toegankelijk </w:t>
      </w:r>
      <w:r>
        <w:t>zullen</w:t>
      </w:r>
      <w:r w:rsidRPr="00C9159D">
        <w:t xml:space="preserve"> zijn. </w:t>
      </w:r>
      <w:r w:rsidRPr="00E73B85">
        <w:t>Of en hoe de</w:t>
      </w:r>
      <w:r>
        <w:t>ze</w:t>
      </w:r>
      <w:r w:rsidRPr="00E73B85">
        <w:t xml:space="preserve"> data gebruik</w:t>
      </w:r>
      <w:r>
        <w:t xml:space="preserve">t </w:t>
      </w:r>
      <w:r w:rsidRPr="00E73B85">
        <w:t>k</w:t>
      </w:r>
      <w:r>
        <w:t>an</w:t>
      </w:r>
      <w:r w:rsidRPr="00E73B85">
        <w:t xml:space="preserve"> worden als afdoende</w:t>
      </w:r>
      <w:r>
        <w:t xml:space="preserve"> </w:t>
      </w:r>
      <w:r w:rsidRPr="00E73B85">
        <w:t>betrouwbare basis voor de</w:t>
      </w:r>
      <w:r>
        <w:t xml:space="preserve"> heffing, </w:t>
      </w:r>
      <w:r w:rsidRPr="00E73B85">
        <w:t>wordt nog nader</w:t>
      </w:r>
      <w:r>
        <w:t xml:space="preserve"> onderzocht. De DPP-verplichtingen worden gefaseerd ingevoerd voor verschillende productgroepen. Zo worden d</w:t>
      </w:r>
      <w:r w:rsidRPr="0040221F">
        <w:t xml:space="preserve">e eisen die </w:t>
      </w:r>
      <w:r>
        <w:t>aan de productgroep textiel</w:t>
      </w:r>
      <w:r w:rsidRPr="0040221F">
        <w:t xml:space="preserve"> gesteld voor het DPP in 202</w:t>
      </w:r>
      <w:r>
        <w:t>8</w:t>
      </w:r>
      <w:r w:rsidRPr="0040221F">
        <w:t xml:space="preserve"> verwacht</w:t>
      </w:r>
      <w:r>
        <w:t>.</w:t>
      </w:r>
      <w:r w:rsidRPr="00BD7C49">
        <w:t xml:space="preserve"> </w:t>
      </w:r>
      <w:r>
        <w:t xml:space="preserve">Mochten de DPP’s verder vertragen of onvoldoende basis voor de grondslag bieden, dan is nader onderzoek nodig naar andere gegevensbronnen en de haalbaarheid van het gebruik van deze gegevens op juridisch en uitvoeringstechnisch vlak. </w:t>
      </w:r>
    </w:p>
    <w:p w:rsidRPr="00BD7C49" w:rsidR="002B6596" w:rsidP="002B6596" w:rsidRDefault="002B6596" w14:paraId="01146F65" w14:textId="77777777"/>
    <w:p w:rsidR="002B6596" w:rsidP="002B6596" w:rsidRDefault="002B6596" w14:paraId="08021504" w14:textId="77777777">
      <w:r>
        <w:t>Vanuit het oogpunt van handhaving heeft</w:t>
      </w:r>
      <w:r w:rsidRPr="00BD7C49">
        <w:t xml:space="preserve"> een publieke heffing </w:t>
      </w:r>
      <w:r>
        <w:t>een aantal aandachtspunten</w:t>
      </w:r>
      <w:r w:rsidRPr="00BD7C49">
        <w:t xml:space="preserve">. Een heffing op basis van de informatie uit het DPP </w:t>
      </w:r>
      <w:r>
        <w:t>kan</w:t>
      </w:r>
      <w:r w:rsidRPr="00BD7C49">
        <w:t xml:space="preserve"> namelijk een financiële prikkel </w:t>
      </w:r>
      <w:r>
        <w:t>voor producenten creëren om</w:t>
      </w:r>
      <w:r w:rsidRPr="00BD7C49">
        <w:t xml:space="preserve"> onjuiste of onvolledige informatie in het DPP</w:t>
      </w:r>
      <w:r>
        <w:t xml:space="preserve"> op te nemen</w:t>
      </w:r>
      <w:r w:rsidRPr="00BD7C49">
        <w:t xml:space="preserve">, wat kan leiden tot fraude en </w:t>
      </w:r>
      <w:r>
        <w:t xml:space="preserve">daardoor </w:t>
      </w:r>
      <w:r w:rsidRPr="00BD7C49">
        <w:t>ineffectieve belastingheffing. Dat betekent</w:t>
      </w:r>
      <w:r>
        <w:t>, zoals eerder vermeld,</w:t>
      </w:r>
      <w:r w:rsidRPr="00BD7C49">
        <w:t xml:space="preserve"> dat het toezicht op juistheid van gegevens uit het DPP van belang is. </w:t>
      </w:r>
      <w:r w:rsidRPr="00BE50E5">
        <w:t xml:space="preserve">Bij een groot aantal DPP’s kan dit arbeidsintensief worden. </w:t>
      </w:r>
      <w:r>
        <w:t xml:space="preserve">Dit </w:t>
      </w:r>
      <w:r w:rsidRPr="00BE50E5">
        <w:t>hangt mede af van de manier waarop het DPP per productgroep wordt vormgegeven</w:t>
      </w:r>
      <w:r w:rsidRPr="00BD7C49">
        <w:t xml:space="preserve">. </w:t>
      </w:r>
      <w:r w:rsidRPr="00DB386C">
        <w:t xml:space="preserve">Nederland </w:t>
      </w:r>
      <w:r>
        <w:t xml:space="preserve">zal </w:t>
      </w:r>
      <w:r w:rsidRPr="00DB386C">
        <w:t>hier aandacht voor hebben in de gesprekken in Brussel over de vormgeving van het DPP</w:t>
      </w:r>
      <w:r>
        <w:t xml:space="preserve">. Een ander aandachtspunt </w:t>
      </w:r>
      <w:r w:rsidRPr="00BD7C49">
        <w:t xml:space="preserve">is de mate waarin de uitvoerder </w:t>
      </w:r>
      <w:r>
        <w:t xml:space="preserve">achteraf </w:t>
      </w:r>
      <w:r w:rsidRPr="00BD7C49">
        <w:t xml:space="preserve">voldoende accuraat </w:t>
      </w:r>
      <w:r>
        <w:t>kan vaststellen</w:t>
      </w:r>
      <w:r w:rsidRPr="00BD7C49">
        <w:t xml:space="preserve"> of het </w:t>
      </w:r>
      <w:r>
        <w:t>opgegeven</w:t>
      </w:r>
      <w:r w:rsidRPr="00BD7C49">
        <w:t xml:space="preserve"> aandeel </w:t>
      </w:r>
      <w:r>
        <w:t>virgin fossiel plastic</w:t>
      </w:r>
      <w:r w:rsidRPr="00BD7C49">
        <w:t xml:space="preserve"> binnen een product </w:t>
      </w:r>
      <w:r>
        <w:t>correct</w:t>
      </w:r>
      <w:r w:rsidRPr="00BD7C49">
        <w:t xml:space="preserve"> is.</w:t>
      </w:r>
      <w:r>
        <w:t xml:space="preserve"> Ook hier zal </w:t>
      </w:r>
      <w:r w:rsidRPr="00DB386C">
        <w:t xml:space="preserve">Nederland aandacht voor hebben </w:t>
      </w:r>
      <w:r>
        <w:t>bij gesprekken over</w:t>
      </w:r>
      <w:r w:rsidRPr="00DB386C">
        <w:t xml:space="preserve"> de vormgeving van het DPP</w:t>
      </w:r>
      <w:r>
        <w:t>.</w:t>
      </w:r>
    </w:p>
    <w:p w:rsidR="00297472" w:rsidP="002B6596" w:rsidRDefault="00297472" w14:paraId="13721B39" w14:textId="77777777"/>
    <w:p w:rsidRPr="003E5F4B" w:rsidR="002B6596" w:rsidP="002B6596" w:rsidRDefault="002B6596" w14:paraId="52ECEB15" w14:textId="77777777">
      <w:pPr>
        <w:rPr>
          <w:i/>
          <w:iCs/>
        </w:rPr>
      </w:pPr>
      <w:r>
        <w:rPr>
          <w:i/>
          <w:iCs/>
        </w:rPr>
        <w:t>Stimuleringsgedeelte</w:t>
      </w:r>
    </w:p>
    <w:p w:rsidR="002B6596" w:rsidP="002B6596" w:rsidRDefault="002B6596" w14:paraId="6603658C" w14:textId="77777777">
      <w:bookmarkStart w:name="_Hlk232707143" w:id="0"/>
      <w:r>
        <w:t xml:space="preserve">Er bestaan verschillende manieren waarop een fonds voor het stimuleringsgedeelte van de circulaire hefboom kan </w:t>
      </w:r>
      <w:r w:rsidRPr="009F41C6">
        <w:t>worden vormgegeven: een begrotingsfonds, een revolverend fonds of een regulier</w:t>
      </w:r>
      <w:r>
        <w:t xml:space="preserve"> budget</w:t>
      </w:r>
      <w:r w:rsidRPr="009F41C6">
        <w:t>. Deze verschillende vormen zijn in bijlage 1 kort toegelicht. Welke vorm de meeste voordelen biedt hangt af van wat precies met</w:t>
      </w:r>
      <w:r w:rsidRPr="00A568A3">
        <w:t xml:space="preserve"> </w:t>
      </w:r>
      <w:r>
        <w:t xml:space="preserve">de uitgaven beoogd </w:t>
      </w:r>
      <w:r w:rsidRPr="00A568A3">
        <w:t>wordt. Dat betekent dat het met name van belang is om het doel van het fonds verder uit te werken, inclusief de stimuleringsinstrumenten. Op basis daarvan, en de verdere uitwerking van de heffing, kan dan bekeken worden</w:t>
      </w:r>
      <w:r>
        <w:t xml:space="preserve"> </w:t>
      </w:r>
      <w:r w:rsidRPr="00A568A3">
        <w:t>welk</w:t>
      </w:r>
      <w:r>
        <w:t xml:space="preserve"> type </w:t>
      </w:r>
      <w:r w:rsidRPr="00A568A3">
        <w:t>fonds</w:t>
      </w:r>
      <w:r>
        <w:t xml:space="preserve"> daar het beste bij aansluit. </w:t>
      </w:r>
      <w:r w:rsidRPr="00A568A3">
        <w:t xml:space="preserve">Daarbij </w:t>
      </w:r>
      <w:r>
        <w:t>dient ook, met het oog op uitvoerbaarheid, gekeken te worden of er</w:t>
      </w:r>
      <w:r w:rsidRPr="00A568A3">
        <w:t xml:space="preserve"> bij een bestaand fonds aangesloten kan worden</w:t>
      </w:r>
      <w:r>
        <w:t>.</w:t>
      </w:r>
    </w:p>
    <w:p w:rsidR="002B6596" w:rsidP="002B6596" w:rsidRDefault="002B6596" w14:paraId="2B5B9702" w14:textId="77777777"/>
    <w:p w:rsidR="002B6596" w:rsidP="002B6596" w:rsidRDefault="002B6596" w14:paraId="73BCF7D2" w14:textId="77777777">
      <w:r w:rsidRPr="00004584">
        <w:t xml:space="preserve">Het voorstel </w:t>
      </w:r>
      <w:r>
        <w:t>voor de circulaire hefboom zoals het is geformuleerd</w:t>
      </w:r>
      <w:r w:rsidRPr="00004584">
        <w:t xml:space="preserve"> </w:t>
      </w:r>
      <w:r>
        <w:t xml:space="preserve">door </w:t>
      </w:r>
      <w:r w:rsidRPr="00004584">
        <w:t xml:space="preserve">de Plastictafel </w:t>
      </w:r>
      <w:r>
        <w:t>gaat in tegen de begrotingsregels, in het bijzonder de scheiding tussen inkomsten en uitgaven en het</w:t>
      </w:r>
      <w:r w:rsidRPr="00004584">
        <w:t xml:space="preserve"> </w:t>
      </w:r>
      <w:r>
        <w:t>principe om inkomsten niet</w:t>
      </w:r>
      <w:r w:rsidRPr="00004584">
        <w:t xml:space="preserve"> specifiek te oormerken voor subsidies.</w:t>
      </w:r>
    </w:p>
    <w:bookmarkEnd w:id="0"/>
    <w:p w:rsidR="002B6596" w:rsidP="002B6596" w:rsidRDefault="002B6596" w14:paraId="337C3A29" w14:textId="77777777"/>
    <w:p w:rsidRPr="003E5F4B" w:rsidR="002B6596" w:rsidP="002B6596" w:rsidRDefault="002B6596" w14:paraId="3FD00EF0" w14:textId="77777777">
      <w:pPr>
        <w:rPr>
          <w:i/>
          <w:iCs/>
        </w:rPr>
      </w:pPr>
      <w:r w:rsidRPr="0048005F">
        <w:rPr>
          <w:i/>
          <w:iCs/>
        </w:rPr>
        <w:t>Impact circulaire hefboom op hoofdlijnen</w:t>
      </w:r>
    </w:p>
    <w:p w:rsidRPr="003357B0" w:rsidR="002B6596" w:rsidP="002B6596" w:rsidRDefault="002B6596" w14:paraId="2BD9D113" w14:textId="77777777">
      <w:pPr>
        <w:rPr>
          <w:lang w:val="nl-BE"/>
        </w:rPr>
      </w:pPr>
      <w:r>
        <w:rPr>
          <w:lang w:val="nl-BE"/>
        </w:rPr>
        <w:t xml:space="preserve">Om een beter beeld te krijgen van de potentiële </w:t>
      </w:r>
      <w:r w:rsidRPr="00371A8D">
        <w:rPr>
          <w:lang w:val="nl-BE"/>
        </w:rPr>
        <w:t>economische en ecologische effecten</w:t>
      </w:r>
      <w:r>
        <w:rPr>
          <w:lang w:val="nl-BE"/>
        </w:rPr>
        <w:t xml:space="preserve"> van het instrument circulaire hefboom is in opdracht van het ministerie van EZK in samenwerking met het ministerie van Financiën en RVO een studie uitgevoerd door onderzoeksbureau Trinomics. Het onderzoekrapport is als bijlage bij de brief gevoegd.</w:t>
      </w:r>
    </w:p>
    <w:p w:rsidRPr="003357B0" w:rsidR="002B6596" w:rsidP="002B6596" w:rsidRDefault="002B6596" w14:paraId="5E368F1B" w14:textId="77777777">
      <w:pPr>
        <w:rPr>
          <w:lang w:val="nl-BE"/>
        </w:rPr>
      </w:pPr>
    </w:p>
    <w:p w:rsidR="002B6596" w:rsidP="002B6596" w:rsidRDefault="002B6596" w14:paraId="6E1CEA67" w14:textId="77777777">
      <w:pPr>
        <w:rPr>
          <w:lang w:val="nl-BE"/>
        </w:rPr>
      </w:pPr>
      <w:r>
        <w:rPr>
          <w:lang w:val="nl-BE"/>
        </w:rPr>
        <w:t xml:space="preserve">Het onderzoek is uitgevoerd </w:t>
      </w:r>
      <w:r w:rsidRPr="00371A8D">
        <w:rPr>
          <w:lang w:val="nl-BE"/>
        </w:rPr>
        <w:t>voor de productgroepen textiel, bouwmaterialen, meubels, elektrische en elektronische apparatuur (EEA) en matrassen</w:t>
      </w:r>
      <w:r>
        <w:rPr>
          <w:lang w:val="nl-BE"/>
        </w:rPr>
        <w:t xml:space="preserve">, omdat deze productgroepen als eerste onder de </w:t>
      </w:r>
      <w:r w:rsidRPr="004E1777">
        <w:t xml:space="preserve">Ecodesign Verordening </w:t>
      </w:r>
      <w:r>
        <w:rPr>
          <w:lang w:val="nl-BE"/>
        </w:rPr>
        <w:t>en de Bouwproductenverordening</w:t>
      </w:r>
      <w:r w:rsidRPr="003357B0">
        <w:rPr>
          <w:lang w:val="nl-BE"/>
        </w:rPr>
        <w:t xml:space="preserve"> </w:t>
      </w:r>
      <w:r>
        <w:rPr>
          <w:lang w:val="nl-BE"/>
        </w:rPr>
        <w:t xml:space="preserve">een DPP zullen krijgen. Niet alle data voor de gewenste berekening bleek voorhanden. Om toch een eerste beeld te krijgen van de potentiële impact van de circulaire hefboom is daarom gewerkt met aannames, waarvan de belangrijkste zijn: de heffingsbasis is enkel virgin fossiel plastic, de benodigde informatie is aanwezig en toegankelijk in het DPP en de hoeveelheid benodigd plasticrecyclaat en biogebaseerd plastic is beschikbaar. Daarnaast zijn er ook meerdere aannames gedaan over andere aspecten zoals prijzen van plasticrecyclaat en biogebaseerd plastic, marktvolumes en productafbakening. </w:t>
      </w:r>
    </w:p>
    <w:p w:rsidR="002B6596" w:rsidP="002B6596" w:rsidRDefault="002B6596" w14:paraId="66596B53" w14:textId="77777777">
      <w:pPr>
        <w:rPr>
          <w:lang w:val="nl-BE"/>
        </w:rPr>
      </w:pPr>
    </w:p>
    <w:p w:rsidR="002B6596" w:rsidP="002B6596" w:rsidRDefault="002B6596" w14:paraId="0F773D60" w14:textId="77777777">
      <w:pPr>
        <w:rPr>
          <w:lang w:val="nl-BE"/>
        </w:rPr>
      </w:pPr>
      <w:r>
        <w:rPr>
          <w:lang w:val="nl-BE"/>
        </w:rPr>
        <w:t>De belangrijkste kwantitatieve conclusies uit het rapport zijn samengevat in onderstaande tabel. Bij de doorrekening is de heffingshoogte gevarieerd van 450 euro per ton tot 850 euro per ton. Dat levert in totaal een heffingsbedrag op van tussen de 214 en 409 miljoen euro per jaar. De milieuwinst in termen van CO</w:t>
      </w:r>
      <w:r w:rsidRPr="008D00A3">
        <w:rPr>
          <w:vertAlign w:val="subscript"/>
          <w:lang w:val="nl-BE"/>
        </w:rPr>
        <w:t>2</w:t>
      </w:r>
      <w:r>
        <w:rPr>
          <w:lang w:val="nl-BE"/>
        </w:rPr>
        <w:t>-winst ligt dan tussen de 205 en 702 kton CO</w:t>
      </w:r>
      <w:r w:rsidRPr="008F6FD9">
        <w:rPr>
          <w:vertAlign w:val="subscript"/>
          <w:lang w:val="nl-BE"/>
        </w:rPr>
        <w:t>2</w:t>
      </w:r>
      <w:r>
        <w:rPr>
          <w:lang w:val="nl-BE"/>
        </w:rPr>
        <w:t xml:space="preserve">. </w:t>
      </w:r>
    </w:p>
    <w:p w:rsidR="002B6596" w:rsidP="002B6596" w:rsidRDefault="002B6596" w14:paraId="6C7A46C4" w14:textId="77777777">
      <w:pPr>
        <w:rPr>
          <w:bCs/>
        </w:rPr>
      </w:pPr>
    </w:p>
    <w:p w:rsidR="002B6596" w:rsidP="002B6596" w:rsidRDefault="002B6596" w14:paraId="29F9C491" w14:textId="77777777">
      <w:pPr>
        <w:rPr>
          <w:i/>
          <w:iCs/>
          <w:lang w:val="nl-BE"/>
        </w:rPr>
      </w:pPr>
      <w:r w:rsidRPr="006F6142">
        <w:rPr>
          <w:bCs/>
        </w:rPr>
        <w:t xml:space="preserve">Een </w:t>
      </w:r>
      <w:r>
        <w:rPr>
          <w:bCs/>
        </w:rPr>
        <w:t xml:space="preserve">belangrijk </w:t>
      </w:r>
      <w:r w:rsidRPr="006F6142">
        <w:rPr>
          <w:bCs/>
        </w:rPr>
        <w:t xml:space="preserve">doel van de heffing is om het gebruik van </w:t>
      </w:r>
      <w:r>
        <w:rPr>
          <w:bCs/>
        </w:rPr>
        <w:t>virgin</w:t>
      </w:r>
      <w:r w:rsidRPr="006F6142">
        <w:rPr>
          <w:bCs/>
        </w:rPr>
        <w:t xml:space="preserve"> fossiel plastic te ontmoedigen</w:t>
      </w:r>
      <w:r>
        <w:rPr>
          <w:bCs/>
        </w:rPr>
        <w:t xml:space="preserve"> en het gebruik van plasticrecyclaat en biogebaseerd plastic te stimuleren. </w:t>
      </w:r>
      <w:r w:rsidRPr="003E28F3">
        <w:rPr>
          <w:bCs/>
        </w:rPr>
        <w:t>De effectenschets laat zien dat de heffing de potentie heeft om het huidige virgin fossiel plasticgebruik in de vijf relevante productgroepen met 8% tot 35% te verminderen.</w:t>
      </w:r>
      <w:bookmarkStart w:name="_Hlk232667987" w:id="1"/>
    </w:p>
    <w:p w:rsidR="002B6596" w:rsidP="002B6596" w:rsidRDefault="002B6596" w14:paraId="6DF6AFC9" w14:textId="77777777">
      <w:pPr>
        <w:rPr>
          <w:i/>
          <w:iCs/>
          <w:lang w:val="nl-BE"/>
        </w:rPr>
      </w:pPr>
    </w:p>
    <w:p w:rsidRPr="00927B8F" w:rsidR="002B6596" w:rsidP="002B6596" w:rsidRDefault="002B6596" w14:paraId="2BC2AC4E" w14:textId="77777777">
      <w:pPr>
        <w:rPr>
          <w:i/>
          <w:iCs/>
          <w:lang w:val="nl-BE"/>
        </w:rPr>
      </w:pPr>
      <w:r w:rsidRPr="00927B8F">
        <w:rPr>
          <w:i/>
          <w:iCs/>
          <w:lang w:val="nl-BE"/>
        </w:rPr>
        <w:t xml:space="preserve">Tabel </w:t>
      </w:r>
      <w:r>
        <w:rPr>
          <w:i/>
          <w:iCs/>
          <w:lang w:val="nl-BE"/>
        </w:rPr>
        <w:t>g</w:t>
      </w:r>
      <w:r w:rsidRPr="00927B8F">
        <w:rPr>
          <w:i/>
          <w:iCs/>
          <w:lang w:val="nl-BE"/>
        </w:rPr>
        <w:t>eschatte effecten van circulaire hefboom</w:t>
      </w:r>
    </w:p>
    <w:tbl>
      <w:tblPr>
        <w:tblW w:w="7792" w:type="dxa"/>
        <w:tblCellMar>
          <w:left w:w="70" w:type="dxa"/>
          <w:right w:w="70" w:type="dxa"/>
        </w:tblCellMar>
        <w:tblLook w:val="04A0" w:firstRow="1" w:lastRow="0" w:firstColumn="1" w:lastColumn="0" w:noHBand="0" w:noVBand="1"/>
      </w:tblPr>
      <w:tblGrid>
        <w:gridCol w:w="2339"/>
        <w:gridCol w:w="1516"/>
        <w:gridCol w:w="1300"/>
        <w:gridCol w:w="1170"/>
        <w:gridCol w:w="1467"/>
      </w:tblGrid>
      <w:tr w:rsidRPr="00927B8F" w:rsidR="002B6596" w:rsidTr="00E52DFB" w14:paraId="18A3DF9D" w14:textId="77777777">
        <w:trPr>
          <w:trHeight w:val="400"/>
        </w:trPr>
        <w:tc>
          <w:tcPr>
            <w:tcW w:w="2339" w:type="dxa"/>
            <w:tcBorders>
              <w:top w:val="single" w:color="auto" w:sz="4" w:space="0"/>
              <w:left w:val="single" w:color="auto" w:sz="4" w:space="0"/>
              <w:bottom w:val="single" w:color="auto" w:sz="4" w:space="0"/>
              <w:right w:val="single" w:color="auto" w:sz="4" w:space="0"/>
            </w:tcBorders>
            <w:noWrap/>
            <w:vAlign w:val="center"/>
            <w:hideMark/>
          </w:tcPr>
          <w:p w:rsidRPr="00927B8F" w:rsidR="002B6596" w:rsidP="00E52DFB" w:rsidRDefault="002B6596" w14:paraId="6658F098" w14:textId="77777777">
            <w:pPr>
              <w:spacing w:line="240" w:lineRule="auto"/>
              <w:rPr>
                <w:rFonts w:ascii="Times New Roman" w:hAnsi="Times New Roman"/>
                <w:sz w:val="20"/>
                <w:szCs w:val="20"/>
              </w:rPr>
            </w:pPr>
            <w:r w:rsidRPr="00927B8F">
              <w:rPr>
                <w:rFonts w:ascii="Times New Roman" w:hAnsi="Times New Roman"/>
                <w:sz w:val="20"/>
                <w:szCs w:val="20"/>
              </w:rPr>
              <w:t> </w:t>
            </w:r>
          </w:p>
        </w:tc>
        <w:tc>
          <w:tcPr>
            <w:tcW w:w="1516" w:type="dxa"/>
            <w:tcBorders>
              <w:top w:val="single" w:color="auto" w:sz="4" w:space="0"/>
              <w:left w:val="single" w:color="auto" w:sz="4" w:space="0"/>
              <w:bottom w:val="single" w:color="auto" w:sz="4" w:space="0"/>
              <w:right w:val="single" w:color="auto" w:sz="4" w:space="0"/>
            </w:tcBorders>
          </w:tcPr>
          <w:p w:rsidR="002B6596" w:rsidP="00E52DFB" w:rsidRDefault="002B6596" w14:paraId="7D12E343" w14:textId="77777777">
            <w:pPr>
              <w:spacing w:line="240" w:lineRule="auto"/>
              <w:jc w:val="center"/>
              <w:rPr>
                <w:rFonts w:cs="Arial"/>
                <w:b/>
                <w:bCs/>
                <w:sz w:val="16"/>
                <w:szCs w:val="16"/>
              </w:rPr>
            </w:pPr>
            <w:r>
              <w:rPr>
                <w:rFonts w:cs="Arial"/>
                <w:b/>
                <w:bCs/>
                <w:sz w:val="16"/>
                <w:szCs w:val="16"/>
              </w:rPr>
              <w:t>Heffingshoogte</w:t>
            </w:r>
          </w:p>
          <w:p w:rsidR="002B6596" w:rsidP="00E52DFB" w:rsidRDefault="002B6596" w14:paraId="58A57EB2" w14:textId="77777777">
            <w:pPr>
              <w:spacing w:line="240" w:lineRule="auto"/>
              <w:jc w:val="center"/>
              <w:rPr>
                <w:rFonts w:cs="Arial"/>
                <w:b/>
                <w:bCs/>
                <w:sz w:val="16"/>
                <w:szCs w:val="16"/>
              </w:rPr>
            </w:pPr>
            <w:r>
              <w:rPr>
                <w:rFonts w:cs="Arial"/>
                <w:b/>
                <w:bCs/>
                <w:sz w:val="16"/>
                <w:szCs w:val="16"/>
              </w:rPr>
              <w:t>(euro/ton)</w:t>
            </w:r>
          </w:p>
          <w:p w:rsidRPr="00927B8F" w:rsidR="002B6596" w:rsidP="00E52DFB" w:rsidRDefault="002B6596" w14:paraId="5FFA4828" w14:textId="77777777">
            <w:pPr>
              <w:spacing w:line="240" w:lineRule="auto"/>
              <w:jc w:val="center"/>
              <w:rPr>
                <w:rFonts w:cs="Arial"/>
                <w:b/>
                <w:bCs/>
                <w:sz w:val="16"/>
                <w:szCs w:val="16"/>
              </w:rPr>
            </w:pPr>
          </w:p>
        </w:tc>
        <w:tc>
          <w:tcPr>
            <w:tcW w:w="1300" w:type="dxa"/>
            <w:tcBorders>
              <w:top w:val="single" w:color="auto" w:sz="4" w:space="0"/>
              <w:left w:val="single" w:color="auto" w:sz="4" w:space="0"/>
              <w:bottom w:val="single" w:color="auto" w:sz="4" w:space="0"/>
              <w:right w:val="single" w:color="auto" w:sz="4" w:space="0"/>
            </w:tcBorders>
            <w:hideMark/>
          </w:tcPr>
          <w:p w:rsidRPr="00927B8F" w:rsidR="002B6596" w:rsidP="00E52DFB" w:rsidRDefault="002B6596" w14:paraId="1FAF0A0A" w14:textId="77777777">
            <w:pPr>
              <w:spacing w:line="240" w:lineRule="auto"/>
              <w:jc w:val="center"/>
              <w:rPr>
                <w:b/>
                <w:bCs/>
                <w:sz w:val="16"/>
                <w:szCs w:val="16"/>
              </w:rPr>
            </w:pPr>
            <w:r w:rsidRPr="00927B8F">
              <w:rPr>
                <w:rFonts w:cs="Arial"/>
                <w:b/>
                <w:bCs/>
                <w:sz w:val="16"/>
                <w:szCs w:val="16"/>
              </w:rPr>
              <w:t xml:space="preserve">Opbrengsten </w:t>
            </w:r>
            <w:r w:rsidRPr="00927B8F">
              <w:rPr>
                <w:rFonts w:cs="Arial"/>
                <w:b/>
                <w:bCs/>
                <w:sz w:val="16"/>
                <w:szCs w:val="16"/>
              </w:rPr>
              <w:br/>
              <w:t>(</w:t>
            </w:r>
            <w:r>
              <w:rPr>
                <w:rFonts w:cs="Arial"/>
                <w:b/>
                <w:bCs/>
                <w:sz w:val="16"/>
                <w:szCs w:val="16"/>
              </w:rPr>
              <w:t>miljoen euro</w:t>
            </w:r>
            <w:r w:rsidRPr="00927B8F">
              <w:rPr>
                <w:rFonts w:cs="Arial"/>
                <w:b/>
                <w:bCs/>
                <w:sz w:val="16"/>
                <w:szCs w:val="16"/>
              </w:rPr>
              <w:t>)</w:t>
            </w:r>
          </w:p>
        </w:tc>
        <w:tc>
          <w:tcPr>
            <w:tcW w:w="1170" w:type="dxa"/>
            <w:tcBorders>
              <w:top w:val="single" w:color="auto" w:sz="4" w:space="0"/>
              <w:left w:val="single" w:color="auto" w:sz="4" w:space="0"/>
              <w:bottom w:val="single" w:color="auto" w:sz="4" w:space="0"/>
              <w:right w:val="single" w:color="auto" w:sz="4" w:space="0"/>
            </w:tcBorders>
            <w:hideMark/>
          </w:tcPr>
          <w:p w:rsidRPr="00927B8F" w:rsidR="002B6596" w:rsidP="00E52DFB" w:rsidRDefault="002B6596" w14:paraId="1920DD81" w14:textId="77777777">
            <w:pPr>
              <w:spacing w:line="240" w:lineRule="auto"/>
              <w:jc w:val="center"/>
              <w:rPr>
                <w:b/>
                <w:bCs/>
                <w:sz w:val="16"/>
                <w:szCs w:val="16"/>
              </w:rPr>
            </w:pPr>
            <w:r w:rsidRPr="00927B8F">
              <w:rPr>
                <w:rFonts w:cs="Arial"/>
                <w:b/>
                <w:bCs/>
                <w:sz w:val="16"/>
                <w:szCs w:val="16"/>
              </w:rPr>
              <w:t xml:space="preserve">Milieuwinst </w:t>
            </w:r>
            <w:r w:rsidRPr="00927B8F">
              <w:rPr>
                <w:rFonts w:cs="Arial"/>
                <w:b/>
                <w:bCs/>
                <w:sz w:val="16"/>
                <w:szCs w:val="16"/>
              </w:rPr>
              <w:br/>
              <w:t>(</w:t>
            </w:r>
            <w:r>
              <w:rPr>
                <w:rFonts w:cs="Arial"/>
                <w:b/>
                <w:bCs/>
                <w:sz w:val="16"/>
                <w:szCs w:val="16"/>
              </w:rPr>
              <w:t xml:space="preserve">kton </w:t>
            </w:r>
            <w:r w:rsidRPr="00927B8F">
              <w:rPr>
                <w:rFonts w:cs="Arial"/>
                <w:b/>
                <w:bCs/>
                <w:sz w:val="16"/>
                <w:szCs w:val="16"/>
              </w:rPr>
              <w:t>CO</w:t>
            </w:r>
            <w:r w:rsidRPr="00927B8F">
              <w:rPr>
                <w:rFonts w:cs="Arial"/>
                <w:b/>
                <w:bCs/>
                <w:sz w:val="16"/>
                <w:szCs w:val="16"/>
                <w:vertAlign w:val="subscript"/>
              </w:rPr>
              <w:t>2</w:t>
            </w:r>
            <w:r w:rsidRPr="00927B8F">
              <w:rPr>
                <w:rFonts w:cs="Arial"/>
                <w:b/>
                <w:bCs/>
                <w:sz w:val="16"/>
                <w:szCs w:val="16"/>
              </w:rPr>
              <w:t>)</w:t>
            </w:r>
          </w:p>
        </w:tc>
        <w:tc>
          <w:tcPr>
            <w:tcW w:w="1467" w:type="dxa"/>
            <w:tcBorders>
              <w:top w:val="single" w:color="auto" w:sz="4" w:space="0"/>
              <w:left w:val="single" w:color="auto" w:sz="4" w:space="0"/>
              <w:bottom w:val="single" w:color="auto" w:sz="4" w:space="0"/>
              <w:right w:val="single" w:color="auto" w:sz="4" w:space="0"/>
            </w:tcBorders>
          </w:tcPr>
          <w:p w:rsidRPr="00927B8F" w:rsidR="002B6596" w:rsidP="00E52DFB" w:rsidRDefault="002B6596" w14:paraId="1CDE565D" w14:textId="77777777">
            <w:pPr>
              <w:spacing w:line="240" w:lineRule="auto"/>
              <w:jc w:val="center"/>
              <w:rPr>
                <w:rFonts w:cs="Arial"/>
                <w:b/>
                <w:bCs/>
                <w:sz w:val="16"/>
                <w:szCs w:val="16"/>
              </w:rPr>
            </w:pPr>
            <w:r>
              <w:rPr>
                <w:rFonts w:cs="Arial"/>
                <w:b/>
                <w:bCs/>
                <w:sz w:val="16"/>
                <w:szCs w:val="16"/>
              </w:rPr>
              <w:t xml:space="preserve">Vermindering virgin fossiel plastic </w:t>
            </w:r>
            <w:r w:rsidRPr="00927B8F">
              <w:rPr>
                <w:rFonts w:cs="Arial"/>
                <w:b/>
                <w:bCs/>
                <w:sz w:val="16"/>
                <w:szCs w:val="16"/>
              </w:rPr>
              <w:t>(</w:t>
            </w:r>
            <w:r>
              <w:rPr>
                <w:rFonts w:cs="Arial"/>
                <w:b/>
                <w:bCs/>
                <w:sz w:val="16"/>
                <w:szCs w:val="16"/>
              </w:rPr>
              <w:t>kton</w:t>
            </w:r>
            <w:r w:rsidRPr="00927B8F">
              <w:rPr>
                <w:rFonts w:cs="Arial"/>
                <w:b/>
                <w:bCs/>
                <w:sz w:val="16"/>
                <w:szCs w:val="16"/>
              </w:rPr>
              <w:t>)</w:t>
            </w:r>
          </w:p>
        </w:tc>
      </w:tr>
      <w:tr w:rsidRPr="00927B8F" w:rsidR="002B6596" w:rsidTr="00E52DFB" w14:paraId="12E0F465" w14:textId="77777777">
        <w:trPr>
          <w:trHeight w:val="290"/>
        </w:trPr>
        <w:tc>
          <w:tcPr>
            <w:tcW w:w="2339" w:type="dxa"/>
            <w:tcBorders>
              <w:top w:val="nil"/>
              <w:left w:val="single" w:color="auto" w:sz="4" w:space="0"/>
              <w:bottom w:val="single" w:color="auto" w:sz="4" w:space="0"/>
              <w:right w:val="single" w:color="auto" w:sz="4" w:space="0"/>
            </w:tcBorders>
            <w:vAlign w:val="center"/>
            <w:hideMark/>
          </w:tcPr>
          <w:p w:rsidRPr="00927B8F" w:rsidR="002B6596" w:rsidP="00E52DFB" w:rsidRDefault="002B6596" w14:paraId="61C65BDB" w14:textId="77777777">
            <w:pPr>
              <w:spacing w:line="240" w:lineRule="auto"/>
              <w:rPr>
                <w:b/>
                <w:bCs/>
                <w:sz w:val="16"/>
                <w:szCs w:val="16"/>
              </w:rPr>
            </w:pPr>
            <w:r>
              <w:rPr>
                <w:b/>
                <w:bCs/>
                <w:sz w:val="16"/>
                <w:szCs w:val="16"/>
              </w:rPr>
              <w:t>Textiel</w:t>
            </w:r>
          </w:p>
        </w:tc>
        <w:tc>
          <w:tcPr>
            <w:tcW w:w="1516" w:type="dxa"/>
            <w:tcBorders>
              <w:top w:val="single" w:color="auto" w:sz="4" w:space="0"/>
              <w:left w:val="single" w:color="auto" w:sz="4" w:space="0"/>
              <w:bottom w:val="single" w:color="auto" w:sz="4" w:space="0"/>
              <w:right w:val="single" w:color="auto" w:sz="4" w:space="0"/>
            </w:tcBorders>
          </w:tcPr>
          <w:p w:rsidRPr="00927B8F" w:rsidR="002B6596" w:rsidP="00E52DFB" w:rsidRDefault="002B6596" w14:paraId="11BEC7E3" w14:textId="77777777">
            <w:pPr>
              <w:spacing w:line="240" w:lineRule="auto"/>
              <w:jc w:val="center"/>
              <w:rPr>
                <w:sz w:val="16"/>
                <w:szCs w:val="16"/>
              </w:rPr>
            </w:pPr>
            <w:r>
              <w:rPr>
                <w:sz w:val="16"/>
                <w:szCs w:val="16"/>
              </w:rPr>
              <w:t>450-850</w:t>
            </w:r>
          </w:p>
        </w:tc>
        <w:tc>
          <w:tcPr>
            <w:tcW w:w="1300" w:type="dxa"/>
            <w:tcBorders>
              <w:top w:val="single" w:color="auto" w:sz="4" w:space="0"/>
              <w:left w:val="single" w:color="auto" w:sz="4" w:space="0"/>
              <w:bottom w:val="single" w:color="auto" w:sz="4" w:space="0"/>
              <w:right w:val="single" w:color="auto" w:sz="4" w:space="0"/>
            </w:tcBorders>
            <w:noWrap/>
            <w:vAlign w:val="center"/>
            <w:hideMark/>
          </w:tcPr>
          <w:p w:rsidRPr="009A79AB" w:rsidR="002B6596" w:rsidP="00E52DFB" w:rsidRDefault="002B6596" w14:paraId="5F071572" w14:textId="77777777">
            <w:pPr>
              <w:spacing w:line="240" w:lineRule="auto"/>
              <w:jc w:val="center"/>
              <w:rPr>
                <w:sz w:val="16"/>
                <w:szCs w:val="16"/>
              </w:rPr>
            </w:pPr>
            <w:r w:rsidRPr="009A79AB">
              <w:rPr>
                <w:sz w:val="16"/>
                <w:szCs w:val="16"/>
              </w:rPr>
              <w:t>22-41</w:t>
            </w:r>
          </w:p>
        </w:tc>
        <w:tc>
          <w:tcPr>
            <w:tcW w:w="1170" w:type="dxa"/>
            <w:tcBorders>
              <w:top w:val="single" w:color="auto" w:sz="4" w:space="0"/>
              <w:left w:val="single" w:color="auto" w:sz="4" w:space="0"/>
              <w:bottom w:val="single" w:color="auto" w:sz="4" w:space="0"/>
              <w:right w:val="single" w:color="auto" w:sz="4" w:space="0"/>
            </w:tcBorders>
            <w:noWrap/>
            <w:vAlign w:val="center"/>
            <w:hideMark/>
          </w:tcPr>
          <w:p w:rsidRPr="009A79AB" w:rsidR="002B6596" w:rsidP="00E52DFB" w:rsidRDefault="002B6596" w14:paraId="2DCEA948" w14:textId="77777777">
            <w:pPr>
              <w:spacing w:line="240" w:lineRule="auto"/>
              <w:jc w:val="center"/>
              <w:rPr>
                <w:sz w:val="16"/>
                <w:szCs w:val="16"/>
              </w:rPr>
            </w:pPr>
            <w:r w:rsidRPr="009A79AB">
              <w:rPr>
                <w:sz w:val="16"/>
                <w:szCs w:val="16"/>
              </w:rPr>
              <w:t> 167-333</w:t>
            </w:r>
          </w:p>
        </w:tc>
        <w:tc>
          <w:tcPr>
            <w:tcW w:w="1467" w:type="dxa"/>
            <w:tcBorders>
              <w:top w:val="single" w:color="auto" w:sz="4" w:space="0"/>
              <w:left w:val="single" w:color="auto" w:sz="4" w:space="0"/>
              <w:bottom w:val="single" w:color="auto" w:sz="4" w:space="0"/>
              <w:right w:val="single" w:color="auto" w:sz="4" w:space="0"/>
            </w:tcBorders>
            <w:vAlign w:val="center"/>
          </w:tcPr>
          <w:p w:rsidRPr="00963450" w:rsidR="002B6596" w:rsidP="00E52DFB" w:rsidRDefault="002B6596" w14:paraId="6C40F417" w14:textId="77777777">
            <w:pPr>
              <w:spacing w:line="240" w:lineRule="auto"/>
              <w:jc w:val="center"/>
              <w:rPr>
                <w:sz w:val="16"/>
                <w:szCs w:val="16"/>
              </w:rPr>
            </w:pPr>
            <w:r w:rsidRPr="00963450">
              <w:rPr>
                <w:sz w:val="16"/>
                <w:szCs w:val="16"/>
              </w:rPr>
              <w:t> 35-70</w:t>
            </w:r>
          </w:p>
        </w:tc>
      </w:tr>
      <w:tr w:rsidRPr="00927B8F" w:rsidR="002B6596" w:rsidTr="00E52DFB" w14:paraId="1DDD68B0" w14:textId="77777777">
        <w:trPr>
          <w:trHeight w:val="290"/>
        </w:trPr>
        <w:tc>
          <w:tcPr>
            <w:tcW w:w="2339" w:type="dxa"/>
            <w:tcBorders>
              <w:top w:val="nil"/>
              <w:left w:val="single" w:color="auto" w:sz="4" w:space="0"/>
              <w:bottom w:val="single" w:color="auto" w:sz="4" w:space="0"/>
              <w:right w:val="single" w:color="auto" w:sz="4" w:space="0"/>
            </w:tcBorders>
            <w:vAlign w:val="center"/>
            <w:hideMark/>
          </w:tcPr>
          <w:p w:rsidRPr="00927B8F" w:rsidR="002B6596" w:rsidP="00E52DFB" w:rsidRDefault="002B6596" w14:paraId="5B0C78AB" w14:textId="77777777">
            <w:pPr>
              <w:spacing w:line="240" w:lineRule="auto"/>
              <w:rPr>
                <w:b/>
                <w:bCs/>
                <w:sz w:val="16"/>
                <w:szCs w:val="16"/>
              </w:rPr>
            </w:pPr>
            <w:r w:rsidRPr="00927B8F">
              <w:rPr>
                <w:b/>
                <w:bCs/>
                <w:sz w:val="16"/>
                <w:szCs w:val="16"/>
              </w:rPr>
              <w:t>Meubels</w:t>
            </w:r>
          </w:p>
        </w:tc>
        <w:tc>
          <w:tcPr>
            <w:tcW w:w="1516" w:type="dxa"/>
            <w:tcBorders>
              <w:top w:val="single" w:color="auto" w:sz="4" w:space="0"/>
              <w:left w:val="single" w:color="auto" w:sz="4" w:space="0"/>
              <w:bottom w:val="single" w:color="auto" w:sz="4" w:space="0"/>
              <w:right w:val="single" w:color="auto" w:sz="4" w:space="0"/>
            </w:tcBorders>
          </w:tcPr>
          <w:p w:rsidRPr="00927B8F" w:rsidR="002B6596" w:rsidP="00E52DFB" w:rsidRDefault="002B6596" w14:paraId="087E17E2" w14:textId="77777777">
            <w:pPr>
              <w:spacing w:line="240" w:lineRule="auto"/>
              <w:jc w:val="center"/>
              <w:rPr>
                <w:sz w:val="16"/>
                <w:szCs w:val="16"/>
              </w:rPr>
            </w:pPr>
            <w:r>
              <w:rPr>
                <w:sz w:val="16"/>
                <w:szCs w:val="16"/>
              </w:rPr>
              <w:t>450-850</w:t>
            </w:r>
          </w:p>
        </w:tc>
        <w:tc>
          <w:tcPr>
            <w:tcW w:w="1300" w:type="dxa"/>
            <w:tcBorders>
              <w:top w:val="single" w:color="auto" w:sz="4" w:space="0"/>
              <w:left w:val="single" w:color="auto" w:sz="4" w:space="0"/>
              <w:bottom w:val="single" w:color="auto" w:sz="4" w:space="0"/>
              <w:right w:val="single" w:color="auto" w:sz="4" w:space="0"/>
            </w:tcBorders>
            <w:noWrap/>
            <w:vAlign w:val="center"/>
            <w:hideMark/>
          </w:tcPr>
          <w:p w:rsidRPr="009A79AB" w:rsidR="002B6596" w:rsidP="00E52DFB" w:rsidRDefault="002B6596" w14:paraId="6866F1D2" w14:textId="77777777">
            <w:pPr>
              <w:spacing w:line="240" w:lineRule="auto"/>
              <w:jc w:val="center"/>
              <w:rPr>
                <w:sz w:val="16"/>
                <w:szCs w:val="16"/>
              </w:rPr>
            </w:pPr>
            <w:r w:rsidRPr="009A79AB">
              <w:rPr>
                <w:sz w:val="16"/>
                <w:szCs w:val="16"/>
              </w:rPr>
              <w:t>56-83</w:t>
            </w:r>
          </w:p>
        </w:tc>
        <w:tc>
          <w:tcPr>
            <w:tcW w:w="1170" w:type="dxa"/>
            <w:tcBorders>
              <w:top w:val="single" w:color="auto" w:sz="4" w:space="0"/>
              <w:left w:val="single" w:color="auto" w:sz="4" w:space="0"/>
              <w:bottom w:val="single" w:color="auto" w:sz="4" w:space="0"/>
              <w:right w:val="single" w:color="auto" w:sz="4" w:space="0"/>
            </w:tcBorders>
            <w:noWrap/>
            <w:vAlign w:val="center"/>
            <w:hideMark/>
          </w:tcPr>
          <w:p w:rsidRPr="009A79AB" w:rsidR="002B6596" w:rsidP="00E52DFB" w:rsidRDefault="002B6596" w14:paraId="5057F262" w14:textId="77777777">
            <w:pPr>
              <w:spacing w:line="240" w:lineRule="auto"/>
              <w:jc w:val="center"/>
              <w:rPr>
                <w:sz w:val="16"/>
                <w:szCs w:val="16"/>
              </w:rPr>
            </w:pPr>
            <w:r w:rsidRPr="009A79AB">
              <w:rPr>
                <w:sz w:val="16"/>
                <w:szCs w:val="16"/>
              </w:rPr>
              <w:t> 8-174</w:t>
            </w:r>
          </w:p>
        </w:tc>
        <w:tc>
          <w:tcPr>
            <w:tcW w:w="1467" w:type="dxa"/>
            <w:tcBorders>
              <w:top w:val="single" w:color="auto" w:sz="4" w:space="0"/>
              <w:left w:val="single" w:color="auto" w:sz="4" w:space="0"/>
              <w:bottom w:val="single" w:color="auto" w:sz="4" w:space="0"/>
              <w:right w:val="single" w:color="auto" w:sz="4" w:space="0"/>
            </w:tcBorders>
            <w:vAlign w:val="center"/>
          </w:tcPr>
          <w:p w:rsidRPr="00963450" w:rsidR="002B6596" w:rsidP="00E52DFB" w:rsidRDefault="002B6596" w14:paraId="58FA856C" w14:textId="77777777">
            <w:pPr>
              <w:spacing w:line="240" w:lineRule="auto"/>
              <w:jc w:val="center"/>
              <w:rPr>
                <w:sz w:val="16"/>
                <w:szCs w:val="16"/>
              </w:rPr>
            </w:pPr>
            <w:r w:rsidRPr="00963450">
              <w:rPr>
                <w:sz w:val="16"/>
                <w:szCs w:val="16"/>
              </w:rPr>
              <w:t> 0-51</w:t>
            </w:r>
          </w:p>
        </w:tc>
      </w:tr>
      <w:tr w:rsidRPr="00927B8F" w:rsidR="002B6596" w:rsidTr="00E52DFB" w14:paraId="205361F7" w14:textId="77777777">
        <w:trPr>
          <w:trHeight w:val="290"/>
        </w:trPr>
        <w:tc>
          <w:tcPr>
            <w:tcW w:w="2339" w:type="dxa"/>
            <w:tcBorders>
              <w:top w:val="nil"/>
              <w:left w:val="single" w:color="auto" w:sz="4" w:space="0"/>
              <w:bottom w:val="single" w:color="auto" w:sz="4" w:space="0"/>
              <w:right w:val="single" w:color="auto" w:sz="4" w:space="0"/>
            </w:tcBorders>
            <w:vAlign w:val="center"/>
            <w:hideMark/>
          </w:tcPr>
          <w:p w:rsidRPr="00927B8F" w:rsidR="002B6596" w:rsidP="00E52DFB" w:rsidRDefault="002B6596" w14:paraId="5205E35B" w14:textId="77777777">
            <w:pPr>
              <w:spacing w:line="240" w:lineRule="auto"/>
              <w:rPr>
                <w:b/>
                <w:bCs/>
                <w:sz w:val="16"/>
                <w:szCs w:val="16"/>
              </w:rPr>
            </w:pPr>
            <w:r w:rsidRPr="00927B8F">
              <w:rPr>
                <w:b/>
                <w:bCs/>
                <w:sz w:val="16"/>
                <w:szCs w:val="16"/>
              </w:rPr>
              <w:t>Matrassen</w:t>
            </w:r>
          </w:p>
        </w:tc>
        <w:tc>
          <w:tcPr>
            <w:tcW w:w="1516" w:type="dxa"/>
            <w:tcBorders>
              <w:top w:val="single" w:color="auto" w:sz="4" w:space="0"/>
              <w:left w:val="single" w:color="auto" w:sz="4" w:space="0"/>
              <w:bottom w:val="single" w:color="auto" w:sz="4" w:space="0"/>
              <w:right w:val="single" w:color="auto" w:sz="4" w:space="0"/>
            </w:tcBorders>
          </w:tcPr>
          <w:p w:rsidRPr="00927B8F" w:rsidR="002B6596" w:rsidP="00E52DFB" w:rsidRDefault="002B6596" w14:paraId="46EFF579" w14:textId="77777777">
            <w:pPr>
              <w:spacing w:line="240" w:lineRule="auto"/>
              <w:jc w:val="center"/>
              <w:rPr>
                <w:sz w:val="16"/>
                <w:szCs w:val="16"/>
              </w:rPr>
            </w:pPr>
            <w:r>
              <w:rPr>
                <w:sz w:val="16"/>
                <w:szCs w:val="16"/>
              </w:rPr>
              <w:t>450-850</w:t>
            </w:r>
          </w:p>
        </w:tc>
        <w:tc>
          <w:tcPr>
            <w:tcW w:w="1300" w:type="dxa"/>
            <w:tcBorders>
              <w:top w:val="single" w:color="auto" w:sz="4" w:space="0"/>
              <w:left w:val="single" w:color="auto" w:sz="4" w:space="0"/>
              <w:bottom w:val="single" w:color="auto" w:sz="4" w:space="0"/>
              <w:right w:val="single" w:color="auto" w:sz="4" w:space="0"/>
            </w:tcBorders>
            <w:noWrap/>
            <w:vAlign w:val="center"/>
            <w:hideMark/>
          </w:tcPr>
          <w:p w:rsidRPr="009A79AB" w:rsidR="002B6596" w:rsidP="00E52DFB" w:rsidRDefault="002B6596" w14:paraId="7EA8ED82" w14:textId="77777777">
            <w:pPr>
              <w:spacing w:line="240" w:lineRule="auto"/>
              <w:jc w:val="center"/>
              <w:rPr>
                <w:sz w:val="16"/>
                <w:szCs w:val="16"/>
              </w:rPr>
            </w:pPr>
            <w:r w:rsidRPr="009A79AB">
              <w:rPr>
                <w:sz w:val="16"/>
                <w:szCs w:val="16"/>
              </w:rPr>
              <w:t>7-14</w:t>
            </w:r>
          </w:p>
        </w:tc>
        <w:tc>
          <w:tcPr>
            <w:tcW w:w="1170" w:type="dxa"/>
            <w:tcBorders>
              <w:top w:val="single" w:color="auto" w:sz="4" w:space="0"/>
              <w:left w:val="single" w:color="auto" w:sz="4" w:space="0"/>
              <w:bottom w:val="single" w:color="auto" w:sz="4" w:space="0"/>
              <w:right w:val="single" w:color="auto" w:sz="4" w:space="0"/>
            </w:tcBorders>
            <w:noWrap/>
            <w:vAlign w:val="center"/>
            <w:hideMark/>
          </w:tcPr>
          <w:p w:rsidRPr="009A79AB" w:rsidR="002B6596" w:rsidP="00E52DFB" w:rsidRDefault="002B6596" w14:paraId="31AC8A2A" w14:textId="77777777">
            <w:pPr>
              <w:spacing w:line="240" w:lineRule="auto"/>
              <w:jc w:val="center"/>
              <w:rPr>
                <w:sz w:val="16"/>
                <w:szCs w:val="16"/>
              </w:rPr>
            </w:pPr>
            <w:r w:rsidRPr="009A79AB">
              <w:rPr>
                <w:sz w:val="16"/>
                <w:szCs w:val="16"/>
              </w:rPr>
              <w:t> 1-2</w:t>
            </w:r>
          </w:p>
        </w:tc>
        <w:tc>
          <w:tcPr>
            <w:tcW w:w="1467" w:type="dxa"/>
            <w:tcBorders>
              <w:top w:val="single" w:color="auto" w:sz="4" w:space="0"/>
              <w:left w:val="single" w:color="auto" w:sz="4" w:space="0"/>
              <w:bottom w:val="single" w:color="auto" w:sz="4" w:space="0"/>
              <w:right w:val="single" w:color="auto" w:sz="4" w:space="0"/>
            </w:tcBorders>
            <w:vAlign w:val="center"/>
          </w:tcPr>
          <w:p w:rsidRPr="00963450" w:rsidR="002B6596" w:rsidP="00E52DFB" w:rsidRDefault="002B6596" w14:paraId="433D4380" w14:textId="77777777">
            <w:pPr>
              <w:spacing w:line="240" w:lineRule="auto"/>
              <w:jc w:val="center"/>
              <w:rPr>
                <w:sz w:val="16"/>
                <w:szCs w:val="16"/>
              </w:rPr>
            </w:pPr>
            <w:r w:rsidRPr="00963450">
              <w:rPr>
                <w:sz w:val="16"/>
                <w:szCs w:val="16"/>
              </w:rPr>
              <w:t xml:space="preserve"> Geen </w:t>
            </w:r>
          </w:p>
        </w:tc>
      </w:tr>
      <w:tr w:rsidRPr="00927B8F" w:rsidR="002B6596" w:rsidTr="00E52DFB" w14:paraId="41774D26" w14:textId="77777777">
        <w:trPr>
          <w:trHeight w:val="400"/>
        </w:trPr>
        <w:tc>
          <w:tcPr>
            <w:tcW w:w="2339" w:type="dxa"/>
            <w:tcBorders>
              <w:top w:val="nil"/>
              <w:left w:val="single" w:color="auto" w:sz="4" w:space="0"/>
              <w:bottom w:val="single" w:color="auto" w:sz="4" w:space="0"/>
              <w:right w:val="single" w:color="auto" w:sz="4" w:space="0"/>
            </w:tcBorders>
            <w:vAlign w:val="center"/>
            <w:hideMark/>
          </w:tcPr>
          <w:p w:rsidRPr="00927B8F" w:rsidR="002B6596" w:rsidP="00E52DFB" w:rsidRDefault="002B6596" w14:paraId="39E1F9C0" w14:textId="77777777">
            <w:pPr>
              <w:spacing w:line="240" w:lineRule="auto"/>
              <w:rPr>
                <w:b/>
                <w:bCs/>
                <w:sz w:val="16"/>
                <w:szCs w:val="16"/>
              </w:rPr>
            </w:pPr>
            <w:r w:rsidRPr="00927B8F">
              <w:rPr>
                <w:b/>
                <w:bCs/>
                <w:sz w:val="16"/>
                <w:szCs w:val="16"/>
              </w:rPr>
              <w:t>Bouwmateriaal (deuren, ramen, kozijnen)</w:t>
            </w:r>
          </w:p>
        </w:tc>
        <w:tc>
          <w:tcPr>
            <w:tcW w:w="1516" w:type="dxa"/>
            <w:tcBorders>
              <w:top w:val="single" w:color="auto" w:sz="4" w:space="0"/>
              <w:left w:val="single" w:color="auto" w:sz="4" w:space="0"/>
              <w:bottom w:val="single" w:color="auto" w:sz="4" w:space="0"/>
              <w:right w:val="single" w:color="auto" w:sz="4" w:space="0"/>
            </w:tcBorders>
          </w:tcPr>
          <w:p w:rsidRPr="00927B8F" w:rsidR="002B6596" w:rsidP="00E52DFB" w:rsidRDefault="002B6596" w14:paraId="2D371D5B" w14:textId="77777777">
            <w:pPr>
              <w:spacing w:line="240" w:lineRule="auto"/>
              <w:jc w:val="center"/>
              <w:rPr>
                <w:sz w:val="16"/>
                <w:szCs w:val="16"/>
              </w:rPr>
            </w:pPr>
            <w:r>
              <w:rPr>
                <w:sz w:val="16"/>
                <w:szCs w:val="16"/>
              </w:rPr>
              <w:t>450-850</w:t>
            </w:r>
          </w:p>
        </w:tc>
        <w:tc>
          <w:tcPr>
            <w:tcW w:w="1300" w:type="dxa"/>
            <w:tcBorders>
              <w:top w:val="single" w:color="auto" w:sz="4" w:space="0"/>
              <w:left w:val="single" w:color="auto" w:sz="4" w:space="0"/>
              <w:bottom w:val="single" w:color="auto" w:sz="4" w:space="0"/>
              <w:right w:val="single" w:color="auto" w:sz="4" w:space="0"/>
            </w:tcBorders>
            <w:noWrap/>
            <w:vAlign w:val="center"/>
            <w:hideMark/>
          </w:tcPr>
          <w:p w:rsidRPr="009A79AB" w:rsidR="002B6596" w:rsidP="00E52DFB" w:rsidRDefault="002B6596" w14:paraId="366E0766" w14:textId="77777777">
            <w:pPr>
              <w:spacing w:line="240" w:lineRule="auto"/>
              <w:jc w:val="center"/>
              <w:rPr>
                <w:sz w:val="16"/>
                <w:szCs w:val="16"/>
              </w:rPr>
            </w:pPr>
            <w:r w:rsidRPr="009A79AB">
              <w:rPr>
                <w:sz w:val="16"/>
                <w:szCs w:val="16"/>
              </w:rPr>
              <w:t>72-165</w:t>
            </w:r>
          </w:p>
        </w:tc>
        <w:tc>
          <w:tcPr>
            <w:tcW w:w="1170" w:type="dxa"/>
            <w:tcBorders>
              <w:top w:val="single" w:color="auto" w:sz="4" w:space="0"/>
              <w:left w:val="single" w:color="auto" w:sz="4" w:space="0"/>
              <w:bottom w:val="single" w:color="auto" w:sz="4" w:space="0"/>
              <w:right w:val="single" w:color="auto" w:sz="4" w:space="0"/>
            </w:tcBorders>
            <w:noWrap/>
            <w:vAlign w:val="center"/>
            <w:hideMark/>
          </w:tcPr>
          <w:p w:rsidRPr="009A79AB" w:rsidR="002B6596" w:rsidP="00E52DFB" w:rsidRDefault="002B6596" w14:paraId="361E97A4" w14:textId="77777777">
            <w:pPr>
              <w:spacing w:line="240" w:lineRule="auto"/>
              <w:jc w:val="center"/>
              <w:rPr>
                <w:sz w:val="16"/>
                <w:szCs w:val="16"/>
              </w:rPr>
            </w:pPr>
            <w:r w:rsidRPr="009A79AB">
              <w:rPr>
                <w:sz w:val="16"/>
                <w:szCs w:val="16"/>
              </w:rPr>
              <w:t> 22-42</w:t>
            </w:r>
          </w:p>
        </w:tc>
        <w:tc>
          <w:tcPr>
            <w:tcW w:w="1467" w:type="dxa"/>
            <w:tcBorders>
              <w:top w:val="single" w:color="auto" w:sz="4" w:space="0"/>
              <w:left w:val="single" w:color="auto" w:sz="4" w:space="0"/>
              <w:bottom w:val="single" w:color="auto" w:sz="4" w:space="0"/>
              <w:right w:val="single" w:color="auto" w:sz="4" w:space="0"/>
            </w:tcBorders>
            <w:vAlign w:val="center"/>
          </w:tcPr>
          <w:p w:rsidRPr="00963450" w:rsidR="002B6596" w:rsidP="00E52DFB" w:rsidRDefault="002B6596" w14:paraId="4EAC4246" w14:textId="77777777">
            <w:pPr>
              <w:spacing w:line="240" w:lineRule="auto"/>
              <w:jc w:val="center"/>
              <w:rPr>
                <w:sz w:val="16"/>
                <w:szCs w:val="16"/>
              </w:rPr>
            </w:pPr>
            <w:r w:rsidRPr="00963450">
              <w:rPr>
                <w:sz w:val="16"/>
                <w:szCs w:val="16"/>
              </w:rPr>
              <w:t> Geen</w:t>
            </w:r>
          </w:p>
        </w:tc>
      </w:tr>
      <w:tr w:rsidRPr="00927B8F" w:rsidR="002B6596" w:rsidTr="00E52DFB" w14:paraId="45E5BF90" w14:textId="77777777">
        <w:trPr>
          <w:trHeight w:val="290"/>
        </w:trPr>
        <w:tc>
          <w:tcPr>
            <w:tcW w:w="2339" w:type="dxa"/>
            <w:tcBorders>
              <w:top w:val="nil"/>
              <w:left w:val="single" w:color="auto" w:sz="4" w:space="0"/>
              <w:bottom w:val="single" w:color="auto" w:sz="4" w:space="0"/>
              <w:right w:val="single" w:color="auto" w:sz="4" w:space="0"/>
            </w:tcBorders>
            <w:vAlign w:val="center"/>
            <w:hideMark/>
          </w:tcPr>
          <w:p w:rsidRPr="00927B8F" w:rsidR="002B6596" w:rsidP="00E52DFB" w:rsidRDefault="002B6596" w14:paraId="18D77CDB" w14:textId="77777777">
            <w:pPr>
              <w:spacing w:line="240" w:lineRule="auto"/>
              <w:rPr>
                <w:b/>
                <w:bCs/>
                <w:sz w:val="16"/>
                <w:szCs w:val="16"/>
              </w:rPr>
            </w:pPr>
            <w:r w:rsidRPr="00927B8F">
              <w:rPr>
                <w:b/>
                <w:bCs/>
                <w:sz w:val="16"/>
                <w:szCs w:val="16"/>
              </w:rPr>
              <w:t>Bouwmateria</w:t>
            </w:r>
            <w:r>
              <w:rPr>
                <w:b/>
                <w:bCs/>
                <w:sz w:val="16"/>
                <w:szCs w:val="16"/>
              </w:rPr>
              <w:t>a</w:t>
            </w:r>
            <w:r w:rsidRPr="00927B8F">
              <w:rPr>
                <w:b/>
                <w:bCs/>
                <w:sz w:val="16"/>
                <w:szCs w:val="16"/>
              </w:rPr>
              <w:t>l (isolatie</w:t>
            </w:r>
            <w:r>
              <w:rPr>
                <w:b/>
                <w:bCs/>
                <w:sz w:val="16"/>
                <w:szCs w:val="16"/>
              </w:rPr>
              <w:t>materialen</w:t>
            </w:r>
            <w:r w:rsidRPr="00927B8F">
              <w:rPr>
                <w:b/>
                <w:bCs/>
                <w:sz w:val="16"/>
                <w:szCs w:val="16"/>
              </w:rPr>
              <w:t>)</w:t>
            </w:r>
          </w:p>
        </w:tc>
        <w:tc>
          <w:tcPr>
            <w:tcW w:w="1516" w:type="dxa"/>
            <w:tcBorders>
              <w:top w:val="single" w:color="auto" w:sz="4" w:space="0"/>
              <w:left w:val="single" w:color="auto" w:sz="4" w:space="0"/>
              <w:bottom w:val="single" w:color="auto" w:sz="4" w:space="0"/>
              <w:right w:val="single" w:color="auto" w:sz="4" w:space="0"/>
            </w:tcBorders>
          </w:tcPr>
          <w:p w:rsidRPr="00927B8F" w:rsidR="002B6596" w:rsidP="00E52DFB" w:rsidRDefault="002B6596" w14:paraId="1DDD8D11" w14:textId="77777777">
            <w:pPr>
              <w:spacing w:line="240" w:lineRule="auto"/>
              <w:jc w:val="center"/>
              <w:rPr>
                <w:sz w:val="16"/>
                <w:szCs w:val="16"/>
              </w:rPr>
            </w:pPr>
            <w:r>
              <w:rPr>
                <w:sz w:val="16"/>
                <w:szCs w:val="16"/>
              </w:rPr>
              <w:t>450-850</w:t>
            </w:r>
          </w:p>
        </w:tc>
        <w:tc>
          <w:tcPr>
            <w:tcW w:w="1300" w:type="dxa"/>
            <w:tcBorders>
              <w:top w:val="single" w:color="auto" w:sz="4" w:space="0"/>
              <w:left w:val="single" w:color="auto" w:sz="4" w:space="0"/>
              <w:bottom w:val="single" w:color="auto" w:sz="4" w:space="0"/>
              <w:right w:val="single" w:color="auto" w:sz="4" w:space="0"/>
            </w:tcBorders>
            <w:noWrap/>
            <w:vAlign w:val="center"/>
            <w:hideMark/>
          </w:tcPr>
          <w:p w:rsidRPr="009A79AB" w:rsidR="002B6596" w:rsidP="00E52DFB" w:rsidRDefault="002B6596" w14:paraId="57797ECB" w14:textId="77777777">
            <w:pPr>
              <w:spacing w:line="240" w:lineRule="auto"/>
              <w:jc w:val="center"/>
              <w:rPr>
                <w:sz w:val="16"/>
                <w:szCs w:val="16"/>
              </w:rPr>
            </w:pPr>
            <w:r w:rsidRPr="009A79AB">
              <w:rPr>
                <w:sz w:val="16"/>
                <w:szCs w:val="16"/>
              </w:rPr>
              <w:t>47-67</w:t>
            </w:r>
          </w:p>
        </w:tc>
        <w:tc>
          <w:tcPr>
            <w:tcW w:w="1170" w:type="dxa"/>
            <w:tcBorders>
              <w:top w:val="single" w:color="auto" w:sz="4" w:space="0"/>
              <w:left w:val="single" w:color="auto" w:sz="4" w:space="0"/>
              <w:bottom w:val="single" w:color="auto" w:sz="4" w:space="0"/>
              <w:right w:val="single" w:color="auto" w:sz="4" w:space="0"/>
            </w:tcBorders>
            <w:noWrap/>
            <w:vAlign w:val="center"/>
            <w:hideMark/>
          </w:tcPr>
          <w:p w:rsidRPr="009A79AB" w:rsidR="002B6596" w:rsidP="00E52DFB" w:rsidRDefault="002B6596" w14:paraId="6B0225BC" w14:textId="77777777">
            <w:pPr>
              <w:spacing w:line="240" w:lineRule="auto"/>
              <w:jc w:val="center"/>
              <w:rPr>
                <w:sz w:val="16"/>
                <w:szCs w:val="16"/>
              </w:rPr>
            </w:pPr>
            <w:r w:rsidRPr="009A79AB">
              <w:rPr>
                <w:sz w:val="16"/>
                <w:szCs w:val="16"/>
              </w:rPr>
              <w:t> 7-103</w:t>
            </w:r>
          </w:p>
        </w:tc>
        <w:tc>
          <w:tcPr>
            <w:tcW w:w="1467" w:type="dxa"/>
            <w:tcBorders>
              <w:top w:val="single" w:color="auto" w:sz="4" w:space="0"/>
              <w:left w:val="single" w:color="auto" w:sz="4" w:space="0"/>
              <w:bottom w:val="single" w:color="auto" w:sz="4" w:space="0"/>
              <w:right w:val="single" w:color="auto" w:sz="4" w:space="0"/>
            </w:tcBorders>
            <w:vAlign w:val="center"/>
          </w:tcPr>
          <w:p w:rsidRPr="00963450" w:rsidR="002B6596" w:rsidP="00E52DFB" w:rsidRDefault="002B6596" w14:paraId="4C6E7E07" w14:textId="77777777">
            <w:pPr>
              <w:spacing w:line="240" w:lineRule="auto"/>
              <w:jc w:val="center"/>
              <w:rPr>
                <w:sz w:val="16"/>
                <w:szCs w:val="16"/>
              </w:rPr>
            </w:pPr>
            <w:r w:rsidRPr="00963450">
              <w:rPr>
                <w:sz w:val="16"/>
                <w:szCs w:val="16"/>
              </w:rPr>
              <w:t>0-48</w:t>
            </w:r>
          </w:p>
        </w:tc>
      </w:tr>
      <w:tr w:rsidRPr="00927B8F" w:rsidR="002B6596" w:rsidTr="00E52DFB" w14:paraId="56FAA55B" w14:textId="77777777">
        <w:trPr>
          <w:trHeight w:val="290"/>
        </w:trPr>
        <w:tc>
          <w:tcPr>
            <w:tcW w:w="2339" w:type="dxa"/>
            <w:tcBorders>
              <w:top w:val="nil"/>
              <w:left w:val="single" w:color="auto" w:sz="4" w:space="0"/>
              <w:bottom w:val="single" w:color="auto" w:sz="4" w:space="0"/>
              <w:right w:val="single" w:color="auto" w:sz="4" w:space="0"/>
            </w:tcBorders>
            <w:vAlign w:val="center"/>
            <w:hideMark/>
          </w:tcPr>
          <w:p w:rsidRPr="00927B8F" w:rsidR="002B6596" w:rsidP="00E52DFB" w:rsidRDefault="002B6596" w14:paraId="19F2DC2B" w14:textId="77777777">
            <w:pPr>
              <w:spacing w:line="240" w:lineRule="auto"/>
              <w:rPr>
                <w:b/>
                <w:bCs/>
                <w:sz w:val="16"/>
                <w:szCs w:val="16"/>
              </w:rPr>
            </w:pPr>
            <w:r w:rsidRPr="00927B8F">
              <w:rPr>
                <w:b/>
                <w:bCs/>
                <w:sz w:val="16"/>
                <w:szCs w:val="16"/>
              </w:rPr>
              <w:t>EEA</w:t>
            </w:r>
          </w:p>
        </w:tc>
        <w:tc>
          <w:tcPr>
            <w:tcW w:w="1516" w:type="dxa"/>
            <w:tcBorders>
              <w:top w:val="single" w:color="auto" w:sz="4" w:space="0"/>
              <w:left w:val="single" w:color="auto" w:sz="4" w:space="0"/>
              <w:bottom w:val="single" w:color="auto" w:sz="4" w:space="0"/>
              <w:right w:val="single" w:color="auto" w:sz="4" w:space="0"/>
            </w:tcBorders>
          </w:tcPr>
          <w:p w:rsidRPr="00927B8F" w:rsidR="002B6596" w:rsidP="00E52DFB" w:rsidRDefault="002B6596" w14:paraId="14F523D5" w14:textId="77777777">
            <w:pPr>
              <w:spacing w:line="240" w:lineRule="auto"/>
              <w:jc w:val="center"/>
              <w:rPr>
                <w:sz w:val="16"/>
                <w:szCs w:val="16"/>
              </w:rPr>
            </w:pPr>
            <w:r>
              <w:rPr>
                <w:sz w:val="16"/>
                <w:szCs w:val="16"/>
              </w:rPr>
              <w:t>450-850</w:t>
            </w:r>
          </w:p>
        </w:tc>
        <w:tc>
          <w:tcPr>
            <w:tcW w:w="1300" w:type="dxa"/>
            <w:tcBorders>
              <w:top w:val="single" w:color="auto" w:sz="4" w:space="0"/>
              <w:left w:val="single" w:color="auto" w:sz="4" w:space="0"/>
              <w:bottom w:val="single" w:color="auto" w:sz="4" w:space="0"/>
              <w:right w:val="single" w:color="auto" w:sz="4" w:space="0"/>
            </w:tcBorders>
            <w:noWrap/>
            <w:vAlign w:val="center"/>
            <w:hideMark/>
          </w:tcPr>
          <w:p w:rsidRPr="009A79AB" w:rsidR="002B6596" w:rsidP="00E52DFB" w:rsidRDefault="002B6596" w14:paraId="1B6C5D6D" w14:textId="77777777">
            <w:pPr>
              <w:spacing w:line="240" w:lineRule="auto"/>
              <w:jc w:val="center"/>
              <w:rPr>
                <w:sz w:val="16"/>
                <w:szCs w:val="16"/>
              </w:rPr>
            </w:pPr>
            <w:r w:rsidRPr="009A79AB">
              <w:rPr>
                <w:sz w:val="16"/>
                <w:szCs w:val="16"/>
              </w:rPr>
              <w:t>26-40</w:t>
            </w:r>
          </w:p>
        </w:tc>
        <w:tc>
          <w:tcPr>
            <w:tcW w:w="1170" w:type="dxa"/>
            <w:tcBorders>
              <w:top w:val="single" w:color="auto" w:sz="4" w:space="0"/>
              <w:left w:val="single" w:color="auto" w:sz="4" w:space="0"/>
              <w:bottom w:val="single" w:color="auto" w:sz="4" w:space="0"/>
              <w:right w:val="single" w:color="auto" w:sz="4" w:space="0"/>
            </w:tcBorders>
            <w:noWrap/>
            <w:vAlign w:val="center"/>
            <w:hideMark/>
          </w:tcPr>
          <w:p w:rsidRPr="009A79AB" w:rsidR="002B6596" w:rsidP="00E52DFB" w:rsidRDefault="002B6596" w14:paraId="2748D72C" w14:textId="77777777">
            <w:pPr>
              <w:spacing w:line="240" w:lineRule="auto"/>
              <w:jc w:val="center"/>
              <w:rPr>
                <w:sz w:val="16"/>
                <w:szCs w:val="16"/>
              </w:rPr>
            </w:pPr>
            <w:r w:rsidRPr="009A79AB">
              <w:rPr>
                <w:sz w:val="16"/>
                <w:szCs w:val="16"/>
              </w:rPr>
              <w:t> 0-48</w:t>
            </w:r>
          </w:p>
        </w:tc>
        <w:tc>
          <w:tcPr>
            <w:tcW w:w="1467" w:type="dxa"/>
            <w:tcBorders>
              <w:top w:val="single" w:color="auto" w:sz="4" w:space="0"/>
              <w:left w:val="single" w:color="auto" w:sz="4" w:space="0"/>
              <w:bottom w:val="single" w:color="auto" w:sz="4" w:space="0"/>
              <w:right w:val="single" w:color="auto" w:sz="4" w:space="0"/>
            </w:tcBorders>
            <w:vAlign w:val="center"/>
          </w:tcPr>
          <w:p w:rsidRPr="00963450" w:rsidR="002B6596" w:rsidP="00E52DFB" w:rsidRDefault="002B6596" w14:paraId="30736BC8" w14:textId="77777777">
            <w:pPr>
              <w:spacing w:line="240" w:lineRule="auto"/>
              <w:jc w:val="center"/>
              <w:rPr>
                <w:sz w:val="16"/>
                <w:szCs w:val="16"/>
              </w:rPr>
            </w:pPr>
            <w:r w:rsidRPr="00963450">
              <w:rPr>
                <w:sz w:val="16"/>
                <w:szCs w:val="16"/>
              </w:rPr>
              <w:t> 0-21</w:t>
            </w:r>
          </w:p>
        </w:tc>
      </w:tr>
      <w:tr w:rsidRPr="00927B8F" w:rsidR="002B6596" w:rsidTr="00E52DFB" w14:paraId="625EF4A0" w14:textId="77777777">
        <w:trPr>
          <w:trHeight w:val="290"/>
        </w:trPr>
        <w:tc>
          <w:tcPr>
            <w:tcW w:w="2339" w:type="dxa"/>
            <w:tcBorders>
              <w:top w:val="nil"/>
              <w:left w:val="single" w:color="auto" w:sz="4" w:space="0"/>
              <w:bottom w:val="single" w:color="auto" w:sz="4" w:space="0"/>
              <w:right w:val="single" w:color="auto" w:sz="4" w:space="0"/>
            </w:tcBorders>
            <w:vAlign w:val="center"/>
            <w:hideMark/>
          </w:tcPr>
          <w:p w:rsidRPr="00927B8F" w:rsidR="002B6596" w:rsidP="00E52DFB" w:rsidRDefault="002B6596" w14:paraId="68A67BC2" w14:textId="77777777">
            <w:pPr>
              <w:spacing w:line="240" w:lineRule="auto"/>
              <w:rPr>
                <w:b/>
                <w:bCs/>
                <w:sz w:val="16"/>
                <w:szCs w:val="16"/>
              </w:rPr>
            </w:pPr>
            <w:r w:rsidRPr="00927B8F">
              <w:rPr>
                <w:b/>
                <w:bCs/>
                <w:sz w:val="16"/>
                <w:szCs w:val="16"/>
              </w:rPr>
              <w:t>Totaal</w:t>
            </w:r>
          </w:p>
        </w:tc>
        <w:tc>
          <w:tcPr>
            <w:tcW w:w="1516" w:type="dxa"/>
            <w:tcBorders>
              <w:top w:val="single" w:color="auto" w:sz="4" w:space="0"/>
              <w:left w:val="single" w:color="auto" w:sz="4" w:space="0"/>
              <w:bottom w:val="single" w:color="auto" w:sz="4" w:space="0"/>
              <w:right w:val="single" w:color="auto" w:sz="4" w:space="0"/>
            </w:tcBorders>
          </w:tcPr>
          <w:p w:rsidRPr="00927B8F" w:rsidR="002B6596" w:rsidP="00E52DFB" w:rsidRDefault="002B6596" w14:paraId="55E6AA4D" w14:textId="77777777">
            <w:pPr>
              <w:spacing w:line="240" w:lineRule="auto"/>
              <w:jc w:val="center"/>
              <w:rPr>
                <w:b/>
                <w:bCs/>
                <w:color w:val="FFFFFF" w:themeColor="background1"/>
                <w:sz w:val="16"/>
                <w:szCs w:val="16"/>
              </w:rPr>
            </w:pPr>
          </w:p>
        </w:tc>
        <w:tc>
          <w:tcPr>
            <w:tcW w:w="1300" w:type="dxa"/>
            <w:tcBorders>
              <w:top w:val="single" w:color="auto" w:sz="4" w:space="0"/>
              <w:left w:val="single" w:color="auto" w:sz="4" w:space="0"/>
              <w:bottom w:val="single" w:color="auto" w:sz="4" w:space="0"/>
              <w:right w:val="single" w:color="auto" w:sz="4" w:space="0"/>
            </w:tcBorders>
            <w:noWrap/>
            <w:vAlign w:val="center"/>
            <w:hideMark/>
          </w:tcPr>
          <w:p w:rsidRPr="009A79AB" w:rsidR="002B6596" w:rsidP="00E52DFB" w:rsidRDefault="002B6596" w14:paraId="0D202A3C" w14:textId="77777777">
            <w:pPr>
              <w:spacing w:line="240" w:lineRule="auto"/>
              <w:jc w:val="center"/>
              <w:rPr>
                <w:b/>
                <w:bCs/>
                <w:sz w:val="16"/>
                <w:szCs w:val="16"/>
              </w:rPr>
            </w:pPr>
            <w:r w:rsidRPr="009A79AB">
              <w:rPr>
                <w:b/>
                <w:bCs/>
                <w:sz w:val="16"/>
                <w:szCs w:val="16"/>
              </w:rPr>
              <w:t>214-409</w:t>
            </w:r>
          </w:p>
        </w:tc>
        <w:tc>
          <w:tcPr>
            <w:tcW w:w="1170" w:type="dxa"/>
            <w:tcBorders>
              <w:top w:val="single" w:color="auto" w:sz="4" w:space="0"/>
              <w:left w:val="single" w:color="auto" w:sz="4" w:space="0"/>
              <w:bottom w:val="single" w:color="auto" w:sz="4" w:space="0"/>
              <w:right w:val="single" w:color="auto" w:sz="4" w:space="0"/>
            </w:tcBorders>
            <w:noWrap/>
            <w:vAlign w:val="center"/>
            <w:hideMark/>
          </w:tcPr>
          <w:p w:rsidRPr="00C31522" w:rsidR="002B6596" w:rsidP="00E52DFB" w:rsidRDefault="002B6596" w14:paraId="2601069B" w14:textId="77777777">
            <w:pPr>
              <w:spacing w:line="240" w:lineRule="auto"/>
              <w:jc w:val="center"/>
              <w:rPr>
                <w:b/>
                <w:bCs/>
                <w:sz w:val="16"/>
                <w:szCs w:val="16"/>
              </w:rPr>
            </w:pPr>
            <w:r w:rsidRPr="009A79AB">
              <w:rPr>
                <w:sz w:val="16"/>
                <w:szCs w:val="16"/>
              </w:rPr>
              <w:t> </w:t>
            </w:r>
            <w:r w:rsidRPr="00C31522">
              <w:rPr>
                <w:b/>
                <w:bCs/>
                <w:sz w:val="16"/>
                <w:szCs w:val="16"/>
              </w:rPr>
              <w:t>205-702</w:t>
            </w:r>
          </w:p>
        </w:tc>
        <w:tc>
          <w:tcPr>
            <w:tcW w:w="1467" w:type="dxa"/>
            <w:tcBorders>
              <w:top w:val="single" w:color="auto" w:sz="4" w:space="0"/>
              <w:left w:val="single" w:color="auto" w:sz="4" w:space="0"/>
              <w:bottom w:val="single" w:color="auto" w:sz="4" w:space="0"/>
              <w:right w:val="single" w:color="auto" w:sz="4" w:space="0"/>
            </w:tcBorders>
            <w:vAlign w:val="center"/>
          </w:tcPr>
          <w:p w:rsidRPr="00471F9C" w:rsidR="002B6596" w:rsidP="00E52DFB" w:rsidRDefault="002B6596" w14:paraId="106734BD" w14:textId="77777777">
            <w:pPr>
              <w:spacing w:line="240" w:lineRule="auto"/>
              <w:jc w:val="center"/>
              <w:rPr>
                <w:b/>
                <w:bCs/>
                <w:sz w:val="16"/>
                <w:szCs w:val="16"/>
              </w:rPr>
            </w:pPr>
            <w:r w:rsidRPr="00963450">
              <w:rPr>
                <w:sz w:val="16"/>
                <w:szCs w:val="16"/>
              </w:rPr>
              <w:t> </w:t>
            </w:r>
            <w:r w:rsidRPr="00471F9C">
              <w:rPr>
                <w:b/>
                <w:bCs/>
                <w:sz w:val="16"/>
                <w:szCs w:val="16"/>
              </w:rPr>
              <w:t>35-190</w:t>
            </w:r>
          </w:p>
        </w:tc>
      </w:tr>
      <w:bookmarkEnd w:id="1"/>
    </w:tbl>
    <w:p w:rsidR="002B6596" w:rsidP="002B6596" w:rsidRDefault="002B6596" w14:paraId="6FDB8047" w14:textId="77777777"/>
    <w:p w:rsidR="002B6596" w:rsidP="002B6596" w:rsidRDefault="002B6596" w14:paraId="52D5220C" w14:textId="77777777">
      <w:r>
        <w:t xml:space="preserve">Het onderzoek laat zien dat de </w:t>
      </w:r>
      <w:r w:rsidRPr="00DE7B34">
        <w:t xml:space="preserve">mogelijke effectiviteit van </w:t>
      </w:r>
      <w:r>
        <w:t xml:space="preserve">het </w:t>
      </w:r>
      <w:r w:rsidRPr="00604ADE">
        <w:rPr>
          <w:i/>
          <w:iCs/>
        </w:rPr>
        <w:t>heffings</w:t>
      </w:r>
      <w:r w:rsidRPr="00604ADE">
        <w:t>gedeelte</w:t>
      </w:r>
      <w:r>
        <w:t xml:space="preserve"> van </w:t>
      </w:r>
      <w:r w:rsidRPr="00DE7B34">
        <w:t xml:space="preserve">de circulaire hefboom </w:t>
      </w:r>
      <w:r>
        <w:t>om virgin fossiel plastic te vervangen door circulair plastic</w:t>
      </w:r>
      <w:r>
        <w:rPr>
          <w:rStyle w:val="Voetnootmarkering"/>
        </w:rPr>
        <w:footnoteReference w:id="2"/>
      </w:r>
      <w:r>
        <w:t xml:space="preserve">, </w:t>
      </w:r>
      <w:r w:rsidRPr="00DE7B34">
        <w:t xml:space="preserve">verschilt per productgroep. </w:t>
      </w:r>
      <w:r>
        <w:t>Voor de productgroep isolatiematerialen wordt dit als kansrijk ingeschat, voor de productgroepen textiel, meubels en kozijnen als beperkt kansrijk en voor de productgroepen EEA en matrassen als vrij beperkt kansrijk. Hierbij past wel een belangrijke kanttekening: kansrijkheid is onder meer afhankelijk van de beschikbaarheid en prijs van circulair plastic. In het onderzoek van Trinomics was het nog niet mogelijk om rekening te houden met plasticrecyclaat uit chemische recycling en circulaire alternatieven voor polymeren zoals polyamide en polyurethaan, omdat hier nog geen openbare marktdata voor beschikbaar zijn, terwijl deze alternatieven al wel in de markt beschikbaar zijn en in de opschalingsfase zitten. Verder is het belangrijk om op te merken dat de geschatte effecten en opbrengsten enkel zijn gebaseerd op een heffing op virgin fossiel plastic. Afhankelijk van de productgroep kan een heffing op andere of additionele grondslagen ook wenselijk zijn om de circulaire transitie te versnellen.</w:t>
      </w:r>
    </w:p>
    <w:p w:rsidR="002B6596" w:rsidP="002B6596" w:rsidRDefault="002B6596" w14:paraId="558802BF" w14:textId="77777777"/>
    <w:p w:rsidRPr="006E1EE7" w:rsidR="002B6596" w:rsidP="002B6596" w:rsidRDefault="002B6596" w14:paraId="5DDE31CD" w14:textId="77777777">
      <w:pPr>
        <w:rPr>
          <w:b/>
          <w:bCs/>
        </w:rPr>
      </w:pPr>
      <w:r>
        <w:rPr>
          <w:b/>
          <w:bCs/>
        </w:rPr>
        <w:t>C</w:t>
      </w:r>
      <w:r w:rsidRPr="00880490">
        <w:rPr>
          <w:b/>
          <w:bCs/>
        </w:rPr>
        <w:t>onclusies</w:t>
      </w:r>
    </w:p>
    <w:p w:rsidRPr="002252A1" w:rsidR="002B6596" w:rsidP="002B6596" w:rsidRDefault="002B6596" w14:paraId="30296C33" w14:textId="77777777">
      <w:r w:rsidRPr="005344B5">
        <w:t xml:space="preserve">Op basis van de uitkomsten van het onderzoek trekt het kabinet de conclusie dat </w:t>
      </w:r>
      <w:r>
        <w:t>een</w:t>
      </w:r>
      <w:r w:rsidRPr="005344B5">
        <w:t xml:space="preserve"> circulaire hefboom een potentieel interessant instrument is om de transitie naar een circulaire economie verder vorm te geven, maar dat het ook vervolgonderzoek vraagt.</w:t>
      </w:r>
      <w:r>
        <w:t xml:space="preserve"> </w:t>
      </w:r>
      <w:r w:rsidRPr="005344B5">
        <w:t>Uit het onderzoek blijkt dat een significante heffingsopbrengst kan worden opgehaald (</w:t>
      </w:r>
      <w:r>
        <w:t>214 tot 409</w:t>
      </w:r>
      <w:r w:rsidRPr="00673294">
        <w:t xml:space="preserve"> </w:t>
      </w:r>
      <w:r>
        <w:t>miljoen</w:t>
      </w:r>
      <w:r w:rsidRPr="00673294">
        <w:t xml:space="preserve"> euro</w:t>
      </w:r>
      <w:r w:rsidRPr="005344B5">
        <w:t xml:space="preserve">). </w:t>
      </w:r>
      <w:r>
        <w:t xml:space="preserve">Maar uit het onderzoek is ook </w:t>
      </w:r>
      <w:r w:rsidRPr="005344B5">
        <w:t>duidelijk geworden dat het instrument complex en ingrijpend is, waarbij de productspecifieke context van groot belang is. Een besluit over wel of niet invoeren van een circulaire hefboom kan daarom enkel per productgroep</w:t>
      </w:r>
      <w:r>
        <w:t xml:space="preserve"> </w:t>
      </w:r>
      <w:r w:rsidRPr="005344B5">
        <w:rPr>
          <w:i/>
          <w:iCs/>
        </w:rPr>
        <w:t>en</w:t>
      </w:r>
      <w:r>
        <w:t xml:space="preserve"> na meer diepgaand onderzoek worden genomen. Daarbij is het van belang dat bij dit vervolgonderzoek eveneens wordt gekeken naar beleidsalternatieven met een vergelijkbare impact en (mogelijk minder) complexiteit, in het bijzonder een verregaande doorontwikkeling van de uitgebreide producentenverantwoordelijkheid. </w:t>
      </w:r>
    </w:p>
    <w:p w:rsidR="002B6596" w:rsidP="002B6596" w:rsidRDefault="002B6596" w14:paraId="4028BB7E" w14:textId="77777777">
      <w:pPr>
        <w:pStyle w:val="Slotzin"/>
      </w:pPr>
      <w:r>
        <w:br/>
        <w:t>Daarom wil het kabinet starten met een specifiek onderzoek naar</w:t>
      </w:r>
      <w:r w:rsidRPr="00740633">
        <w:t xml:space="preserve"> een circulaire hefboom voor </w:t>
      </w:r>
      <w:r>
        <w:t xml:space="preserve">de productgroepen </w:t>
      </w:r>
      <w:r w:rsidRPr="00740633">
        <w:t>textiel</w:t>
      </w:r>
      <w:r>
        <w:t xml:space="preserve"> en bouwmaterialen (</w:t>
      </w:r>
      <w:r w:rsidRPr="00F63866">
        <w:t>deuren, ramen, kozijnen en isolatiematerialen)</w:t>
      </w:r>
      <w:r>
        <w:t xml:space="preserve">. Dit zijn ook  sectoren die als relatief kansrijk uit de eerste verkenning kwamen. We betrekken deze sectoren bij het onderzoek. Hierbij zal ook bestudeerd worden wat de gewenste grondslag is voor het heffingsgedeelte. </w:t>
      </w:r>
    </w:p>
    <w:p w:rsidR="002B6596" w:rsidP="002B6596" w:rsidRDefault="002B6596" w14:paraId="75AD97E1" w14:textId="77777777">
      <w:pPr>
        <w:pStyle w:val="Slotzin"/>
      </w:pPr>
      <w:r>
        <w:t>Bij dit onderzoek wordt ook gekeken naar</w:t>
      </w:r>
      <w:r w:rsidRPr="00740633">
        <w:t xml:space="preserve"> </w:t>
      </w:r>
      <w:r>
        <w:t xml:space="preserve">mogelijke </w:t>
      </w:r>
      <w:r w:rsidRPr="00740633">
        <w:t xml:space="preserve">gelijkwaardige </w:t>
      </w:r>
      <w:r>
        <w:t>beleids</w:t>
      </w:r>
      <w:r w:rsidRPr="00740633">
        <w:t>alternatieven</w:t>
      </w:r>
      <w:r>
        <w:t>. O</w:t>
      </w:r>
      <w:r w:rsidRPr="00740633">
        <w:t xml:space="preserve">p basis van de resultaten </w:t>
      </w:r>
      <w:r>
        <w:t xml:space="preserve">van dit onderzoek is het </w:t>
      </w:r>
      <w:r w:rsidRPr="00740633">
        <w:t xml:space="preserve">kabinet voornemens om </w:t>
      </w:r>
      <w:r>
        <w:t>in het voorjaar van</w:t>
      </w:r>
      <w:r w:rsidRPr="00740633">
        <w:t xml:space="preserve"> 2027 een besluit te nemen</w:t>
      </w:r>
      <w:r>
        <w:t xml:space="preserve"> over de circulaire hefboom of een </w:t>
      </w:r>
      <w:r w:rsidRPr="001E069B">
        <w:t>beleidsalternatie</w:t>
      </w:r>
      <w:r>
        <w:t>f</w:t>
      </w:r>
      <w:r w:rsidRPr="001E069B">
        <w:t xml:space="preserve"> met een vergelijkbare impact</w:t>
      </w:r>
      <w:r>
        <w:t xml:space="preserve"> voor de productgroepen textiel en bouwmaterialen. Ook zal op basis van deze resultaten bekeken worden of en wanneer een vervolgstudie voor de overige productengroepen gewenst is. </w:t>
      </w:r>
    </w:p>
    <w:p w:rsidR="002B6596" w:rsidP="002B6596" w:rsidRDefault="002B6596" w14:paraId="1FA87B0A" w14:textId="77777777">
      <w:pPr>
        <w:pStyle w:val="Slotzin"/>
      </w:pPr>
      <w:r>
        <w:t>Hoogachtend,</w:t>
      </w:r>
    </w:p>
    <w:p w:rsidR="002B6596" w:rsidP="002B6596" w:rsidRDefault="002B6596" w14:paraId="1D85027B" w14:textId="77777777">
      <w:pPr>
        <w:pStyle w:val="OndertekeningArea1"/>
      </w:pPr>
      <w:r>
        <w:t>DE MINISTER VAN KLIMAAT EN GROENE GROEI,</w:t>
      </w:r>
    </w:p>
    <w:p w:rsidR="002B6596" w:rsidP="002B6596" w:rsidRDefault="002B6596" w14:paraId="12BCE5FA" w14:textId="77777777"/>
    <w:p w:rsidR="002B6596" w:rsidP="002B6596" w:rsidRDefault="002B6596" w14:paraId="73CF719F" w14:textId="77777777"/>
    <w:p w:rsidR="002B6596" w:rsidP="002B6596" w:rsidRDefault="002B6596" w14:paraId="7846DDBD" w14:textId="77777777"/>
    <w:p w:rsidR="002B6596" w:rsidP="002B6596" w:rsidRDefault="002B6596" w14:paraId="51B59AF6" w14:textId="77777777"/>
    <w:p w:rsidR="002B6596" w:rsidP="002B6596" w:rsidRDefault="002B6596" w14:paraId="3F06C096" w14:textId="77777777">
      <w:r>
        <w:t>S. van Veldhoven-van der Meer</w:t>
      </w:r>
    </w:p>
    <w:p w:rsidR="002B6596" w:rsidP="002B6596" w:rsidRDefault="002B6596" w14:paraId="0116FF95" w14:textId="77777777">
      <w:pPr>
        <w:spacing w:line="240" w:lineRule="auto"/>
      </w:pPr>
      <w:r>
        <w:br w:type="page"/>
      </w:r>
    </w:p>
    <w:p w:rsidR="002B6596" w:rsidP="002B6596" w:rsidRDefault="002B6596" w14:paraId="6A57965F" w14:textId="77777777">
      <w:r>
        <w:t>Bijlage 1 - Kort overzicht verschillende fondsvormingsmogelijkheden</w:t>
      </w:r>
    </w:p>
    <w:p w:rsidR="002B6596" w:rsidP="002B6596" w:rsidRDefault="002B6596" w14:paraId="3D30B0E6" w14:textId="77777777"/>
    <w:p w:rsidR="002B6596" w:rsidP="002B6596" w:rsidRDefault="002B6596" w14:paraId="0FFF4C90" w14:textId="77777777">
      <w:r w:rsidRPr="000E1B03">
        <w:rPr>
          <w:i/>
          <w:iCs/>
        </w:rPr>
        <w:t>Begrotingsfonds</w:t>
      </w:r>
      <w:r>
        <w:rPr>
          <w:i/>
          <w:iCs/>
        </w:rPr>
        <w:t xml:space="preserve">: </w:t>
      </w:r>
      <w:r>
        <w:t>e</w:t>
      </w:r>
      <w:r w:rsidRPr="00EA74CF">
        <w:t>en b</w:t>
      </w:r>
      <w:r w:rsidRPr="000E1B03">
        <w:t xml:space="preserve">egrotingsfonds </w:t>
      </w:r>
      <w:r w:rsidRPr="00EA74CF">
        <w:t>op grond van artikel 2.11 van de comptabiliteitswet 2016</w:t>
      </w:r>
      <w:r>
        <w:t xml:space="preserve"> </w:t>
      </w:r>
      <w:r w:rsidRPr="000E1B03">
        <w:t>werk</w:t>
      </w:r>
      <w:r>
        <w:t>t</w:t>
      </w:r>
      <w:r w:rsidRPr="000E1B03">
        <w:t xml:space="preserve"> in beginselnet </w:t>
      </w:r>
      <w:r>
        <w:t>zo</w:t>
      </w:r>
      <w:r w:rsidRPr="000E1B03">
        <w:t xml:space="preserve">als andere posten op de Rijksbegroting. </w:t>
      </w:r>
      <w:r>
        <w:t>De u</w:t>
      </w:r>
      <w:r w:rsidRPr="000E1B03">
        <w:t xml:space="preserve">itgaven en ontvangsten worden zo realistisch mogelijk </w:t>
      </w:r>
      <w:r>
        <w:t>ingeschat</w:t>
      </w:r>
      <w:r w:rsidRPr="000E1B03">
        <w:t xml:space="preserve"> </w:t>
      </w:r>
      <w:r>
        <w:t xml:space="preserve">en </w:t>
      </w:r>
      <w:r w:rsidRPr="000E1B03">
        <w:t>tel</w:t>
      </w:r>
      <w:r>
        <w:t>len</w:t>
      </w:r>
      <w:r w:rsidRPr="000E1B03">
        <w:t xml:space="preserve"> net </w:t>
      </w:r>
      <w:r>
        <w:t xml:space="preserve">zoals </w:t>
      </w:r>
      <w:r w:rsidRPr="000E1B03">
        <w:t xml:space="preserve">andere </w:t>
      </w:r>
      <w:r>
        <w:t xml:space="preserve">onderdelen van de Rijksbegroting </w:t>
      </w:r>
      <w:r w:rsidRPr="000E1B03">
        <w:t xml:space="preserve">mee </w:t>
      </w:r>
      <w:r>
        <w:t>in de</w:t>
      </w:r>
      <w:r w:rsidRPr="000E1B03">
        <w:t xml:space="preserve"> tota</w:t>
      </w:r>
      <w:r>
        <w:t>al</w:t>
      </w:r>
      <w:r w:rsidRPr="000E1B03">
        <w:t xml:space="preserve"> geraamde </w:t>
      </w:r>
      <w:r>
        <w:t xml:space="preserve">in- en </w:t>
      </w:r>
      <w:r w:rsidRPr="000E1B03">
        <w:t xml:space="preserve">uitgaven van de Rijksoverheid in een begrotingsjaar. Het belangrijkste verschil met </w:t>
      </w:r>
      <w:r>
        <w:t>een</w:t>
      </w:r>
      <w:r w:rsidRPr="000E1B03">
        <w:t xml:space="preserve"> departementale begroting is dat er een instellingswet nodig is voor de oprichting </w:t>
      </w:r>
      <w:r>
        <w:t xml:space="preserve">van zo’n fonds </w:t>
      </w:r>
      <w:r w:rsidRPr="000E1B03">
        <w:t xml:space="preserve">en dat over- </w:t>
      </w:r>
      <w:r>
        <w:t xml:space="preserve">en </w:t>
      </w:r>
      <w:r w:rsidRPr="000E1B03">
        <w:t xml:space="preserve">onderbesteding wordt meegenomen naar het volgende begrotingsjaar. Voorbeelden van begrotingsfondsen zijn het Mobiliteitsfonds, </w:t>
      </w:r>
      <w:r>
        <w:t xml:space="preserve">het Klimaatfonds, het </w:t>
      </w:r>
      <w:r w:rsidRPr="000E1B03">
        <w:t>Deltafonds en het Defensiematerieelbegrotingsfonds. Sommige begrotingsfondsen zijn zogeheten verdeelfondsen, en ooit opgericht om algemene middelen aan andere onderdelen van de overheid te verdelen. Voorbeelden hiervan zijn het Provinciefonds, het Gemeentefonds en het BES-fonds.</w:t>
      </w:r>
    </w:p>
    <w:p w:rsidRPr="000E1B03" w:rsidR="002B6596" w:rsidP="002B6596" w:rsidRDefault="002B6596" w14:paraId="5028DE18" w14:textId="77777777"/>
    <w:p w:rsidR="002B6596" w:rsidP="002B6596" w:rsidRDefault="002B6596" w14:paraId="4ADD17E2" w14:textId="77777777">
      <w:r w:rsidRPr="000E1B03">
        <w:rPr>
          <w:i/>
          <w:iCs/>
        </w:rPr>
        <w:t>Revolverend fonds</w:t>
      </w:r>
      <w:r>
        <w:rPr>
          <w:i/>
          <w:iCs/>
        </w:rPr>
        <w:t xml:space="preserve">: </w:t>
      </w:r>
      <w:r>
        <w:t>e</w:t>
      </w:r>
      <w:r w:rsidRPr="008B53B9">
        <w:t>en</w:t>
      </w:r>
      <w:r>
        <w:rPr>
          <w:i/>
          <w:iCs/>
        </w:rPr>
        <w:t xml:space="preserve"> </w:t>
      </w:r>
      <w:r>
        <w:t>r</w:t>
      </w:r>
      <w:r w:rsidRPr="000E1B03">
        <w:t>evolverend fonds word</w:t>
      </w:r>
      <w:r>
        <w:t xml:space="preserve">t, </w:t>
      </w:r>
      <w:r w:rsidRPr="000E1B03">
        <w:t>na een eerste storting</w:t>
      </w:r>
      <w:r>
        <w:t xml:space="preserve">, </w:t>
      </w:r>
      <w:r w:rsidRPr="000E1B03">
        <w:t xml:space="preserve">gevuld door inkomsten </w:t>
      </w:r>
      <w:r>
        <w:t xml:space="preserve">die voortkomen uit eerder gedane uitgaven, </w:t>
      </w:r>
      <w:r w:rsidRPr="000E1B03">
        <w:t xml:space="preserve">bijvoorbeeld </w:t>
      </w:r>
      <w:r>
        <w:t>terugbetaling van l</w:t>
      </w:r>
      <w:r w:rsidRPr="000E1B03">
        <w:t>eningen die het fonds eerder heeft uitgegeven. Voor het instellen van een revolverend fonds is geen instellingswet nodig. Revolverende fondsen kunnen op de Rijksbegroting worden beheerd, waarbij de in</w:t>
      </w:r>
      <w:r>
        <w:t>-</w:t>
      </w:r>
      <w:r w:rsidRPr="000E1B03">
        <w:t xml:space="preserve"> en uitgaven via het budgetrecht aan de Tweede Kamer worden voorgelegd. Een voorbeeld</w:t>
      </w:r>
      <w:r>
        <w:t xml:space="preserve"> van zo’n fonds is </w:t>
      </w:r>
      <w:r w:rsidRPr="000E1B03">
        <w:t>het Dutch Good Growth Fund. Daarnaast zijn er revolverende fondsen die zich buiten de Rijksbegroting bevinden na een initiële storting via de Rijksbegroting, zoals het Toekomstfonds.</w:t>
      </w:r>
    </w:p>
    <w:p w:rsidRPr="000E1B03" w:rsidR="002B6596" w:rsidP="002B6596" w:rsidRDefault="002B6596" w14:paraId="1EEA18CA" w14:textId="77777777"/>
    <w:p w:rsidRPr="00EA4A44" w:rsidR="002B6596" w:rsidP="002B6596" w:rsidRDefault="002B6596" w14:paraId="15C5AF23" w14:textId="77777777">
      <w:pPr>
        <w:rPr>
          <w:i/>
          <w:iCs/>
        </w:rPr>
      </w:pPr>
      <w:r w:rsidRPr="000E1B03">
        <w:rPr>
          <w:i/>
          <w:iCs/>
        </w:rPr>
        <w:t>Regulier budget</w:t>
      </w:r>
      <w:r>
        <w:rPr>
          <w:i/>
          <w:iCs/>
        </w:rPr>
        <w:t xml:space="preserve">: </w:t>
      </w:r>
      <w:r w:rsidRPr="00757F66" w:rsidDel="003555AF">
        <w:t>E</w:t>
      </w:r>
      <w:r w:rsidRPr="00757F66">
        <w:t xml:space="preserve">en </w:t>
      </w:r>
      <w:r>
        <w:t>r</w:t>
      </w:r>
      <w:r w:rsidRPr="000E1B03">
        <w:t xml:space="preserve">egulier budget op de Rijksbegroting </w:t>
      </w:r>
      <w:r>
        <w:t xml:space="preserve">kan ook gewoon een fonds heten. Hoe het zich dan in de praktijk gedraagt is afhankelijk van de vormgeving. Het kan gewoon een regulier onderdeel zijn van de Rijksbegroting dat zich gedraagt als alle andere posten op die begroting. In dat geval </w:t>
      </w:r>
      <w:r w:rsidRPr="000E1B03">
        <w:t>is de keuze voor het woord fonds puur semantisch en zijn er geen gevolgen voor de begrotingssystematiek.</w:t>
      </w:r>
      <w:r>
        <w:t xml:space="preserve"> </w:t>
      </w:r>
      <w:r w:rsidRPr="000E1B03">
        <w:t xml:space="preserve">In sommige gevallen is er </w:t>
      </w:r>
      <w:r>
        <w:t xml:space="preserve">echter </w:t>
      </w:r>
      <w:r w:rsidRPr="000E1B03">
        <w:t>sprake van 100%-eindejaarsmarge, waardoor een regulier budget zich in de praktijk gedraagt als middelen op</w:t>
      </w:r>
      <w:r>
        <w:t xml:space="preserve"> </w:t>
      </w:r>
      <w:r w:rsidRPr="000E1B03">
        <w:t>een begrotingsfonds.</w:t>
      </w:r>
      <w:r>
        <w:rPr>
          <w:rStyle w:val="Voetnootmarkering"/>
        </w:rPr>
        <w:footnoteReference w:id="3"/>
      </w:r>
      <w:r>
        <w:t xml:space="preserve"> Dit is echter niet de standaard en vergt eveneens een kabinetsbesluit.</w:t>
      </w:r>
    </w:p>
    <w:p w:rsidR="00EA4A44" w:rsidP="00111ACC" w:rsidRDefault="00EA4A44" w14:paraId="1C2A65EF" w14:textId="77777777"/>
    <w:sectPr w:rsidR="00EA4A44" w:rsidSect="00F85650">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082AB" w14:textId="77777777" w:rsidR="0034342D" w:rsidRDefault="0034342D">
      <w:r>
        <w:separator/>
      </w:r>
    </w:p>
    <w:p w14:paraId="1841ADBE" w14:textId="77777777" w:rsidR="0034342D" w:rsidRDefault="0034342D"/>
  </w:endnote>
  <w:endnote w:type="continuationSeparator" w:id="0">
    <w:p w14:paraId="34FD2219" w14:textId="77777777" w:rsidR="0034342D" w:rsidRDefault="0034342D">
      <w:r>
        <w:continuationSeparator/>
      </w:r>
    </w:p>
    <w:p w14:paraId="6E11EE93" w14:textId="77777777" w:rsidR="0034342D" w:rsidRDefault="003434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Montserrat Ligh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D5F92"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04537C" w14:paraId="7F04F75D" w14:textId="77777777" w:rsidTr="00CA6A25">
      <w:trPr>
        <w:trHeight w:hRule="exact" w:val="240"/>
      </w:trPr>
      <w:tc>
        <w:tcPr>
          <w:tcW w:w="7601" w:type="dxa"/>
        </w:tcPr>
        <w:p w14:paraId="70480947" w14:textId="77777777" w:rsidR="00527BD4" w:rsidRDefault="00527BD4" w:rsidP="003F1F6B">
          <w:pPr>
            <w:pStyle w:val="Huisstijl-Rubricering"/>
          </w:pPr>
        </w:p>
      </w:tc>
      <w:tc>
        <w:tcPr>
          <w:tcW w:w="2156" w:type="dxa"/>
        </w:tcPr>
        <w:p w14:paraId="1698CD34" w14:textId="2E923C25" w:rsidR="00527BD4" w:rsidRPr="00645414" w:rsidRDefault="00297C2E"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7565AC">
            <w:t>6</w:t>
          </w:r>
          <w:r w:rsidR="004425CC">
            <w:fldChar w:fldCharType="end"/>
          </w:r>
        </w:p>
      </w:tc>
    </w:tr>
  </w:tbl>
  <w:p w14:paraId="7C92A2D1"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04537C" w14:paraId="3AF6CC19" w14:textId="77777777" w:rsidTr="00CA6A25">
      <w:trPr>
        <w:trHeight w:hRule="exact" w:val="240"/>
      </w:trPr>
      <w:tc>
        <w:tcPr>
          <w:tcW w:w="7601" w:type="dxa"/>
        </w:tcPr>
        <w:p w14:paraId="7E50F496" w14:textId="77777777" w:rsidR="00527BD4" w:rsidRDefault="00527BD4" w:rsidP="008C356D">
          <w:pPr>
            <w:pStyle w:val="Huisstijl-Rubricering"/>
          </w:pPr>
        </w:p>
      </w:tc>
      <w:tc>
        <w:tcPr>
          <w:tcW w:w="2170" w:type="dxa"/>
        </w:tcPr>
        <w:p w14:paraId="02C42CC9" w14:textId="2275BE57" w:rsidR="00527BD4" w:rsidRPr="00ED539E" w:rsidRDefault="00297C2E"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6A013B">
            <w:fldChar w:fldCharType="begin"/>
          </w:r>
          <w:r>
            <w:instrText xml:space="preserve"> SECTIONPAGES   \* MERGEFORMAT </w:instrText>
          </w:r>
          <w:r w:rsidR="006A013B">
            <w:fldChar w:fldCharType="separate"/>
          </w:r>
          <w:r w:rsidR="0034342D">
            <w:t>1</w:t>
          </w:r>
          <w:r w:rsidR="006A013B">
            <w:fldChar w:fldCharType="end"/>
          </w:r>
        </w:p>
      </w:tc>
    </w:tr>
  </w:tbl>
  <w:p w14:paraId="2900B3F3" w14:textId="77777777" w:rsidR="00527BD4" w:rsidRPr="00BC3B53" w:rsidRDefault="00527BD4" w:rsidP="008C356D">
    <w:pPr>
      <w:pStyle w:val="Voettekst"/>
      <w:spacing w:line="240" w:lineRule="auto"/>
      <w:rPr>
        <w:sz w:val="2"/>
        <w:szCs w:val="2"/>
      </w:rPr>
    </w:pPr>
  </w:p>
  <w:p w14:paraId="1B044C18"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55F13" w14:textId="77777777" w:rsidR="0034342D" w:rsidRDefault="0034342D">
      <w:r>
        <w:separator/>
      </w:r>
    </w:p>
    <w:p w14:paraId="41BD5643" w14:textId="77777777" w:rsidR="0034342D" w:rsidRDefault="0034342D"/>
  </w:footnote>
  <w:footnote w:type="continuationSeparator" w:id="0">
    <w:p w14:paraId="66356978" w14:textId="77777777" w:rsidR="0034342D" w:rsidRDefault="0034342D">
      <w:r>
        <w:continuationSeparator/>
      </w:r>
    </w:p>
    <w:p w14:paraId="2A1C1A34" w14:textId="77777777" w:rsidR="0034342D" w:rsidRDefault="0034342D"/>
  </w:footnote>
  <w:footnote w:id="1">
    <w:p w14:paraId="5BDC9C91" w14:textId="77777777" w:rsidR="002B6596" w:rsidRDefault="002B6596" w:rsidP="002B6596">
      <w:pPr>
        <w:pStyle w:val="Voetnoottekst"/>
      </w:pPr>
      <w:r>
        <w:rPr>
          <w:rStyle w:val="Voetnootmarkering"/>
        </w:rPr>
        <w:footnoteRef/>
      </w:r>
      <w:r>
        <w:t xml:space="preserve"> </w:t>
      </w:r>
      <w:r w:rsidRPr="008369AA">
        <w:t>Kamerstukken II 20</w:t>
      </w:r>
      <w:r>
        <w:t>25</w:t>
      </w:r>
      <w:r w:rsidRPr="008369AA">
        <w:t>/1</w:t>
      </w:r>
      <w:r>
        <w:t>2</w:t>
      </w:r>
      <w:r w:rsidRPr="008369AA">
        <w:t>, 32</w:t>
      </w:r>
      <w:r>
        <w:t xml:space="preserve"> </w:t>
      </w:r>
      <w:r w:rsidRPr="008369AA">
        <w:t xml:space="preserve">852, nr. </w:t>
      </w:r>
      <w:r>
        <w:t>397 [</w:t>
      </w:r>
      <w:hyperlink r:id="rId1" w:history="1">
        <w:r w:rsidRPr="00295D96">
          <w:rPr>
            <w:rStyle w:val="Hyperlink"/>
          </w:rPr>
          <w:t>Grondstoffenvoorzieningszekerheid | Tweede Kamer der Staten-Generaal</w:t>
        </w:r>
      </w:hyperlink>
      <w:r>
        <w:t>]</w:t>
      </w:r>
    </w:p>
  </w:footnote>
  <w:footnote w:id="2">
    <w:p w14:paraId="396F5220" w14:textId="77777777" w:rsidR="002B6596" w:rsidRDefault="002B6596" w:rsidP="002B6596">
      <w:pPr>
        <w:pStyle w:val="Voetnoottekst"/>
      </w:pPr>
      <w:r>
        <w:rPr>
          <w:rStyle w:val="Voetnootmarkering"/>
        </w:rPr>
        <w:footnoteRef/>
      </w:r>
      <w:r>
        <w:t xml:space="preserve"> Plasticrecyclaat en biogebaseerd plastic</w:t>
      </w:r>
    </w:p>
  </w:footnote>
  <w:footnote w:id="3">
    <w:p w14:paraId="7EAE5B3B" w14:textId="77777777" w:rsidR="002B6596" w:rsidRPr="000E1B03" w:rsidRDefault="002B6596" w:rsidP="002B6596">
      <w:pPr>
        <w:pStyle w:val="Voetnoottekst"/>
        <w:rPr>
          <w:sz w:val="14"/>
          <w:szCs w:val="14"/>
        </w:rPr>
      </w:pPr>
      <w:r w:rsidRPr="000E1B03">
        <w:rPr>
          <w:rStyle w:val="Voetnootmarkering"/>
          <w:sz w:val="14"/>
          <w:szCs w:val="14"/>
        </w:rPr>
        <w:footnoteRef/>
      </w:r>
      <w:r w:rsidRPr="000E1B03">
        <w:rPr>
          <w:sz w:val="14"/>
          <w:szCs w:val="14"/>
        </w:rPr>
        <w:t xml:space="preserve"> Voor sommige uitgaven is het lastig te voorspellen hoe hoog ze zijn of in welk jaar ze vallen. Om deze onzekerheden te kunnen opvangen kennen de begrotingsregels mogelijkheden om geld te behouden voor toekomstige uitgaven, waaronder eindejaarsmarges. De eindejaarsmarge is een mogelijkheid voor ministeries om met gelden tussen jaren te schuiven. De eindejaarsmarge is bedoeld om ondoelmatige besteding van middelen aan het einde van het jaar te voorkomen door de onbestede middelen naar het volgende jaar door te schuiven.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04537C" w14:paraId="7D43A0C3" w14:textId="77777777" w:rsidTr="00A50CF6">
      <w:tc>
        <w:tcPr>
          <w:tcW w:w="2156" w:type="dxa"/>
        </w:tcPr>
        <w:p w14:paraId="472BFADC" w14:textId="3D996C0D" w:rsidR="00527BD4" w:rsidRPr="005819CE" w:rsidRDefault="00CF41E0" w:rsidP="00A50CF6">
          <w:pPr>
            <w:pStyle w:val="Huisstijl-Adres"/>
            <w:rPr>
              <w:b/>
            </w:rPr>
          </w:pPr>
          <w:r>
            <w:rPr>
              <w:b/>
            </w:rPr>
            <w:t>Directie Circulaire Economie</w:t>
          </w:r>
        </w:p>
      </w:tc>
    </w:tr>
    <w:tr w:rsidR="0004537C" w14:paraId="62538C80" w14:textId="77777777" w:rsidTr="00A50CF6">
      <w:trPr>
        <w:trHeight w:hRule="exact" w:val="200"/>
      </w:trPr>
      <w:tc>
        <w:tcPr>
          <w:tcW w:w="2156" w:type="dxa"/>
        </w:tcPr>
        <w:p w14:paraId="267B46B0" w14:textId="77777777" w:rsidR="00527BD4" w:rsidRPr="005819CE" w:rsidRDefault="00527BD4" w:rsidP="00A50CF6"/>
      </w:tc>
    </w:tr>
    <w:tr w:rsidR="0004537C" w14:paraId="0965F0AF" w14:textId="77777777" w:rsidTr="00502512">
      <w:trPr>
        <w:trHeight w:hRule="exact" w:val="774"/>
      </w:trPr>
      <w:tc>
        <w:tcPr>
          <w:tcW w:w="2156" w:type="dxa"/>
        </w:tcPr>
        <w:p w14:paraId="3A41FE0A" w14:textId="77777777" w:rsidR="00527BD4" w:rsidRDefault="00297C2E" w:rsidP="003A5290">
          <w:pPr>
            <w:pStyle w:val="Huisstijl-Kopje"/>
          </w:pPr>
          <w:r>
            <w:t>Ons kenmerk</w:t>
          </w:r>
        </w:p>
        <w:p w14:paraId="10BBA2EC" w14:textId="52320A05" w:rsidR="00527BD4" w:rsidRPr="005819CE" w:rsidRDefault="00111ACC" w:rsidP="00111ACC">
          <w:pPr>
            <w:pStyle w:val="Huisstijl-Gegeven"/>
          </w:pPr>
          <w:r>
            <w:t xml:space="preserve">BPZ / </w:t>
          </w:r>
          <w:r w:rsidRPr="00A35120">
            <w:t>108187783</w:t>
          </w:r>
        </w:p>
      </w:tc>
    </w:tr>
  </w:tbl>
  <w:p w14:paraId="2824F58F" w14:textId="77777777" w:rsidR="00527BD4" w:rsidRDefault="00527BD4" w:rsidP="004F44C2"/>
  <w:p w14:paraId="2CED2C51" w14:textId="77777777" w:rsidR="00527BD4" w:rsidRPr="00740712" w:rsidRDefault="00527BD4" w:rsidP="004F44C2"/>
  <w:p w14:paraId="21C9F033"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04537C" w14:paraId="18B54F1C" w14:textId="77777777" w:rsidTr="00751A6A">
      <w:trPr>
        <w:trHeight w:val="2636"/>
      </w:trPr>
      <w:tc>
        <w:tcPr>
          <w:tcW w:w="737" w:type="dxa"/>
        </w:tcPr>
        <w:p w14:paraId="7D074040" w14:textId="77777777" w:rsidR="00527BD4" w:rsidRDefault="00527BD4" w:rsidP="00D0609E">
          <w:pPr>
            <w:framePr w:w="6340" w:h="2750" w:hRule="exact" w:hSpace="180" w:wrap="around" w:vAnchor="page" w:hAnchor="text" w:x="3873" w:y="-140"/>
            <w:spacing w:line="240" w:lineRule="auto"/>
          </w:pPr>
        </w:p>
      </w:tc>
      <w:tc>
        <w:tcPr>
          <w:tcW w:w="5156" w:type="dxa"/>
        </w:tcPr>
        <w:p w14:paraId="1A38C818" w14:textId="77777777" w:rsidR="00527BD4" w:rsidRDefault="00297C2E"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348C35D3" wp14:editId="01F9A411">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0F61097A" w14:textId="77777777" w:rsidR="007269E3" w:rsidRDefault="007269E3" w:rsidP="00651CEE">
          <w:pPr>
            <w:framePr w:w="6340" w:h="2750" w:hRule="exact" w:hSpace="180" w:wrap="around" w:vAnchor="page" w:hAnchor="text" w:x="3873" w:y="-140"/>
            <w:spacing w:line="240" w:lineRule="auto"/>
          </w:pPr>
        </w:p>
      </w:tc>
    </w:tr>
  </w:tbl>
  <w:p w14:paraId="7EA8AB14" w14:textId="77777777" w:rsidR="00527BD4" w:rsidRDefault="00527BD4" w:rsidP="00D0609E">
    <w:pPr>
      <w:framePr w:w="6340" w:h="2750" w:hRule="exact" w:hSpace="180" w:wrap="around" w:vAnchor="page" w:hAnchor="text" w:x="3873" w:y="-140"/>
    </w:pPr>
  </w:p>
  <w:p w14:paraId="27B80A2A"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04537C" w14:paraId="17EBEAAF" w14:textId="77777777" w:rsidTr="00A50CF6">
      <w:tc>
        <w:tcPr>
          <w:tcW w:w="2160" w:type="dxa"/>
        </w:tcPr>
        <w:p w14:paraId="5A6AB650" w14:textId="73203769" w:rsidR="00527BD4" w:rsidRPr="005819CE" w:rsidRDefault="00297C2E" w:rsidP="00A50CF6">
          <w:pPr>
            <w:pStyle w:val="Huisstijl-Adres"/>
            <w:rPr>
              <w:b/>
            </w:rPr>
          </w:pPr>
          <w:r>
            <w:rPr>
              <w:b/>
            </w:rPr>
            <w:t xml:space="preserve">Directie </w:t>
          </w:r>
          <w:r w:rsidR="00CF41E0">
            <w:rPr>
              <w:b/>
            </w:rPr>
            <w:t>Circulaire Economie</w:t>
          </w:r>
        </w:p>
        <w:p w14:paraId="4AE0F8B9" w14:textId="77777777" w:rsidR="00527BD4" w:rsidRPr="00BE5ED9" w:rsidRDefault="00297C2E" w:rsidP="00A50CF6">
          <w:pPr>
            <w:pStyle w:val="Huisstijl-Adres"/>
          </w:pPr>
          <w:r>
            <w:rPr>
              <w:b/>
            </w:rPr>
            <w:t>Bezoekadres</w:t>
          </w:r>
          <w:r>
            <w:rPr>
              <w:b/>
            </w:rPr>
            <w:br/>
          </w:r>
          <w:r>
            <w:t>Bezuidenhoutseweg 73</w:t>
          </w:r>
          <w:r w:rsidRPr="005819CE">
            <w:br/>
          </w:r>
          <w:r>
            <w:t>2594 AC Den Haag</w:t>
          </w:r>
        </w:p>
        <w:p w14:paraId="33B2ACFF" w14:textId="77777777" w:rsidR="00EF495B" w:rsidRDefault="00297C2E" w:rsidP="0098788A">
          <w:pPr>
            <w:pStyle w:val="Huisstijl-Adres"/>
          </w:pPr>
          <w:r>
            <w:rPr>
              <w:b/>
            </w:rPr>
            <w:t>Postadres</w:t>
          </w:r>
          <w:r>
            <w:rPr>
              <w:b/>
            </w:rPr>
            <w:br/>
          </w:r>
          <w:r>
            <w:t>Postbus 20401</w:t>
          </w:r>
          <w:r w:rsidRPr="005819CE">
            <w:br/>
            <w:t>2500 E</w:t>
          </w:r>
          <w:r>
            <w:t>K</w:t>
          </w:r>
          <w:r w:rsidRPr="005819CE">
            <w:t xml:space="preserve"> Den Haag</w:t>
          </w:r>
        </w:p>
        <w:p w14:paraId="68A379AB" w14:textId="77777777" w:rsidR="00EF495B" w:rsidRPr="005B3814" w:rsidRDefault="00297C2E" w:rsidP="0098788A">
          <w:pPr>
            <w:pStyle w:val="Huisstijl-Adres"/>
          </w:pPr>
          <w:r>
            <w:rPr>
              <w:b/>
            </w:rPr>
            <w:t>Overheidsidentificatienr</w:t>
          </w:r>
          <w:r>
            <w:rPr>
              <w:b/>
            </w:rPr>
            <w:br/>
          </w:r>
          <w:r w:rsidRPr="00CA0CD7">
            <w:t>00000001003214369000</w:t>
          </w:r>
        </w:p>
        <w:p w14:paraId="6BD9A716" w14:textId="69080FBB" w:rsidR="00527BD4" w:rsidRPr="00111ACC" w:rsidRDefault="00297C2E" w:rsidP="00111ACC">
          <w:pPr>
            <w:pStyle w:val="Huisstijl-Adres"/>
            <w:rPr>
              <w:u w:val="single"/>
            </w:rPr>
          </w:pPr>
          <w:r>
            <w:t>T</w:t>
          </w:r>
          <w:r>
            <w:tab/>
            <w:t>070 379 8911 (algemeen)</w:t>
          </w:r>
          <w:r w:rsidRPr="005819CE">
            <w:br/>
          </w:r>
          <w:r w:rsidR="006F751F">
            <w:t>F</w:t>
          </w:r>
          <w:r w:rsidR="006F751F">
            <w:tab/>
            <w:t>0</w:t>
          </w:r>
          <w:r>
            <w:t>70 378 6011</w:t>
          </w:r>
          <w:r w:rsidR="006F751F">
            <w:t xml:space="preserve"> (algemeen)</w:t>
          </w:r>
          <w:r w:rsidR="006F751F" w:rsidRPr="005819CE">
            <w:br/>
          </w:r>
          <w:r>
            <w:t>www.rijksoverheid.nl/ez</w:t>
          </w:r>
        </w:p>
      </w:tc>
    </w:tr>
    <w:tr w:rsidR="0004537C" w14:paraId="4BF87964" w14:textId="77777777" w:rsidTr="00A50CF6">
      <w:trPr>
        <w:trHeight w:hRule="exact" w:val="200"/>
      </w:trPr>
      <w:tc>
        <w:tcPr>
          <w:tcW w:w="2160" w:type="dxa"/>
        </w:tcPr>
        <w:p w14:paraId="5097006F" w14:textId="77777777" w:rsidR="00527BD4" w:rsidRPr="005819CE" w:rsidRDefault="00527BD4" w:rsidP="00A50CF6"/>
      </w:tc>
    </w:tr>
    <w:tr w:rsidR="0004537C" w14:paraId="3CABA4E6" w14:textId="77777777" w:rsidTr="00A50CF6">
      <w:tc>
        <w:tcPr>
          <w:tcW w:w="2160" w:type="dxa"/>
        </w:tcPr>
        <w:p w14:paraId="1655CDB8" w14:textId="77777777" w:rsidR="000C0163" w:rsidRPr="005819CE" w:rsidRDefault="00297C2E" w:rsidP="000C0163">
          <w:pPr>
            <w:pStyle w:val="Huisstijl-Kopje"/>
          </w:pPr>
          <w:r>
            <w:t>Ons kenmerk</w:t>
          </w:r>
          <w:r w:rsidRPr="005819CE">
            <w:t xml:space="preserve"> </w:t>
          </w:r>
        </w:p>
        <w:p w14:paraId="29632FCB" w14:textId="77777777" w:rsidR="00A35120" w:rsidRPr="00A35120" w:rsidRDefault="00A35120" w:rsidP="00A35120">
          <w:pPr>
            <w:pStyle w:val="Huisstijl-Gegeven"/>
          </w:pPr>
          <w:r>
            <w:t xml:space="preserve">BPZ / </w:t>
          </w:r>
          <w:r w:rsidRPr="00A35120">
            <w:t>108187783</w:t>
          </w:r>
        </w:p>
        <w:p w14:paraId="455CF438" w14:textId="77777777" w:rsidR="00527BD4" w:rsidRPr="005819CE" w:rsidRDefault="00297C2E" w:rsidP="00A50CF6">
          <w:pPr>
            <w:pStyle w:val="Huisstijl-Kopje"/>
          </w:pPr>
          <w:r>
            <w:t>Bijlage(n)</w:t>
          </w:r>
        </w:p>
        <w:p w14:paraId="1A11EC87" w14:textId="3B1DBB39" w:rsidR="00527BD4" w:rsidRPr="005819CE" w:rsidRDefault="00111ACC" w:rsidP="00A50CF6">
          <w:pPr>
            <w:pStyle w:val="Huisstijl-Gegeven"/>
          </w:pPr>
          <w:r>
            <w:t>2</w:t>
          </w:r>
        </w:p>
      </w:tc>
    </w:tr>
  </w:tbl>
  <w:p w14:paraId="1FE1EBB1"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04537C" w14:paraId="7302F8FD" w14:textId="77777777" w:rsidTr="0F53F9A8">
      <w:trPr>
        <w:trHeight w:val="400"/>
      </w:trPr>
      <w:tc>
        <w:tcPr>
          <w:tcW w:w="7520" w:type="dxa"/>
          <w:gridSpan w:val="2"/>
        </w:tcPr>
        <w:p w14:paraId="391B9A80" w14:textId="77777777" w:rsidR="00527BD4" w:rsidRPr="00BC3B53" w:rsidRDefault="00297C2E" w:rsidP="00A50CF6">
          <w:pPr>
            <w:pStyle w:val="Huisstijl-Retouradres"/>
          </w:pPr>
          <w:r>
            <w:t>&gt; Retouradres Postbus 20401 2500 EK Den Haag</w:t>
          </w:r>
        </w:p>
      </w:tc>
    </w:tr>
    <w:tr w:rsidR="0004537C" w14:paraId="0EF2E427" w14:textId="77777777" w:rsidTr="0F53F9A8">
      <w:tc>
        <w:tcPr>
          <w:tcW w:w="7520" w:type="dxa"/>
          <w:gridSpan w:val="2"/>
        </w:tcPr>
        <w:p w14:paraId="5416EF9B" w14:textId="77777777" w:rsidR="00527BD4" w:rsidRPr="00983E8F" w:rsidRDefault="00527BD4" w:rsidP="00A50CF6">
          <w:pPr>
            <w:pStyle w:val="Huisstijl-Rubricering"/>
          </w:pPr>
        </w:p>
      </w:tc>
    </w:tr>
    <w:tr w:rsidR="0004537C" w14:paraId="5F8C8C15" w14:textId="77777777" w:rsidTr="0F53F9A8">
      <w:trPr>
        <w:trHeight w:hRule="exact" w:val="2440"/>
      </w:trPr>
      <w:tc>
        <w:tcPr>
          <w:tcW w:w="7520" w:type="dxa"/>
          <w:gridSpan w:val="2"/>
        </w:tcPr>
        <w:p w14:paraId="7D6435D7" w14:textId="77777777" w:rsidR="00E54D4D" w:rsidRDefault="00E54D4D" w:rsidP="00342F3B">
          <w:pPr>
            <w:pStyle w:val="Huisstijl-NAW"/>
          </w:pPr>
          <w:r>
            <w:t xml:space="preserve">De Voorzitter van de Tweede Kamer </w:t>
          </w:r>
        </w:p>
        <w:p w14:paraId="0872715E" w14:textId="77777777" w:rsidR="00E54D4D" w:rsidRDefault="00E54D4D" w:rsidP="00342F3B">
          <w:pPr>
            <w:pStyle w:val="Huisstijl-NAW"/>
          </w:pPr>
          <w:r>
            <w:t>der Staten-Generaal</w:t>
          </w:r>
        </w:p>
        <w:p w14:paraId="2973EB28" w14:textId="77777777" w:rsidR="00E54D4D" w:rsidRDefault="00E54D4D" w:rsidP="00342F3B">
          <w:pPr>
            <w:rPr>
              <w:szCs w:val="18"/>
            </w:rPr>
          </w:pPr>
          <w:r>
            <w:rPr>
              <w:szCs w:val="18"/>
            </w:rPr>
            <w:t>Prinses Irenestraat 6</w:t>
          </w:r>
        </w:p>
        <w:p w14:paraId="5F11265C" w14:textId="77777777" w:rsidR="00E54D4D" w:rsidRPr="004213FB" w:rsidRDefault="00E54D4D" w:rsidP="00342F3B">
          <w:pPr>
            <w:rPr>
              <w:szCs w:val="18"/>
            </w:rPr>
          </w:pPr>
          <w:r>
            <w:t>2595 BD  DEN HAAG</w:t>
          </w:r>
        </w:p>
        <w:p w14:paraId="172773A7" w14:textId="77777777" w:rsidR="00527BD4" w:rsidRDefault="00527BD4" w:rsidP="00A50CF6">
          <w:pPr>
            <w:pStyle w:val="Huisstijl-NAW"/>
          </w:pPr>
        </w:p>
      </w:tc>
    </w:tr>
    <w:tr w:rsidR="0004537C" w14:paraId="0E41A7F7" w14:textId="77777777" w:rsidTr="0F53F9A8">
      <w:trPr>
        <w:trHeight w:hRule="exact" w:val="400"/>
      </w:trPr>
      <w:tc>
        <w:tcPr>
          <w:tcW w:w="7520" w:type="dxa"/>
          <w:gridSpan w:val="2"/>
        </w:tcPr>
        <w:p w14:paraId="2DE6E73C" w14:textId="77777777" w:rsidR="00527BD4" w:rsidRPr="00035E67" w:rsidRDefault="00527BD4" w:rsidP="008E702B">
          <w:pPr>
            <w:tabs>
              <w:tab w:val="left" w:pos="740"/>
            </w:tabs>
            <w:autoSpaceDE w:val="0"/>
            <w:autoSpaceDN w:val="0"/>
            <w:adjustRightInd w:val="0"/>
            <w:rPr>
              <w:rFonts w:cs="Verdana"/>
              <w:szCs w:val="18"/>
            </w:rPr>
          </w:pPr>
        </w:p>
      </w:tc>
    </w:tr>
    <w:tr w:rsidR="0004537C" w14:paraId="77BED899" w14:textId="77777777" w:rsidTr="0F53F9A8">
      <w:trPr>
        <w:trHeight w:val="240"/>
      </w:trPr>
      <w:tc>
        <w:tcPr>
          <w:tcW w:w="900" w:type="dxa"/>
        </w:tcPr>
        <w:p w14:paraId="07D566EE" w14:textId="77777777" w:rsidR="00527BD4" w:rsidRPr="007709EF" w:rsidRDefault="0F53F9A8" w:rsidP="00A50CF6">
          <w:pPr>
            <w:rPr>
              <w:szCs w:val="18"/>
            </w:rPr>
          </w:pPr>
          <w:r>
            <w:t>Datum</w:t>
          </w:r>
        </w:p>
      </w:tc>
      <w:tc>
        <w:tcPr>
          <w:tcW w:w="6620" w:type="dxa"/>
        </w:tcPr>
        <w:p w14:paraId="20DA74C8" w14:textId="5526F4F0" w:rsidR="00527BD4" w:rsidRPr="007709EF" w:rsidRDefault="00243097" w:rsidP="00A50CF6">
          <w:r>
            <w:t>2 november 2026</w:t>
          </w:r>
        </w:p>
      </w:tc>
    </w:tr>
    <w:tr w:rsidR="0004537C" w14:paraId="583A231F" w14:textId="77777777" w:rsidTr="0F53F9A8">
      <w:trPr>
        <w:trHeight w:val="240"/>
      </w:trPr>
      <w:tc>
        <w:tcPr>
          <w:tcW w:w="900" w:type="dxa"/>
        </w:tcPr>
        <w:p w14:paraId="6F884B68" w14:textId="77777777" w:rsidR="00527BD4" w:rsidRPr="007709EF" w:rsidRDefault="0F53F9A8" w:rsidP="00A50CF6">
          <w:pPr>
            <w:rPr>
              <w:szCs w:val="18"/>
            </w:rPr>
          </w:pPr>
          <w:r>
            <w:t>Betreft</w:t>
          </w:r>
        </w:p>
      </w:tc>
      <w:tc>
        <w:tcPr>
          <w:tcW w:w="6620" w:type="dxa"/>
        </w:tcPr>
        <w:p w14:paraId="5AC1CF4A" w14:textId="37715369" w:rsidR="00527BD4" w:rsidRPr="007709EF" w:rsidRDefault="00D67810" w:rsidP="00A50CF6">
          <w:r>
            <w:t>Circulaire hefboom</w:t>
          </w:r>
        </w:p>
      </w:tc>
    </w:tr>
  </w:tbl>
  <w:p w14:paraId="496242EA"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9468F8F2">
      <w:start w:val="1"/>
      <w:numFmt w:val="bullet"/>
      <w:pStyle w:val="Lijstopsomteken"/>
      <w:lvlText w:val="•"/>
      <w:lvlJc w:val="left"/>
      <w:pPr>
        <w:tabs>
          <w:tab w:val="num" w:pos="227"/>
        </w:tabs>
        <w:ind w:left="227" w:hanging="227"/>
      </w:pPr>
      <w:rPr>
        <w:rFonts w:ascii="Verdana" w:hAnsi="Verdana" w:hint="default"/>
        <w:sz w:val="18"/>
        <w:szCs w:val="18"/>
      </w:rPr>
    </w:lvl>
    <w:lvl w:ilvl="1" w:tplc="E0B8A816" w:tentative="1">
      <w:start w:val="1"/>
      <w:numFmt w:val="bullet"/>
      <w:lvlText w:val="o"/>
      <w:lvlJc w:val="left"/>
      <w:pPr>
        <w:tabs>
          <w:tab w:val="num" w:pos="1440"/>
        </w:tabs>
        <w:ind w:left="1440" w:hanging="360"/>
      </w:pPr>
      <w:rPr>
        <w:rFonts w:ascii="Courier New" w:hAnsi="Courier New" w:cs="Courier New" w:hint="default"/>
      </w:rPr>
    </w:lvl>
    <w:lvl w:ilvl="2" w:tplc="BFE8AE4C" w:tentative="1">
      <w:start w:val="1"/>
      <w:numFmt w:val="bullet"/>
      <w:lvlText w:val=""/>
      <w:lvlJc w:val="left"/>
      <w:pPr>
        <w:tabs>
          <w:tab w:val="num" w:pos="2160"/>
        </w:tabs>
        <w:ind w:left="2160" w:hanging="360"/>
      </w:pPr>
      <w:rPr>
        <w:rFonts w:ascii="Wingdings" w:hAnsi="Wingdings" w:hint="default"/>
      </w:rPr>
    </w:lvl>
    <w:lvl w:ilvl="3" w:tplc="26ECB97A" w:tentative="1">
      <w:start w:val="1"/>
      <w:numFmt w:val="bullet"/>
      <w:lvlText w:val=""/>
      <w:lvlJc w:val="left"/>
      <w:pPr>
        <w:tabs>
          <w:tab w:val="num" w:pos="2880"/>
        </w:tabs>
        <w:ind w:left="2880" w:hanging="360"/>
      </w:pPr>
      <w:rPr>
        <w:rFonts w:ascii="Symbol" w:hAnsi="Symbol" w:hint="default"/>
      </w:rPr>
    </w:lvl>
    <w:lvl w:ilvl="4" w:tplc="083C5E36" w:tentative="1">
      <w:start w:val="1"/>
      <w:numFmt w:val="bullet"/>
      <w:lvlText w:val="o"/>
      <w:lvlJc w:val="left"/>
      <w:pPr>
        <w:tabs>
          <w:tab w:val="num" w:pos="3600"/>
        </w:tabs>
        <w:ind w:left="3600" w:hanging="360"/>
      </w:pPr>
      <w:rPr>
        <w:rFonts w:ascii="Courier New" w:hAnsi="Courier New" w:cs="Courier New" w:hint="default"/>
      </w:rPr>
    </w:lvl>
    <w:lvl w:ilvl="5" w:tplc="D0FE411C" w:tentative="1">
      <w:start w:val="1"/>
      <w:numFmt w:val="bullet"/>
      <w:lvlText w:val=""/>
      <w:lvlJc w:val="left"/>
      <w:pPr>
        <w:tabs>
          <w:tab w:val="num" w:pos="4320"/>
        </w:tabs>
        <w:ind w:left="4320" w:hanging="360"/>
      </w:pPr>
      <w:rPr>
        <w:rFonts w:ascii="Wingdings" w:hAnsi="Wingdings" w:hint="default"/>
      </w:rPr>
    </w:lvl>
    <w:lvl w:ilvl="6" w:tplc="42EE04FA" w:tentative="1">
      <w:start w:val="1"/>
      <w:numFmt w:val="bullet"/>
      <w:lvlText w:val=""/>
      <w:lvlJc w:val="left"/>
      <w:pPr>
        <w:tabs>
          <w:tab w:val="num" w:pos="5040"/>
        </w:tabs>
        <w:ind w:left="5040" w:hanging="360"/>
      </w:pPr>
      <w:rPr>
        <w:rFonts w:ascii="Symbol" w:hAnsi="Symbol" w:hint="default"/>
      </w:rPr>
    </w:lvl>
    <w:lvl w:ilvl="7" w:tplc="28E07FD4" w:tentative="1">
      <w:start w:val="1"/>
      <w:numFmt w:val="bullet"/>
      <w:lvlText w:val="o"/>
      <w:lvlJc w:val="left"/>
      <w:pPr>
        <w:tabs>
          <w:tab w:val="num" w:pos="5760"/>
        </w:tabs>
        <w:ind w:left="5760" w:hanging="360"/>
      </w:pPr>
      <w:rPr>
        <w:rFonts w:ascii="Courier New" w:hAnsi="Courier New" w:cs="Courier New" w:hint="default"/>
      </w:rPr>
    </w:lvl>
    <w:lvl w:ilvl="8" w:tplc="7B166E9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B50484"/>
    <w:multiLevelType w:val="hybridMultilevel"/>
    <w:tmpl w:val="4FA01C50"/>
    <w:lvl w:ilvl="0" w:tplc="CC042F3A">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E555FEF"/>
    <w:multiLevelType w:val="hybridMultilevel"/>
    <w:tmpl w:val="50F0923E"/>
    <w:lvl w:ilvl="0" w:tplc="E27072C4">
      <w:start w:val="1"/>
      <w:numFmt w:val="bullet"/>
      <w:pStyle w:val="Lijstopsomteken2"/>
      <w:lvlText w:val="–"/>
      <w:lvlJc w:val="left"/>
      <w:pPr>
        <w:tabs>
          <w:tab w:val="num" w:pos="227"/>
        </w:tabs>
        <w:ind w:left="227" w:firstLine="0"/>
      </w:pPr>
      <w:rPr>
        <w:rFonts w:ascii="Verdana" w:hAnsi="Verdana" w:hint="default"/>
      </w:rPr>
    </w:lvl>
    <w:lvl w:ilvl="1" w:tplc="67FA7F1C" w:tentative="1">
      <w:start w:val="1"/>
      <w:numFmt w:val="bullet"/>
      <w:lvlText w:val="o"/>
      <w:lvlJc w:val="left"/>
      <w:pPr>
        <w:tabs>
          <w:tab w:val="num" w:pos="1440"/>
        </w:tabs>
        <w:ind w:left="1440" w:hanging="360"/>
      </w:pPr>
      <w:rPr>
        <w:rFonts w:ascii="Courier New" w:hAnsi="Courier New" w:cs="Courier New" w:hint="default"/>
      </w:rPr>
    </w:lvl>
    <w:lvl w:ilvl="2" w:tplc="D0CCB664" w:tentative="1">
      <w:start w:val="1"/>
      <w:numFmt w:val="bullet"/>
      <w:lvlText w:val=""/>
      <w:lvlJc w:val="left"/>
      <w:pPr>
        <w:tabs>
          <w:tab w:val="num" w:pos="2160"/>
        </w:tabs>
        <w:ind w:left="2160" w:hanging="360"/>
      </w:pPr>
      <w:rPr>
        <w:rFonts w:ascii="Wingdings" w:hAnsi="Wingdings" w:hint="default"/>
      </w:rPr>
    </w:lvl>
    <w:lvl w:ilvl="3" w:tplc="A5BA3C06" w:tentative="1">
      <w:start w:val="1"/>
      <w:numFmt w:val="bullet"/>
      <w:lvlText w:val=""/>
      <w:lvlJc w:val="left"/>
      <w:pPr>
        <w:tabs>
          <w:tab w:val="num" w:pos="2880"/>
        </w:tabs>
        <w:ind w:left="2880" w:hanging="360"/>
      </w:pPr>
      <w:rPr>
        <w:rFonts w:ascii="Symbol" w:hAnsi="Symbol" w:hint="default"/>
      </w:rPr>
    </w:lvl>
    <w:lvl w:ilvl="4" w:tplc="34AC1616" w:tentative="1">
      <w:start w:val="1"/>
      <w:numFmt w:val="bullet"/>
      <w:lvlText w:val="o"/>
      <w:lvlJc w:val="left"/>
      <w:pPr>
        <w:tabs>
          <w:tab w:val="num" w:pos="3600"/>
        </w:tabs>
        <w:ind w:left="3600" w:hanging="360"/>
      </w:pPr>
      <w:rPr>
        <w:rFonts w:ascii="Courier New" w:hAnsi="Courier New" w:cs="Courier New" w:hint="default"/>
      </w:rPr>
    </w:lvl>
    <w:lvl w:ilvl="5" w:tplc="9D065C9A" w:tentative="1">
      <w:start w:val="1"/>
      <w:numFmt w:val="bullet"/>
      <w:lvlText w:val=""/>
      <w:lvlJc w:val="left"/>
      <w:pPr>
        <w:tabs>
          <w:tab w:val="num" w:pos="4320"/>
        </w:tabs>
        <w:ind w:left="4320" w:hanging="360"/>
      </w:pPr>
      <w:rPr>
        <w:rFonts w:ascii="Wingdings" w:hAnsi="Wingdings" w:hint="default"/>
      </w:rPr>
    </w:lvl>
    <w:lvl w:ilvl="6" w:tplc="DCFE85E8" w:tentative="1">
      <w:start w:val="1"/>
      <w:numFmt w:val="bullet"/>
      <w:lvlText w:val=""/>
      <w:lvlJc w:val="left"/>
      <w:pPr>
        <w:tabs>
          <w:tab w:val="num" w:pos="5040"/>
        </w:tabs>
        <w:ind w:left="5040" w:hanging="360"/>
      </w:pPr>
      <w:rPr>
        <w:rFonts w:ascii="Symbol" w:hAnsi="Symbol" w:hint="default"/>
      </w:rPr>
    </w:lvl>
    <w:lvl w:ilvl="7" w:tplc="90347ED8" w:tentative="1">
      <w:start w:val="1"/>
      <w:numFmt w:val="bullet"/>
      <w:lvlText w:val="o"/>
      <w:lvlJc w:val="left"/>
      <w:pPr>
        <w:tabs>
          <w:tab w:val="num" w:pos="5760"/>
        </w:tabs>
        <w:ind w:left="5760" w:hanging="360"/>
      </w:pPr>
      <w:rPr>
        <w:rFonts w:ascii="Courier New" w:hAnsi="Courier New" w:cs="Courier New" w:hint="default"/>
      </w:rPr>
    </w:lvl>
    <w:lvl w:ilvl="8" w:tplc="BD6C665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141082"/>
    <w:multiLevelType w:val="hybridMultilevel"/>
    <w:tmpl w:val="E938897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5" w15:restartNumberingAfterBreak="0">
    <w:nsid w:val="35D7496B"/>
    <w:multiLevelType w:val="hybridMultilevel"/>
    <w:tmpl w:val="A920AFD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40C91AB2"/>
    <w:multiLevelType w:val="hybridMultilevel"/>
    <w:tmpl w:val="1A9AD608"/>
    <w:lvl w:ilvl="0" w:tplc="1F66E468">
      <w:start w:val="1"/>
      <w:numFmt w:val="decimal"/>
      <w:lvlText w:val="%1."/>
      <w:lvlJc w:val="left"/>
      <w:pPr>
        <w:ind w:left="1070" w:hanging="71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7" w15:restartNumberingAfterBreak="0">
    <w:nsid w:val="46D5223B"/>
    <w:multiLevelType w:val="hybridMultilevel"/>
    <w:tmpl w:val="B420C84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82A453C"/>
    <w:multiLevelType w:val="hybridMultilevel"/>
    <w:tmpl w:val="A10E249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1427AAF"/>
    <w:multiLevelType w:val="hybridMultilevel"/>
    <w:tmpl w:val="8C448128"/>
    <w:lvl w:ilvl="0" w:tplc="4F446CC8">
      <w:start w:val="4"/>
      <w:numFmt w:val="bullet"/>
      <w:lvlText w:val="-"/>
      <w:lvlJc w:val="left"/>
      <w:pPr>
        <w:ind w:left="720" w:hanging="360"/>
      </w:pPr>
      <w:rPr>
        <w:rFonts w:ascii="Verdana" w:eastAsia="Times New Roman" w:hAnsi="Verdana" w:cs="Times New Roman"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DC90571"/>
    <w:multiLevelType w:val="hybridMultilevel"/>
    <w:tmpl w:val="E6864764"/>
    <w:lvl w:ilvl="0" w:tplc="04130001">
      <w:start w:val="1"/>
      <w:numFmt w:val="bullet"/>
      <w:lvlText w:val=""/>
      <w:lvlJc w:val="left"/>
      <w:pPr>
        <w:ind w:left="787" w:hanging="360"/>
      </w:pPr>
      <w:rPr>
        <w:rFonts w:ascii="Symbol" w:hAnsi="Symbol" w:hint="default"/>
      </w:rPr>
    </w:lvl>
    <w:lvl w:ilvl="1" w:tplc="04130003" w:tentative="1">
      <w:start w:val="1"/>
      <w:numFmt w:val="bullet"/>
      <w:lvlText w:val="o"/>
      <w:lvlJc w:val="left"/>
      <w:pPr>
        <w:ind w:left="1507" w:hanging="360"/>
      </w:pPr>
      <w:rPr>
        <w:rFonts w:ascii="Courier New" w:hAnsi="Courier New" w:cs="Courier New" w:hint="default"/>
      </w:rPr>
    </w:lvl>
    <w:lvl w:ilvl="2" w:tplc="04130005" w:tentative="1">
      <w:start w:val="1"/>
      <w:numFmt w:val="bullet"/>
      <w:lvlText w:val=""/>
      <w:lvlJc w:val="left"/>
      <w:pPr>
        <w:ind w:left="2227" w:hanging="360"/>
      </w:pPr>
      <w:rPr>
        <w:rFonts w:ascii="Wingdings" w:hAnsi="Wingdings" w:hint="default"/>
      </w:rPr>
    </w:lvl>
    <w:lvl w:ilvl="3" w:tplc="04130001" w:tentative="1">
      <w:start w:val="1"/>
      <w:numFmt w:val="bullet"/>
      <w:lvlText w:val=""/>
      <w:lvlJc w:val="left"/>
      <w:pPr>
        <w:ind w:left="2947" w:hanging="360"/>
      </w:pPr>
      <w:rPr>
        <w:rFonts w:ascii="Symbol" w:hAnsi="Symbol" w:hint="default"/>
      </w:rPr>
    </w:lvl>
    <w:lvl w:ilvl="4" w:tplc="04130003" w:tentative="1">
      <w:start w:val="1"/>
      <w:numFmt w:val="bullet"/>
      <w:lvlText w:val="o"/>
      <w:lvlJc w:val="left"/>
      <w:pPr>
        <w:ind w:left="3667" w:hanging="360"/>
      </w:pPr>
      <w:rPr>
        <w:rFonts w:ascii="Courier New" w:hAnsi="Courier New" w:cs="Courier New" w:hint="default"/>
      </w:rPr>
    </w:lvl>
    <w:lvl w:ilvl="5" w:tplc="04130005" w:tentative="1">
      <w:start w:val="1"/>
      <w:numFmt w:val="bullet"/>
      <w:lvlText w:val=""/>
      <w:lvlJc w:val="left"/>
      <w:pPr>
        <w:ind w:left="4387" w:hanging="360"/>
      </w:pPr>
      <w:rPr>
        <w:rFonts w:ascii="Wingdings" w:hAnsi="Wingdings" w:hint="default"/>
      </w:rPr>
    </w:lvl>
    <w:lvl w:ilvl="6" w:tplc="04130001" w:tentative="1">
      <w:start w:val="1"/>
      <w:numFmt w:val="bullet"/>
      <w:lvlText w:val=""/>
      <w:lvlJc w:val="left"/>
      <w:pPr>
        <w:ind w:left="5107" w:hanging="360"/>
      </w:pPr>
      <w:rPr>
        <w:rFonts w:ascii="Symbol" w:hAnsi="Symbol" w:hint="default"/>
      </w:rPr>
    </w:lvl>
    <w:lvl w:ilvl="7" w:tplc="04130003" w:tentative="1">
      <w:start w:val="1"/>
      <w:numFmt w:val="bullet"/>
      <w:lvlText w:val="o"/>
      <w:lvlJc w:val="left"/>
      <w:pPr>
        <w:ind w:left="5827" w:hanging="360"/>
      </w:pPr>
      <w:rPr>
        <w:rFonts w:ascii="Courier New" w:hAnsi="Courier New" w:cs="Courier New" w:hint="default"/>
      </w:rPr>
    </w:lvl>
    <w:lvl w:ilvl="8" w:tplc="04130005" w:tentative="1">
      <w:start w:val="1"/>
      <w:numFmt w:val="bullet"/>
      <w:lvlText w:val=""/>
      <w:lvlJc w:val="left"/>
      <w:pPr>
        <w:ind w:left="6547" w:hanging="360"/>
      </w:pPr>
      <w:rPr>
        <w:rFonts w:ascii="Wingdings" w:hAnsi="Wingdings" w:hint="default"/>
      </w:rPr>
    </w:lvl>
  </w:abstractNum>
  <w:abstractNum w:abstractNumId="22" w15:restartNumberingAfterBreak="0">
    <w:nsid w:val="78FE7FC7"/>
    <w:multiLevelType w:val="hybridMultilevel"/>
    <w:tmpl w:val="AC442D32"/>
    <w:lvl w:ilvl="0" w:tplc="04130003">
      <w:start w:val="1"/>
      <w:numFmt w:val="bullet"/>
      <w:lvlText w:val="o"/>
      <w:lvlJc w:val="left"/>
      <w:pPr>
        <w:ind w:left="1429" w:hanging="360"/>
      </w:pPr>
      <w:rPr>
        <w:rFonts w:ascii="Courier New" w:hAnsi="Courier New" w:cs="Courier New"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num w:numId="1" w16cid:durableId="973366595">
    <w:abstractNumId w:val="10"/>
  </w:num>
  <w:num w:numId="2" w16cid:durableId="139004163">
    <w:abstractNumId w:val="7"/>
  </w:num>
  <w:num w:numId="3" w16cid:durableId="1402172324">
    <w:abstractNumId w:val="6"/>
  </w:num>
  <w:num w:numId="4" w16cid:durableId="735207123">
    <w:abstractNumId w:val="5"/>
  </w:num>
  <w:num w:numId="5" w16cid:durableId="391925550">
    <w:abstractNumId w:val="4"/>
  </w:num>
  <w:num w:numId="6" w16cid:durableId="468012042">
    <w:abstractNumId w:val="8"/>
  </w:num>
  <w:num w:numId="7" w16cid:durableId="1345790281">
    <w:abstractNumId w:val="3"/>
  </w:num>
  <w:num w:numId="8" w16cid:durableId="1041250116">
    <w:abstractNumId w:val="2"/>
  </w:num>
  <w:num w:numId="9" w16cid:durableId="932473031">
    <w:abstractNumId w:val="1"/>
  </w:num>
  <w:num w:numId="10" w16cid:durableId="1477532933">
    <w:abstractNumId w:val="0"/>
  </w:num>
  <w:num w:numId="11" w16cid:durableId="1683237226">
    <w:abstractNumId w:val="9"/>
  </w:num>
  <w:num w:numId="12" w16cid:durableId="2058431322">
    <w:abstractNumId w:val="11"/>
  </w:num>
  <w:num w:numId="13" w16cid:durableId="1475368783">
    <w:abstractNumId w:val="19"/>
  </w:num>
  <w:num w:numId="14" w16cid:durableId="1994479271">
    <w:abstractNumId w:val="13"/>
  </w:num>
  <w:num w:numId="15" w16cid:durableId="196746504">
    <w:abstractNumId w:val="21"/>
  </w:num>
  <w:num w:numId="16" w16cid:durableId="189222631">
    <w:abstractNumId w:val="20"/>
  </w:num>
  <w:num w:numId="17" w16cid:durableId="1085033890">
    <w:abstractNumId w:val="17"/>
  </w:num>
  <w:num w:numId="18" w16cid:durableId="1849323942">
    <w:abstractNumId w:val="18"/>
  </w:num>
  <w:num w:numId="19" w16cid:durableId="928853147">
    <w:abstractNumId w:val="22"/>
  </w:num>
  <w:num w:numId="20" w16cid:durableId="1447848825">
    <w:abstractNumId w:val="14"/>
  </w:num>
  <w:num w:numId="21" w16cid:durableId="8787850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8429831">
    <w:abstractNumId w:val="15"/>
  </w:num>
  <w:num w:numId="23" w16cid:durableId="801582962">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095E"/>
    <w:rsid w:val="00001007"/>
    <w:rsid w:val="0000430C"/>
    <w:rsid w:val="000049FB"/>
    <w:rsid w:val="00006BCC"/>
    <w:rsid w:val="0001160B"/>
    <w:rsid w:val="000116E0"/>
    <w:rsid w:val="00012665"/>
    <w:rsid w:val="00013862"/>
    <w:rsid w:val="00013F6D"/>
    <w:rsid w:val="00016012"/>
    <w:rsid w:val="00020189"/>
    <w:rsid w:val="00020EE4"/>
    <w:rsid w:val="00023E9A"/>
    <w:rsid w:val="00033CDD"/>
    <w:rsid w:val="00034A84"/>
    <w:rsid w:val="00035E67"/>
    <w:rsid w:val="000366F3"/>
    <w:rsid w:val="00044DD2"/>
    <w:rsid w:val="0004537C"/>
    <w:rsid w:val="00046BDF"/>
    <w:rsid w:val="00057135"/>
    <w:rsid w:val="0006024D"/>
    <w:rsid w:val="000604CC"/>
    <w:rsid w:val="00061145"/>
    <w:rsid w:val="000639A7"/>
    <w:rsid w:val="00065086"/>
    <w:rsid w:val="0006581E"/>
    <w:rsid w:val="00070AFD"/>
    <w:rsid w:val="00071D7B"/>
    <w:rsid w:val="00071F28"/>
    <w:rsid w:val="00074079"/>
    <w:rsid w:val="00083D43"/>
    <w:rsid w:val="000849F6"/>
    <w:rsid w:val="0009080A"/>
    <w:rsid w:val="00091B77"/>
    <w:rsid w:val="00092799"/>
    <w:rsid w:val="00092C5F"/>
    <w:rsid w:val="00096680"/>
    <w:rsid w:val="000976E4"/>
    <w:rsid w:val="000A022E"/>
    <w:rsid w:val="000A0B7D"/>
    <w:rsid w:val="000A0F36"/>
    <w:rsid w:val="000A174A"/>
    <w:rsid w:val="000A3E0A"/>
    <w:rsid w:val="000A65AC"/>
    <w:rsid w:val="000A7159"/>
    <w:rsid w:val="000A743F"/>
    <w:rsid w:val="000B4DD7"/>
    <w:rsid w:val="000B7281"/>
    <w:rsid w:val="000B7FAB"/>
    <w:rsid w:val="000C0163"/>
    <w:rsid w:val="000C1BA1"/>
    <w:rsid w:val="000C2C5D"/>
    <w:rsid w:val="000C30BE"/>
    <w:rsid w:val="000C3EA9"/>
    <w:rsid w:val="000D0225"/>
    <w:rsid w:val="000D4570"/>
    <w:rsid w:val="000D568E"/>
    <w:rsid w:val="000D5BA6"/>
    <w:rsid w:val="000E64DB"/>
    <w:rsid w:val="000E7070"/>
    <w:rsid w:val="000E751A"/>
    <w:rsid w:val="000E7895"/>
    <w:rsid w:val="000F0F38"/>
    <w:rsid w:val="000F161D"/>
    <w:rsid w:val="000F2599"/>
    <w:rsid w:val="000F3CAA"/>
    <w:rsid w:val="000F5D2F"/>
    <w:rsid w:val="0010096F"/>
    <w:rsid w:val="00102ABB"/>
    <w:rsid w:val="001044CC"/>
    <w:rsid w:val="001072B5"/>
    <w:rsid w:val="00111ACC"/>
    <w:rsid w:val="001144EB"/>
    <w:rsid w:val="00120306"/>
    <w:rsid w:val="00121BF0"/>
    <w:rsid w:val="00123704"/>
    <w:rsid w:val="001264A6"/>
    <w:rsid w:val="001270C7"/>
    <w:rsid w:val="00127257"/>
    <w:rsid w:val="00130633"/>
    <w:rsid w:val="00130797"/>
    <w:rsid w:val="00132540"/>
    <w:rsid w:val="00133F0F"/>
    <w:rsid w:val="00137274"/>
    <w:rsid w:val="001408D1"/>
    <w:rsid w:val="00144435"/>
    <w:rsid w:val="0014462A"/>
    <w:rsid w:val="0014509D"/>
    <w:rsid w:val="0014786A"/>
    <w:rsid w:val="001516A4"/>
    <w:rsid w:val="00151E5F"/>
    <w:rsid w:val="00153E28"/>
    <w:rsid w:val="001542C7"/>
    <w:rsid w:val="001569AB"/>
    <w:rsid w:val="0016073F"/>
    <w:rsid w:val="00162391"/>
    <w:rsid w:val="00164D63"/>
    <w:rsid w:val="0016725C"/>
    <w:rsid w:val="001726F3"/>
    <w:rsid w:val="00173C51"/>
    <w:rsid w:val="00174CC2"/>
    <w:rsid w:val="00176CC6"/>
    <w:rsid w:val="00181BE4"/>
    <w:rsid w:val="00185576"/>
    <w:rsid w:val="00185951"/>
    <w:rsid w:val="001879BD"/>
    <w:rsid w:val="0019153A"/>
    <w:rsid w:val="0019683A"/>
    <w:rsid w:val="00196B8B"/>
    <w:rsid w:val="001A2BEA"/>
    <w:rsid w:val="001A3EFE"/>
    <w:rsid w:val="001A59F1"/>
    <w:rsid w:val="001A6D93"/>
    <w:rsid w:val="001B201D"/>
    <w:rsid w:val="001B60CB"/>
    <w:rsid w:val="001B60F3"/>
    <w:rsid w:val="001C071E"/>
    <w:rsid w:val="001C2DBD"/>
    <w:rsid w:val="001C32EC"/>
    <w:rsid w:val="001C38BD"/>
    <w:rsid w:val="001C4D5A"/>
    <w:rsid w:val="001C69AB"/>
    <w:rsid w:val="001C70DC"/>
    <w:rsid w:val="001C7F39"/>
    <w:rsid w:val="001D1272"/>
    <w:rsid w:val="001D29ED"/>
    <w:rsid w:val="001D5975"/>
    <w:rsid w:val="001D7B44"/>
    <w:rsid w:val="001E1F20"/>
    <w:rsid w:val="001E279E"/>
    <w:rsid w:val="001E34C6"/>
    <w:rsid w:val="001E5581"/>
    <w:rsid w:val="001F3147"/>
    <w:rsid w:val="001F3C70"/>
    <w:rsid w:val="001F603A"/>
    <w:rsid w:val="001F7EEE"/>
    <w:rsid w:val="00200151"/>
    <w:rsid w:val="00200D88"/>
    <w:rsid w:val="002013B2"/>
    <w:rsid w:val="00201F68"/>
    <w:rsid w:val="00203237"/>
    <w:rsid w:val="00203ABA"/>
    <w:rsid w:val="00203BAB"/>
    <w:rsid w:val="00204AE0"/>
    <w:rsid w:val="00206FA7"/>
    <w:rsid w:val="00207CA2"/>
    <w:rsid w:val="00212F2A"/>
    <w:rsid w:val="002140A3"/>
    <w:rsid w:val="00214F2B"/>
    <w:rsid w:val="00217880"/>
    <w:rsid w:val="00221C06"/>
    <w:rsid w:val="00222D66"/>
    <w:rsid w:val="00224A8A"/>
    <w:rsid w:val="00225304"/>
    <w:rsid w:val="002309A8"/>
    <w:rsid w:val="002325A4"/>
    <w:rsid w:val="002329E5"/>
    <w:rsid w:val="00236499"/>
    <w:rsid w:val="002369BF"/>
    <w:rsid w:val="00236CFE"/>
    <w:rsid w:val="00241D72"/>
    <w:rsid w:val="002428E3"/>
    <w:rsid w:val="00243031"/>
    <w:rsid w:val="00243097"/>
    <w:rsid w:val="00244E80"/>
    <w:rsid w:val="00246FD2"/>
    <w:rsid w:val="00256CF1"/>
    <w:rsid w:val="00260BAF"/>
    <w:rsid w:val="002626E9"/>
    <w:rsid w:val="002650F7"/>
    <w:rsid w:val="00266C08"/>
    <w:rsid w:val="002729EB"/>
    <w:rsid w:val="00273F3B"/>
    <w:rsid w:val="00274A52"/>
    <w:rsid w:val="00274DB7"/>
    <w:rsid w:val="002757F3"/>
    <w:rsid w:val="00275984"/>
    <w:rsid w:val="002775A2"/>
    <w:rsid w:val="00280E0A"/>
    <w:rsid w:val="00280F74"/>
    <w:rsid w:val="00281EED"/>
    <w:rsid w:val="002822CA"/>
    <w:rsid w:val="002845BC"/>
    <w:rsid w:val="0028594A"/>
    <w:rsid w:val="00286998"/>
    <w:rsid w:val="00291AB7"/>
    <w:rsid w:val="00292EB2"/>
    <w:rsid w:val="0029422B"/>
    <w:rsid w:val="002955ED"/>
    <w:rsid w:val="0029571E"/>
    <w:rsid w:val="00297472"/>
    <w:rsid w:val="00297C2E"/>
    <w:rsid w:val="002A0938"/>
    <w:rsid w:val="002A6D72"/>
    <w:rsid w:val="002B153C"/>
    <w:rsid w:val="002B52FC"/>
    <w:rsid w:val="002B6596"/>
    <w:rsid w:val="002C2830"/>
    <w:rsid w:val="002C7134"/>
    <w:rsid w:val="002D001A"/>
    <w:rsid w:val="002D28E2"/>
    <w:rsid w:val="002D317B"/>
    <w:rsid w:val="002D3587"/>
    <w:rsid w:val="002D3889"/>
    <w:rsid w:val="002D44D1"/>
    <w:rsid w:val="002D502D"/>
    <w:rsid w:val="002E009F"/>
    <w:rsid w:val="002E0F69"/>
    <w:rsid w:val="002E11D4"/>
    <w:rsid w:val="002F2FAB"/>
    <w:rsid w:val="002F5147"/>
    <w:rsid w:val="002F6606"/>
    <w:rsid w:val="002F7ABD"/>
    <w:rsid w:val="00303490"/>
    <w:rsid w:val="0030406E"/>
    <w:rsid w:val="00311534"/>
    <w:rsid w:val="00312597"/>
    <w:rsid w:val="00314106"/>
    <w:rsid w:val="00320474"/>
    <w:rsid w:val="0032535A"/>
    <w:rsid w:val="0032674D"/>
    <w:rsid w:val="00327BA5"/>
    <w:rsid w:val="00327CE9"/>
    <w:rsid w:val="0033260B"/>
    <w:rsid w:val="0033326F"/>
    <w:rsid w:val="00334154"/>
    <w:rsid w:val="00334AC0"/>
    <w:rsid w:val="003372C4"/>
    <w:rsid w:val="00340ECA"/>
    <w:rsid w:val="00341FA0"/>
    <w:rsid w:val="0034342D"/>
    <w:rsid w:val="00344F3D"/>
    <w:rsid w:val="00345299"/>
    <w:rsid w:val="00351A8D"/>
    <w:rsid w:val="003526BB"/>
    <w:rsid w:val="00352BCF"/>
    <w:rsid w:val="00352DFB"/>
    <w:rsid w:val="00353932"/>
    <w:rsid w:val="00353B15"/>
    <w:rsid w:val="0035464B"/>
    <w:rsid w:val="00361A56"/>
    <w:rsid w:val="0036252A"/>
    <w:rsid w:val="00364D9D"/>
    <w:rsid w:val="00365934"/>
    <w:rsid w:val="00367F16"/>
    <w:rsid w:val="00371048"/>
    <w:rsid w:val="0037118C"/>
    <w:rsid w:val="0037396C"/>
    <w:rsid w:val="0037421D"/>
    <w:rsid w:val="0037606E"/>
    <w:rsid w:val="00376093"/>
    <w:rsid w:val="00376743"/>
    <w:rsid w:val="00377787"/>
    <w:rsid w:val="003779BE"/>
    <w:rsid w:val="00382221"/>
    <w:rsid w:val="00383278"/>
    <w:rsid w:val="00383DA1"/>
    <w:rsid w:val="00385F30"/>
    <w:rsid w:val="00387540"/>
    <w:rsid w:val="00390667"/>
    <w:rsid w:val="00393696"/>
    <w:rsid w:val="00393963"/>
    <w:rsid w:val="0039531B"/>
    <w:rsid w:val="00395575"/>
    <w:rsid w:val="00395672"/>
    <w:rsid w:val="00396A8F"/>
    <w:rsid w:val="003A06C8"/>
    <w:rsid w:val="003A0D7C"/>
    <w:rsid w:val="003A3C85"/>
    <w:rsid w:val="003A51B3"/>
    <w:rsid w:val="003A5290"/>
    <w:rsid w:val="003A7F42"/>
    <w:rsid w:val="003B0155"/>
    <w:rsid w:val="003B03DA"/>
    <w:rsid w:val="003B0E76"/>
    <w:rsid w:val="003B669A"/>
    <w:rsid w:val="003B7EE7"/>
    <w:rsid w:val="003C2CCB"/>
    <w:rsid w:val="003C6AA0"/>
    <w:rsid w:val="003D39EC"/>
    <w:rsid w:val="003D5DED"/>
    <w:rsid w:val="003D65ED"/>
    <w:rsid w:val="003D7AD0"/>
    <w:rsid w:val="003E240D"/>
    <w:rsid w:val="003E3CC2"/>
    <w:rsid w:val="003E3DD5"/>
    <w:rsid w:val="003E5132"/>
    <w:rsid w:val="003E73D6"/>
    <w:rsid w:val="003E7777"/>
    <w:rsid w:val="003F07C6"/>
    <w:rsid w:val="003F1F6B"/>
    <w:rsid w:val="003F3757"/>
    <w:rsid w:val="003F38BD"/>
    <w:rsid w:val="003F44B7"/>
    <w:rsid w:val="003F5555"/>
    <w:rsid w:val="004008E9"/>
    <w:rsid w:val="0041259F"/>
    <w:rsid w:val="00413D48"/>
    <w:rsid w:val="00417FDC"/>
    <w:rsid w:val="004235C9"/>
    <w:rsid w:val="0042507C"/>
    <w:rsid w:val="00433329"/>
    <w:rsid w:val="00435775"/>
    <w:rsid w:val="00435AAF"/>
    <w:rsid w:val="004413FA"/>
    <w:rsid w:val="00441AC2"/>
    <w:rsid w:val="0044249B"/>
    <w:rsid w:val="004425CC"/>
    <w:rsid w:val="00450043"/>
    <w:rsid w:val="0045023C"/>
    <w:rsid w:val="00451A5B"/>
    <w:rsid w:val="00451FA1"/>
    <w:rsid w:val="00452BCD"/>
    <w:rsid w:val="00452CEA"/>
    <w:rsid w:val="00456F4F"/>
    <w:rsid w:val="00457D0C"/>
    <w:rsid w:val="00460871"/>
    <w:rsid w:val="00465B52"/>
    <w:rsid w:val="0046708E"/>
    <w:rsid w:val="0046793F"/>
    <w:rsid w:val="00472A65"/>
    <w:rsid w:val="00473186"/>
    <w:rsid w:val="00473274"/>
    <w:rsid w:val="00474463"/>
    <w:rsid w:val="00474B75"/>
    <w:rsid w:val="0047557D"/>
    <w:rsid w:val="004839A6"/>
    <w:rsid w:val="00483F0B"/>
    <w:rsid w:val="004873B2"/>
    <w:rsid w:val="00493DA9"/>
    <w:rsid w:val="00496319"/>
    <w:rsid w:val="00497279"/>
    <w:rsid w:val="00497AFE"/>
    <w:rsid w:val="004A163B"/>
    <w:rsid w:val="004A2A65"/>
    <w:rsid w:val="004A4B34"/>
    <w:rsid w:val="004A4DF4"/>
    <w:rsid w:val="004A665C"/>
    <w:rsid w:val="004A670A"/>
    <w:rsid w:val="004B4026"/>
    <w:rsid w:val="004B5465"/>
    <w:rsid w:val="004B6DC2"/>
    <w:rsid w:val="004B70F0"/>
    <w:rsid w:val="004C21A8"/>
    <w:rsid w:val="004C6A01"/>
    <w:rsid w:val="004D1F48"/>
    <w:rsid w:val="004D505E"/>
    <w:rsid w:val="004D5D00"/>
    <w:rsid w:val="004D72CA"/>
    <w:rsid w:val="004E2242"/>
    <w:rsid w:val="004E5A5C"/>
    <w:rsid w:val="004F42FF"/>
    <w:rsid w:val="004F44C2"/>
    <w:rsid w:val="005010B8"/>
    <w:rsid w:val="0050211B"/>
    <w:rsid w:val="00502512"/>
    <w:rsid w:val="00503FD2"/>
    <w:rsid w:val="00504F35"/>
    <w:rsid w:val="00505262"/>
    <w:rsid w:val="00516022"/>
    <w:rsid w:val="00521CEE"/>
    <w:rsid w:val="00522D6C"/>
    <w:rsid w:val="005236B1"/>
    <w:rsid w:val="005258FE"/>
    <w:rsid w:val="00527BD4"/>
    <w:rsid w:val="005330E6"/>
    <w:rsid w:val="00534B6F"/>
    <w:rsid w:val="00535BCE"/>
    <w:rsid w:val="00537055"/>
    <w:rsid w:val="00537095"/>
    <w:rsid w:val="00537F7B"/>
    <w:rsid w:val="005403C8"/>
    <w:rsid w:val="005429DC"/>
    <w:rsid w:val="00547107"/>
    <w:rsid w:val="00547759"/>
    <w:rsid w:val="005540A0"/>
    <w:rsid w:val="00555B96"/>
    <w:rsid w:val="005565F9"/>
    <w:rsid w:val="00566198"/>
    <w:rsid w:val="0056766C"/>
    <w:rsid w:val="00573041"/>
    <w:rsid w:val="00575B80"/>
    <w:rsid w:val="0057620F"/>
    <w:rsid w:val="005809E6"/>
    <w:rsid w:val="005819CE"/>
    <w:rsid w:val="0058298D"/>
    <w:rsid w:val="00584317"/>
    <w:rsid w:val="00584BFE"/>
    <w:rsid w:val="00584C1A"/>
    <w:rsid w:val="00587634"/>
    <w:rsid w:val="00593C2B"/>
    <w:rsid w:val="00595231"/>
    <w:rsid w:val="00596166"/>
    <w:rsid w:val="00596D03"/>
    <w:rsid w:val="00597F64"/>
    <w:rsid w:val="005A207F"/>
    <w:rsid w:val="005A2F35"/>
    <w:rsid w:val="005B026F"/>
    <w:rsid w:val="005B12B9"/>
    <w:rsid w:val="005B17D1"/>
    <w:rsid w:val="005B3814"/>
    <w:rsid w:val="005B463E"/>
    <w:rsid w:val="005B5140"/>
    <w:rsid w:val="005C2F6C"/>
    <w:rsid w:val="005C34E1"/>
    <w:rsid w:val="005C3FE0"/>
    <w:rsid w:val="005C4640"/>
    <w:rsid w:val="005C740C"/>
    <w:rsid w:val="005D14BB"/>
    <w:rsid w:val="005D160B"/>
    <w:rsid w:val="005D1A36"/>
    <w:rsid w:val="005D625B"/>
    <w:rsid w:val="005D68E3"/>
    <w:rsid w:val="005D6975"/>
    <w:rsid w:val="005D6FBD"/>
    <w:rsid w:val="005D7BC0"/>
    <w:rsid w:val="005E1DDF"/>
    <w:rsid w:val="005E71A3"/>
    <w:rsid w:val="005F3E10"/>
    <w:rsid w:val="005F49B1"/>
    <w:rsid w:val="005F62D3"/>
    <w:rsid w:val="005F67FF"/>
    <w:rsid w:val="005F6D11"/>
    <w:rsid w:val="005F7C64"/>
    <w:rsid w:val="005F7CD1"/>
    <w:rsid w:val="00600CF0"/>
    <w:rsid w:val="0060152A"/>
    <w:rsid w:val="006048F4"/>
    <w:rsid w:val="0060638C"/>
    <w:rsid w:val="0060660A"/>
    <w:rsid w:val="006066CF"/>
    <w:rsid w:val="00613B1D"/>
    <w:rsid w:val="00617A44"/>
    <w:rsid w:val="006202B6"/>
    <w:rsid w:val="00625CD0"/>
    <w:rsid w:val="0062627D"/>
    <w:rsid w:val="00627432"/>
    <w:rsid w:val="0063058D"/>
    <w:rsid w:val="00640BD9"/>
    <w:rsid w:val="00643FAA"/>
    <w:rsid w:val="006448E4"/>
    <w:rsid w:val="00644FEE"/>
    <w:rsid w:val="00645414"/>
    <w:rsid w:val="00650258"/>
    <w:rsid w:val="00651CEE"/>
    <w:rsid w:val="00653606"/>
    <w:rsid w:val="006610E9"/>
    <w:rsid w:val="00661591"/>
    <w:rsid w:val="0066237D"/>
    <w:rsid w:val="00664555"/>
    <w:rsid w:val="00664678"/>
    <w:rsid w:val="006659A3"/>
    <w:rsid w:val="0066632F"/>
    <w:rsid w:val="006705DD"/>
    <w:rsid w:val="00674A89"/>
    <w:rsid w:val="00674F3D"/>
    <w:rsid w:val="0067691F"/>
    <w:rsid w:val="00684188"/>
    <w:rsid w:val="00685545"/>
    <w:rsid w:val="006864B3"/>
    <w:rsid w:val="0069249C"/>
    <w:rsid w:val="0069262B"/>
    <w:rsid w:val="00692BB2"/>
    <w:rsid w:val="00692D64"/>
    <w:rsid w:val="00692D99"/>
    <w:rsid w:val="006A013B"/>
    <w:rsid w:val="006A10F8"/>
    <w:rsid w:val="006A17AA"/>
    <w:rsid w:val="006A1B05"/>
    <w:rsid w:val="006A2100"/>
    <w:rsid w:val="006A2595"/>
    <w:rsid w:val="006A5C3B"/>
    <w:rsid w:val="006A72E0"/>
    <w:rsid w:val="006A7416"/>
    <w:rsid w:val="006A74CB"/>
    <w:rsid w:val="006B0BF3"/>
    <w:rsid w:val="006B1271"/>
    <w:rsid w:val="006B25AA"/>
    <w:rsid w:val="006B33D7"/>
    <w:rsid w:val="006B39FA"/>
    <w:rsid w:val="006B3C17"/>
    <w:rsid w:val="006B4CA7"/>
    <w:rsid w:val="006B775E"/>
    <w:rsid w:val="006B7BC7"/>
    <w:rsid w:val="006C1D43"/>
    <w:rsid w:val="006C2535"/>
    <w:rsid w:val="006C441E"/>
    <w:rsid w:val="006C4B44"/>
    <w:rsid w:val="006C4B90"/>
    <w:rsid w:val="006D1016"/>
    <w:rsid w:val="006D17F2"/>
    <w:rsid w:val="006D1E04"/>
    <w:rsid w:val="006D1FDB"/>
    <w:rsid w:val="006D433C"/>
    <w:rsid w:val="006D6120"/>
    <w:rsid w:val="006E2BD7"/>
    <w:rsid w:val="006E3546"/>
    <w:rsid w:val="006E3FA9"/>
    <w:rsid w:val="006E7D82"/>
    <w:rsid w:val="006F01D0"/>
    <w:rsid w:val="006F038F"/>
    <w:rsid w:val="006F0F93"/>
    <w:rsid w:val="006F2EBA"/>
    <w:rsid w:val="006F31F2"/>
    <w:rsid w:val="006F3EC9"/>
    <w:rsid w:val="006F3F86"/>
    <w:rsid w:val="006F55CB"/>
    <w:rsid w:val="006F6B98"/>
    <w:rsid w:val="006F7494"/>
    <w:rsid w:val="006F751F"/>
    <w:rsid w:val="00700F6F"/>
    <w:rsid w:val="00704727"/>
    <w:rsid w:val="00705433"/>
    <w:rsid w:val="00706F0F"/>
    <w:rsid w:val="007135E9"/>
    <w:rsid w:val="00714DC5"/>
    <w:rsid w:val="00715237"/>
    <w:rsid w:val="007158F7"/>
    <w:rsid w:val="00720A68"/>
    <w:rsid w:val="00721AE1"/>
    <w:rsid w:val="00724A7B"/>
    <w:rsid w:val="0072518C"/>
    <w:rsid w:val="007254A5"/>
    <w:rsid w:val="00725748"/>
    <w:rsid w:val="007269E3"/>
    <w:rsid w:val="00732F79"/>
    <w:rsid w:val="00733850"/>
    <w:rsid w:val="00735D88"/>
    <w:rsid w:val="0073720D"/>
    <w:rsid w:val="00737507"/>
    <w:rsid w:val="00740712"/>
    <w:rsid w:val="00741B7F"/>
    <w:rsid w:val="00742AB9"/>
    <w:rsid w:val="00746C31"/>
    <w:rsid w:val="00750F8B"/>
    <w:rsid w:val="00751A6A"/>
    <w:rsid w:val="00754FBF"/>
    <w:rsid w:val="00755CFC"/>
    <w:rsid w:val="00756429"/>
    <w:rsid w:val="007565AC"/>
    <w:rsid w:val="00760B03"/>
    <w:rsid w:val="007610AA"/>
    <w:rsid w:val="00763C15"/>
    <w:rsid w:val="007709EF"/>
    <w:rsid w:val="00770DA6"/>
    <w:rsid w:val="00773CB1"/>
    <w:rsid w:val="00782701"/>
    <w:rsid w:val="00783559"/>
    <w:rsid w:val="0079241F"/>
    <w:rsid w:val="00794B7F"/>
    <w:rsid w:val="0079551B"/>
    <w:rsid w:val="00797188"/>
    <w:rsid w:val="00797AA5"/>
    <w:rsid w:val="007A1744"/>
    <w:rsid w:val="007A26BD"/>
    <w:rsid w:val="007A4105"/>
    <w:rsid w:val="007A6862"/>
    <w:rsid w:val="007B3416"/>
    <w:rsid w:val="007B35D9"/>
    <w:rsid w:val="007B3D7D"/>
    <w:rsid w:val="007B4503"/>
    <w:rsid w:val="007B57BE"/>
    <w:rsid w:val="007B5DE1"/>
    <w:rsid w:val="007B79E6"/>
    <w:rsid w:val="007C0E81"/>
    <w:rsid w:val="007C406E"/>
    <w:rsid w:val="007C5183"/>
    <w:rsid w:val="007C647F"/>
    <w:rsid w:val="007C7573"/>
    <w:rsid w:val="007D0511"/>
    <w:rsid w:val="007D160D"/>
    <w:rsid w:val="007D26F9"/>
    <w:rsid w:val="007D6808"/>
    <w:rsid w:val="007E114D"/>
    <w:rsid w:val="007E2211"/>
    <w:rsid w:val="007E2B20"/>
    <w:rsid w:val="007E665A"/>
    <w:rsid w:val="007E7AB6"/>
    <w:rsid w:val="007F1FE4"/>
    <w:rsid w:val="007F2A69"/>
    <w:rsid w:val="007F395B"/>
    <w:rsid w:val="007F439C"/>
    <w:rsid w:val="007F5331"/>
    <w:rsid w:val="007F7087"/>
    <w:rsid w:val="00800CCA"/>
    <w:rsid w:val="00806120"/>
    <w:rsid w:val="00806723"/>
    <w:rsid w:val="00806F63"/>
    <w:rsid w:val="00810C93"/>
    <w:rsid w:val="00812028"/>
    <w:rsid w:val="00812DD8"/>
    <w:rsid w:val="00813082"/>
    <w:rsid w:val="00814D03"/>
    <w:rsid w:val="00820371"/>
    <w:rsid w:val="00820586"/>
    <w:rsid w:val="00821FC1"/>
    <w:rsid w:val="008232A6"/>
    <w:rsid w:val="00823AE2"/>
    <w:rsid w:val="00825948"/>
    <w:rsid w:val="00830C56"/>
    <w:rsid w:val="00831008"/>
    <w:rsid w:val="0083178B"/>
    <w:rsid w:val="00831EE4"/>
    <w:rsid w:val="00833695"/>
    <w:rsid w:val="008336B7"/>
    <w:rsid w:val="00833A8E"/>
    <w:rsid w:val="0083540E"/>
    <w:rsid w:val="00836ACA"/>
    <w:rsid w:val="00842CD8"/>
    <w:rsid w:val="008431FA"/>
    <w:rsid w:val="00847444"/>
    <w:rsid w:val="0085038E"/>
    <w:rsid w:val="00851029"/>
    <w:rsid w:val="008517C6"/>
    <w:rsid w:val="008547BA"/>
    <w:rsid w:val="008553C7"/>
    <w:rsid w:val="00857FEB"/>
    <w:rsid w:val="008601AF"/>
    <w:rsid w:val="008601CE"/>
    <w:rsid w:val="008624E1"/>
    <w:rsid w:val="00862AEC"/>
    <w:rsid w:val="008648F3"/>
    <w:rsid w:val="00870C30"/>
    <w:rsid w:val="00872271"/>
    <w:rsid w:val="0087297F"/>
    <w:rsid w:val="008738B5"/>
    <w:rsid w:val="00881B2B"/>
    <w:rsid w:val="00883137"/>
    <w:rsid w:val="0089117B"/>
    <w:rsid w:val="00894A3B"/>
    <w:rsid w:val="00897694"/>
    <w:rsid w:val="008A1F5D"/>
    <w:rsid w:val="008A28F5"/>
    <w:rsid w:val="008A3541"/>
    <w:rsid w:val="008A7759"/>
    <w:rsid w:val="008B0634"/>
    <w:rsid w:val="008B1198"/>
    <w:rsid w:val="008B3471"/>
    <w:rsid w:val="008B3929"/>
    <w:rsid w:val="008B4125"/>
    <w:rsid w:val="008B4584"/>
    <w:rsid w:val="008B4CB3"/>
    <w:rsid w:val="008B567B"/>
    <w:rsid w:val="008B7262"/>
    <w:rsid w:val="008B7B24"/>
    <w:rsid w:val="008C06DF"/>
    <w:rsid w:val="008C13E5"/>
    <w:rsid w:val="008C27F6"/>
    <w:rsid w:val="008C356D"/>
    <w:rsid w:val="008C66B6"/>
    <w:rsid w:val="008D2C04"/>
    <w:rsid w:val="008D43B5"/>
    <w:rsid w:val="008D603C"/>
    <w:rsid w:val="008D655D"/>
    <w:rsid w:val="008E0B3F"/>
    <w:rsid w:val="008E1091"/>
    <w:rsid w:val="008E3F81"/>
    <w:rsid w:val="008E49AD"/>
    <w:rsid w:val="008E5F7C"/>
    <w:rsid w:val="008E6157"/>
    <w:rsid w:val="008E698E"/>
    <w:rsid w:val="008E702B"/>
    <w:rsid w:val="008F2584"/>
    <w:rsid w:val="008F3246"/>
    <w:rsid w:val="008F3C1B"/>
    <w:rsid w:val="008F508C"/>
    <w:rsid w:val="008F6E15"/>
    <w:rsid w:val="00900205"/>
    <w:rsid w:val="00900464"/>
    <w:rsid w:val="00901BE9"/>
    <w:rsid w:val="0090271B"/>
    <w:rsid w:val="009055F3"/>
    <w:rsid w:val="00906C2E"/>
    <w:rsid w:val="00910642"/>
    <w:rsid w:val="00910DDF"/>
    <w:rsid w:val="00914A38"/>
    <w:rsid w:val="00921409"/>
    <w:rsid w:val="00922290"/>
    <w:rsid w:val="00926AE2"/>
    <w:rsid w:val="00930B13"/>
    <w:rsid w:val="009311C8"/>
    <w:rsid w:val="0093145B"/>
    <w:rsid w:val="00933376"/>
    <w:rsid w:val="00933A2F"/>
    <w:rsid w:val="009471C3"/>
    <w:rsid w:val="0095014B"/>
    <w:rsid w:val="00952AAF"/>
    <w:rsid w:val="0095345B"/>
    <w:rsid w:val="0096441A"/>
    <w:rsid w:val="009716D8"/>
    <w:rsid w:val="009718F9"/>
    <w:rsid w:val="00971F42"/>
    <w:rsid w:val="00972FB9"/>
    <w:rsid w:val="00974630"/>
    <w:rsid w:val="00975112"/>
    <w:rsid w:val="00981768"/>
    <w:rsid w:val="00983893"/>
    <w:rsid w:val="00983E8F"/>
    <w:rsid w:val="0098788A"/>
    <w:rsid w:val="009914CF"/>
    <w:rsid w:val="00994FDA"/>
    <w:rsid w:val="009971AE"/>
    <w:rsid w:val="009A31BF"/>
    <w:rsid w:val="009A3A5D"/>
    <w:rsid w:val="009A3B71"/>
    <w:rsid w:val="009A5FB9"/>
    <w:rsid w:val="009A61BC"/>
    <w:rsid w:val="009B0138"/>
    <w:rsid w:val="009B0FE9"/>
    <w:rsid w:val="009B173A"/>
    <w:rsid w:val="009B74D2"/>
    <w:rsid w:val="009C2B7B"/>
    <w:rsid w:val="009C3F20"/>
    <w:rsid w:val="009C7CA1"/>
    <w:rsid w:val="009D043D"/>
    <w:rsid w:val="009D1EC5"/>
    <w:rsid w:val="009D60E9"/>
    <w:rsid w:val="009D6C6C"/>
    <w:rsid w:val="009E3C59"/>
    <w:rsid w:val="009F3259"/>
    <w:rsid w:val="00A037D5"/>
    <w:rsid w:val="00A04097"/>
    <w:rsid w:val="00A056DE"/>
    <w:rsid w:val="00A07199"/>
    <w:rsid w:val="00A071E1"/>
    <w:rsid w:val="00A128AD"/>
    <w:rsid w:val="00A139CD"/>
    <w:rsid w:val="00A16D7E"/>
    <w:rsid w:val="00A21E76"/>
    <w:rsid w:val="00A23BC8"/>
    <w:rsid w:val="00A245F8"/>
    <w:rsid w:val="00A27C26"/>
    <w:rsid w:val="00A30E68"/>
    <w:rsid w:val="00A31933"/>
    <w:rsid w:val="00A32381"/>
    <w:rsid w:val="00A329D2"/>
    <w:rsid w:val="00A33320"/>
    <w:rsid w:val="00A34AA0"/>
    <w:rsid w:val="00A35120"/>
    <w:rsid w:val="00A3715C"/>
    <w:rsid w:val="00A413B4"/>
    <w:rsid w:val="00A41FE2"/>
    <w:rsid w:val="00A46E65"/>
    <w:rsid w:val="00A46FEF"/>
    <w:rsid w:val="00A47948"/>
    <w:rsid w:val="00A50CF6"/>
    <w:rsid w:val="00A56946"/>
    <w:rsid w:val="00A6170E"/>
    <w:rsid w:val="00A63B8C"/>
    <w:rsid w:val="00A646E5"/>
    <w:rsid w:val="00A715F8"/>
    <w:rsid w:val="00A742CD"/>
    <w:rsid w:val="00A75878"/>
    <w:rsid w:val="00A77322"/>
    <w:rsid w:val="00A77F6F"/>
    <w:rsid w:val="00A831FD"/>
    <w:rsid w:val="00A83352"/>
    <w:rsid w:val="00A850A2"/>
    <w:rsid w:val="00A91FA3"/>
    <w:rsid w:val="00A927D3"/>
    <w:rsid w:val="00A95B44"/>
    <w:rsid w:val="00AA2035"/>
    <w:rsid w:val="00AA6507"/>
    <w:rsid w:val="00AA7FC9"/>
    <w:rsid w:val="00AB237D"/>
    <w:rsid w:val="00AB5933"/>
    <w:rsid w:val="00AC46D4"/>
    <w:rsid w:val="00AC48B5"/>
    <w:rsid w:val="00AC7608"/>
    <w:rsid w:val="00AD101F"/>
    <w:rsid w:val="00AD1543"/>
    <w:rsid w:val="00AD4F5C"/>
    <w:rsid w:val="00AD60A8"/>
    <w:rsid w:val="00AD6DFB"/>
    <w:rsid w:val="00AE013D"/>
    <w:rsid w:val="00AE0EF1"/>
    <w:rsid w:val="00AE11B7"/>
    <w:rsid w:val="00AE2A65"/>
    <w:rsid w:val="00AE7F68"/>
    <w:rsid w:val="00AF2321"/>
    <w:rsid w:val="00AF30D5"/>
    <w:rsid w:val="00AF52F6"/>
    <w:rsid w:val="00AF52FD"/>
    <w:rsid w:val="00AF54A8"/>
    <w:rsid w:val="00AF7237"/>
    <w:rsid w:val="00B0043A"/>
    <w:rsid w:val="00B004AB"/>
    <w:rsid w:val="00B00762"/>
    <w:rsid w:val="00B00D75"/>
    <w:rsid w:val="00B04AD3"/>
    <w:rsid w:val="00B055CF"/>
    <w:rsid w:val="00B070CB"/>
    <w:rsid w:val="00B12456"/>
    <w:rsid w:val="00B145F0"/>
    <w:rsid w:val="00B1718D"/>
    <w:rsid w:val="00B24076"/>
    <w:rsid w:val="00B24922"/>
    <w:rsid w:val="00B259C8"/>
    <w:rsid w:val="00B26CCF"/>
    <w:rsid w:val="00B30FC2"/>
    <w:rsid w:val="00B331A2"/>
    <w:rsid w:val="00B340D3"/>
    <w:rsid w:val="00B34481"/>
    <w:rsid w:val="00B400E9"/>
    <w:rsid w:val="00B425F0"/>
    <w:rsid w:val="00B42DFA"/>
    <w:rsid w:val="00B43027"/>
    <w:rsid w:val="00B45AD0"/>
    <w:rsid w:val="00B47F8F"/>
    <w:rsid w:val="00B50936"/>
    <w:rsid w:val="00B531DD"/>
    <w:rsid w:val="00B55014"/>
    <w:rsid w:val="00B607BE"/>
    <w:rsid w:val="00B62232"/>
    <w:rsid w:val="00B70BF3"/>
    <w:rsid w:val="00B71DC2"/>
    <w:rsid w:val="00B71F35"/>
    <w:rsid w:val="00B72476"/>
    <w:rsid w:val="00B849F5"/>
    <w:rsid w:val="00B850CA"/>
    <w:rsid w:val="00B901B6"/>
    <w:rsid w:val="00B91CFC"/>
    <w:rsid w:val="00B93893"/>
    <w:rsid w:val="00BA1397"/>
    <w:rsid w:val="00BA207F"/>
    <w:rsid w:val="00BA365E"/>
    <w:rsid w:val="00BA7E0A"/>
    <w:rsid w:val="00BB47D4"/>
    <w:rsid w:val="00BB50EA"/>
    <w:rsid w:val="00BC2516"/>
    <w:rsid w:val="00BC2C00"/>
    <w:rsid w:val="00BC3B53"/>
    <w:rsid w:val="00BC3B96"/>
    <w:rsid w:val="00BC4AE3"/>
    <w:rsid w:val="00BC5B28"/>
    <w:rsid w:val="00BD2370"/>
    <w:rsid w:val="00BD2D73"/>
    <w:rsid w:val="00BD7C49"/>
    <w:rsid w:val="00BE3364"/>
    <w:rsid w:val="00BE3F88"/>
    <w:rsid w:val="00BE4756"/>
    <w:rsid w:val="00BE5ED9"/>
    <w:rsid w:val="00BE7B41"/>
    <w:rsid w:val="00BE7B9A"/>
    <w:rsid w:val="00BF2FED"/>
    <w:rsid w:val="00BF463A"/>
    <w:rsid w:val="00BF4754"/>
    <w:rsid w:val="00BF6503"/>
    <w:rsid w:val="00BF6D2A"/>
    <w:rsid w:val="00C011E5"/>
    <w:rsid w:val="00C02C05"/>
    <w:rsid w:val="00C04314"/>
    <w:rsid w:val="00C06516"/>
    <w:rsid w:val="00C13AE1"/>
    <w:rsid w:val="00C14DFC"/>
    <w:rsid w:val="00C15A91"/>
    <w:rsid w:val="00C17414"/>
    <w:rsid w:val="00C206F1"/>
    <w:rsid w:val="00C217E1"/>
    <w:rsid w:val="00C218EF"/>
    <w:rsid w:val="00C219B1"/>
    <w:rsid w:val="00C23DEA"/>
    <w:rsid w:val="00C24BEA"/>
    <w:rsid w:val="00C24E7E"/>
    <w:rsid w:val="00C26424"/>
    <w:rsid w:val="00C27EA2"/>
    <w:rsid w:val="00C315FB"/>
    <w:rsid w:val="00C34EC2"/>
    <w:rsid w:val="00C378E5"/>
    <w:rsid w:val="00C4015B"/>
    <w:rsid w:val="00C40C60"/>
    <w:rsid w:val="00C4183B"/>
    <w:rsid w:val="00C43FE6"/>
    <w:rsid w:val="00C45CDB"/>
    <w:rsid w:val="00C46B08"/>
    <w:rsid w:val="00C50574"/>
    <w:rsid w:val="00C5258E"/>
    <w:rsid w:val="00C530C9"/>
    <w:rsid w:val="00C619A7"/>
    <w:rsid w:val="00C621FB"/>
    <w:rsid w:val="00C62A4F"/>
    <w:rsid w:val="00C64198"/>
    <w:rsid w:val="00C67967"/>
    <w:rsid w:val="00C70917"/>
    <w:rsid w:val="00C73B6A"/>
    <w:rsid w:val="00C73D5F"/>
    <w:rsid w:val="00C82AFE"/>
    <w:rsid w:val="00C83DBC"/>
    <w:rsid w:val="00C84F8E"/>
    <w:rsid w:val="00C8682F"/>
    <w:rsid w:val="00C869FB"/>
    <w:rsid w:val="00C86E56"/>
    <w:rsid w:val="00C9142C"/>
    <w:rsid w:val="00C97C80"/>
    <w:rsid w:val="00CA0CD7"/>
    <w:rsid w:val="00CA225D"/>
    <w:rsid w:val="00CA47D3"/>
    <w:rsid w:val="00CA58B7"/>
    <w:rsid w:val="00CA6533"/>
    <w:rsid w:val="00CA6A25"/>
    <w:rsid w:val="00CA6A3F"/>
    <w:rsid w:val="00CA7C99"/>
    <w:rsid w:val="00CB0A71"/>
    <w:rsid w:val="00CB14E4"/>
    <w:rsid w:val="00CB58E6"/>
    <w:rsid w:val="00CC3726"/>
    <w:rsid w:val="00CC6290"/>
    <w:rsid w:val="00CC6947"/>
    <w:rsid w:val="00CC7BFA"/>
    <w:rsid w:val="00CD233D"/>
    <w:rsid w:val="00CD3009"/>
    <w:rsid w:val="00CD3499"/>
    <w:rsid w:val="00CD362D"/>
    <w:rsid w:val="00CD4A96"/>
    <w:rsid w:val="00CD5B35"/>
    <w:rsid w:val="00CD62BC"/>
    <w:rsid w:val="00CE101D"/>
    <w:rsid w:val="00CE10A4"/>
    <w:rsid w:val="00CE1814"/>
    <w:rsid w:val="00CE192D"/>
    <w:rsid w:val="00CE1A95"/>
    <w:rsid w:val="00CE1C84"/>
    <w:rsid w:val="00CE3962"/>
    <w:rsid w:val="00CE39BD"/>
    <w:rsid w:val="00CE5055"/>
    <w:rsid w:val="00CF053F"/>
    <w:rsid w:val="00CF1A17"/>
    <w:rsid w:val="00CF3382"/>
    <w:rsid w:val="00CF41E0"/>
    <w:rsid w:val="00CF65AC"/>
    <w:rsid w:val="00CF7BDA"/>
    <w:rsid w:val="00D0375A"/>
    <w:rsid w:val="00D04CDB"/>
    <w:rsid w:val="00D0609E"/>
    <w:rsid w:val="00D078E1"/>
    <w:rsid w:val="00D100E9"/>
    <w:rsid w:val="00D11741"/>
    <w:rsid w:val="00D11907"/>
    <w:rsid w:val="00D11C0F"/>
    <w:rsid w:val="00D17942"/>
    <w:rsid w:val="00D21E4B"/>
    <w:rsid w:val="00D22441"/>
    <w:rsid w:val="00D23522"/>
    <w:rsid w:val="00D264D6"/>
    <w:rsid w:val="00D30A1D"/>
    <w:rsid w:val="00D3289E"/>
    <w:rsid w:val="00D32F78"/>
    <w:rsid w:val="00D33BBD"/>
    <w:rsid w:val="00D33BF0"/>
    <w:rsid w:val="00D33DE0"/>
    <w:rsid w:val="00D36447"/>
    <w:rsid w:val="00D47CB8"/>
    <w:rsid w:val="00D500CB"/>
    <w:rsid w:val="00D516BE"/>
    <w:rsid w:val="00D5423B"/>
    <w:rsid w:val="00D54E6A"/>
    <w:rsid w:val="00D54F4E"/>
    <w:rsid w:val="00D56E01"/>
    <w:rsid w:val="00D57A56"/>
    <w:rsid w:val="00D604B3"/>
    <w:rsid w:val="00D60BA4"/>
    <w:rsid w:val="00D62419"/>
    <w:rsid w:val="00D66234"/>
    <w:rsid w:val="00D67810"/>
    <w:rsid w:val="00D7014B"/>
    <w:rsid w:val="00D74285"/>
    <w:rsid w:val="00D74D12"/>
    <w:rsid w:val="00D766E5"/>
    <w:rsid w:val="00D77870"/>
    <w:rsid w:val="00D80977"/>
    <w:rsid w:val="00D80CCE"/>
    <w:rsid w:val="00D8276D"/>
    <w:rsid w:val="00D84102"/>
    <w:rsid w:val="00D86EEA"/>
    <w:rsid w:val="00D87D03"/>
    <w:rsid w:val="00D91A20"/>
    <w:rsid w:val="00D9360B"/>
    <w:rsid w:val="00D95C88"/>
    <w:rsid w:val="00D97B2E"/>
    <w:rsid w:val="00DA241E"/>
    <w:rsid w:val="00DA29EB"/>
    <w:rsid w:val="00DA5F76"/>
    <w:rsid w:val="00DB0A34"/>
    <w:rsid w:val="00DB36FE"/>
    <w:rsid w:val="00DB3760"/>
    <w:rsid w:val="00DB386C"/>
    <w:rsid w:val="00DB3B87"/>
    <w:rsid w:val="00DB533A"/>
    <w:rsid w:val="00DB60AE"/>
    <w:rsid w:val="00DB6307"/>
    <w:rsid w:val="00DB6311"/>
    <w:rsid w:val="00DB6345"/>
    <w:rsid w:val="00DD0BCD"/>
    <w:rsid w:val="00DD139E"/>
    <w:rsid w:val="00DD1DCD"/>
    <w:rsid w:val="00DD338F"/>
    <w:rsid w:val="00DD361A"/>
    <w:rsid w:val="00DD66F2"/>
    <w:rsid w:val="00DE2734"/>
    <w:rsid w:val="00DE3FE0"/>
    <w:rsid w:val="00DE578A"/>
    <w:rsid w:val="00DE66CE"/>
    <w:rsid w:val="00DF2583"/>
    <w:rsid w:val="00DF2BD5"/>
    <w:rsid w:val="00DF4563"/>
    <w:rsid w:val="00DF467D"/>
    <w:rsid w:val="00DF54D9"/>
    <w:rsid w:val="00DF5AFA"/>
    <w:rsid w:val="00DF7283"/>
    <w:rsid w:val="00E01A59"/>
    <w:rsid w:val="00E02484"/>
    <w:rsid w:val="00E10DC6"/>
    <w:rsid w:val="00E11F8E"/>
    <w:rsid w:val="00E136DD"/>
    <w:rsid w:val="00E15881"/>
    <w:rsid w:val="00E16A8F"/>
    <w:rsid w:val="00E17944"/>
    <w:rsid w:val="00E21DE3"/>
    <w:rsid w:val="00E23314"/>
    <w:rsid w:val="00E2363B"/>
    <w:rsid w:val="00E23682"/>
    <w:rsid w:val="00E256F5"/>
    <w:rsid w:val="00E273C5"/>
    <w:rsid w:val="00E307D1"/>
    <w:rsid w:val="00E34AA8"/>
    <w:rsid w:val="00E34E32"/>
    <w:rsid w:val="00E36A43"/>
    <w:rsid w:val="00E36CA2"/>
    <w:rsid w:val="00E3731D"/>
    <w:rsid w:val="00E40E32"/>
    <w:rsid w:val="00E422FA"/>
    <w:rsid w:val="00E44A40"/>
    <w:rsid w:val="00E51469"/>
    <w:rsid w:val="00E546B2"/>
    <w:rsid w:val="00E54D4D"/>
    <w:rsid w:val="00E60687"/>
    <w:rsid w:val="00E634E3"/>
    <w:rsid w:val="00E63926"/>
    <w:rsid w:val="00E6785D"/>
    <w:rsid w:val="00E717C4"/>
    <w:rsid w:val="00E758FD"/>
    <w:rsid w:val="00E776D9"/>
    <w:rsid w:val="00E77E18"/>
    <w:rsid w:val="00E77F89"/>
    <w:rsid w:val="00E80330"/>
    <w:rsid w:val="00E806C5"/>
    <w:rsid w:val="00E80E71"/>
    <w:rsid w:val="00E8405F"/>
    <w:rsid w:val="00E850D3"/>
    <w:rsid w:val="00E853D6"/>
    <w:rsid w:val="00E861EC"/>
    <w:rsid w:val="00E876B9"/>
    <w:rsid w:val="00E92690"/>
    <w:rsid w:val="00EA4A44"/>
    <w:rsid w:val="00EB1C5E"/>
    <w:rsid w:val="00EB5B79"/>
    <w:rsid w:val="00EC01F3"/>
    <w:rsid w:val="00EC0DFF"/>
    <w:rsid w:val="00EC237D"/>
    <w:rsid w:val="00EC2918"/>
    <w:rsid w:val="00EC4D0E"/>
    <w:rsid w:val="00EC4E2B"/>
    <w:rsid w:val="00ED072A"/>
    <w:rsid w:val="00ED41F7"/>
    <w:rsid w:val="00ED539E"/>
    <w:rsid w:val="00EE382B"/>
    <w:rsid w:val="00EE4A1F"/>
    <w:rsid w:val="00EE4C2D"/>
    <w:rsid w:val="00EF1B5A"/>
    <w:rsid w:val="00EF24FB"/>
    <w:rsid w:val="00EF2CCA"/>
    <w:rsid w:val="00EF3B20"/>
    <w:rsid w:val="00EF495B"/>
    <w:rsid w:val="00EF60DC"/>
    <w:rsid w:val="00F00F54"/>
    <w:rsid w:val="00F01649"/>
    <w:rsid w:val="00F01E7C"/>
    <w:rsid w:val="00F03963"/>
    <w:rsid w:val="00F03A67"/>
    <w:rsid w:val="00F11068"/>
    <w:rsid w:val="00F1256D"/>
    <w:rsid w:val="00F12677"/>
    <w:rsid w:val="00F13A4E"/>
    <w:rsid w:val="00F172BB"/>
    <w:rsid w:val="00F17B10"/>
    <w:rsid w:val="00F21BEF"/>
    <w:rsid w:val="00F2315B"/>
    <w:rsid w:val="00F24518"/>
    <w:rsid w:val="00F274BA"/>
    <w:rsid w:val="00F34805"/>
    <w:rsid w:val="00F36853"/>
    <w:rsid w:val="00F41A6F"/>
    <w:rsid w:val="00F45A25"/>
    <w:rsid w:val="00F50F86"/>
    <w:rsid w:val="00F52593"/>
    <w:rsid w:val="00F53AF0"/>
    <w:rsid w:val="00F53F91"/>
    <w:rsid w:val="00F5414F"/>
    <w:rsid w:val="00F559C5"/>
    <w:rsid w:val="00F57A3B"/>
    <w:rsid w:val="00F61569"/>
    <w:rsid w:val="00F61A72"/>
    <w:rsid w:val="00F62955"/>
    <w:rsid w:val="00F62B67"/>
    <w:rsid w:val="00F63110"/>
    <w:rsid w:val="00F66F13"/>
    <w:rsid w:val="00F67FAF"/>
    <w:rsid w:val="00F704D5"/>
    <w:rsid w:val="00F70547"/>
    <w:rsid w:val="00F74073"/>
    <w:rsid w:val="00F75603"/>
    <w:rsid w:val="00F809C3"/>
    <w:rsid w:val="00F827F5"/>
    <w:rsid w:val="00F83108"/>
    <w:rsid w:val="00F845B4"/>
    <w:rsid w:val="00F85650"/>
    <w:rsid w:val="00F8713B"/>
    <w:rsid w:val="00F916BC"/>
    <w:rsid w:val="00F92DF8"/>
    <w:rsid w:val="00F93F9E"/>
    <w:rsid w:val="00F9658D"/>
    <w:rsid w:val="00F96E30"/>
    <w:rsid w:val="00FA2CD7"/>
    <w:rsid w:val="00FA3540"/>
    <w:rsid w:val="00FA6982"/>
    <w:rsid w:val="00FB06ED"/>
    <w:rsid w:val="00FB2312"/>
    <w:rsid w:val="00FB3DBD"/>
    <w:rsid w:val="00FB6B09"/>
    <w:rsid w:val="00FB786E"/>
    <w:rsid w:val="00FC0D60"/>
    <w:rsid w:val="00FC2311"/>
    <w:rsid w:val="00FC3165"/>
    <w:rsid w:val="00FC3250"/>
    <w:rsid w:val="00FC36AB"/>
    <w:rsid w:val="00FC4300"/>
    <w:rsid w:val="00FC4365"/>
    <w:rsid w:val="00FC4F4D"/>
    <w:rsid w:val="00FC5AB6"/>
    <w:rsid w:val="00FC7F66"/>
    <w:rsid w:val="00FD15E1"/>
    <w:rsid w:val="00FD5776"/>
    <w:rsid w:val="00FE1CB6"/>
    <w:rsid w:val="00FE486B"/>
    <w:rsid w:val="00FE4F08"/>
    <w:rsid w:val="00FF192E"/>
    <w:rsid w:val="00FF7D3A"/>
    <w:rsid w:val="0F53F9A8"/>
    <w:rsid w:val="295DD382"/>
    <w:rsid w:val="7DFFE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30E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num" w:pos="360"/>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aliases w:val="Fußnote,Fußnotentextf,Fußnotentextr,stile 1,Footnote,Footnote1,Footnote2,Footnote3,Footnote4,Footnote5,Footnote6,Footnote7,Footnote8,Footnote9,Footnote10,Footnote11,Footnote21,Footnote31,Footnote41,Footnote51,Footnote61,Footnote71,Geneva 9"/>
    <w:basedOn w:val="Standaard"/>
    <w:link w:val="VoetnoottekstChar"/>
    <w:uiPriority w:val="99"/>
    <w:unhideWhenUsed/>
    <w:qFormat/>
    <w:rsid w:val="00C82AFE"/>
    <w:pPr>
      <w:spacing w:line="180" w:lineRule="atLeast"/>
    </w:pPr>
    <w:rPr>
      <w:sz w:val="13"/>
      <w:szCs w:val="20"/>
    </w:rPr>
  </w:style>
  <w:style w:type="character" w:customStyle="1" w:styleId="VoetnoottekstChar">
    <w:name w:val="Voetnoottekst Char"/>
    <w:aliases w:val="Fußnote Char,Fußnotentextf Char,Fußnotentextr Char,stile 1 Char,Footnote Char,Footnote1 Char,Footnote2 Char,Footnote3 Char,Footnote4 Char,Footnote5 Char,Footnote6 Char,Footnote7 Char,Footnote8 Char,Footnote9 Char,Footnote10 Char"/>
    <w:basedOn w:val="Standaardalinea-lettertype"/>
    <w:link w:val="Voetnoottekst"/>
    <w:uiPriority w:val="99"/>
    <w:qForma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semiHidden/>
    <w:unhideWhenUsed/>
    <w:rsid w:val="00537F7B"/>
    <w:rPr>
      <w:vertAlign w:val="superscript"/>
    </w:rPr>
  </w:style>
  <w:style w:type="paragraph" w:styleId="Lijstalinea">
    <w:name w:val="List Paragraph"/>
    <w:basedOn w:val="Standaard"/>
    <w:uiPriority w:val="34"/>
    <w:qFormat/>
    <w:rsid w:val="00203ABA"/>
    <w:pPr>
      <w:ind w:left="720"/>
      <w:contextualSpacing/>
    </w:pPr>
  </w:style>
  <w:style w:type="character" w:styleId="Onopgelostemelding">
    <w:name w:val="Unresolved Mention"/>
    <w:basedOn w:val="Standaardalinea-lettertype"/>
    <w:uiPriority w:val="99"/>
    <w:semiHidden/>
    <w:unhideWhenUsed/>
    <w:rsid w:val="00566198"/>
    <w:rPr>
      <w:color w:val="605E5C"/>
      <w:shd w:val="clear" w:color="auto" w:fill="E1DFDD"/>
    </w:rPr>
  </w:style>
  <w:style w:type="character" w:styleId="Verwijzingopmerking">
    <w:name w:val="annotation reference"/>
    <w:basedOn w:val="Standaardalinea-lettertype"/>
    <w:semiHidden/>
    <w:unhideWhenUsed/>
    <w:rsid w:val="00E2363B"/>
    <w:rPr>
      <w:sz w:val="16"/>
      <w:szCs w:val="16"/>
    </w:rPr>
  </w:style>
  <w:style w:type="paragraph" w:styleId="Tekstopmerking">
    <w:name w:val="annotation text"/>
    <w:basedOn w:val="Standaard"/>
    <w:link w:val="TekstopmerkingChar"/>
    <w:unhideWhenUsed/>
    <w:rsid w:val="00E2363B"/>
    <w:pPr>
      <w:spacing w:line="240" w:lineRule="auto"/>
    </w:pPr>
    <w:rPr>
      <w:sz w:val="20"/>
      <w:szCs w:val="20"/>
    </w:rPr>
  </w:style>
  <w:style w:type="character" w:customStyle="1" w:styleId="TekstopmerkingChar">
    <w:name w:val="Tekst opmerking Char"/>
    <w:basedOn w:val="Standaardalinea-lettertype"/>
    <w:link w:val="Tekstopmerking"/>
    <w:rsid w:val="00E2363B"/>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EB1C5E"/>
    <w:rPr>
      <w:b/>
      <w:bCs/>
    </w:rPr>
  </w:style>
  <w:style w:type="character" w:customStyle="1" w:styleId="OnderwerpvanopmerkingChar">
    <w:name w:val="Onderwerp van opmerking Char"/>
    <w:basedOn w:val="TekstopmerkingChar"/>
    <w:link w:val="Onderwerpvanopmerking"/>
    <w:semiHidden/>
    <w:rsid w:val="00EB1C5E"/>
    <w:rPr>
      <w:rFonts w:ascii="Verdana" w:hAnsi="Verdana"/>
      <w:b/>
      <w:bCs/>
      <w:lang w:val="nl-NL" w:eastAsia="nl-NL"/>
    </w:rPr>
  </w:style>
  <w:style w:type="paragraph" w:styleId="Revisie">
    <w:name w:val="Revision"/>
    <w:hidden/>
    <w:uiPriority w:val="99"/>
    <w:semiHidden/>
    <w:rsid w:val="00297C2E"/>
    <w:rPr>
      <w:rFonts w:ascii="Verdana" w:hAnsi="Verdana"/>
      <w:sz w:val="18"/>
      <w:szCs w:val="24"/>
      <w:lang w:val="nl-NL" w:eastAsia="nl-NL"/>
    </w:rPr>
  </w:style>
  <w:style w:type="paragraph" w:customStyle="1" w:styleId="OndertekeningArea1">
    <w:name w:val="Ondertekening_Area1"/>
    <w:basedOn w:val="Standaard"/>
    <w:next w:val="Standaard"/>
    <w:rsid w:val="00BF2FED"/>
    <w:pPr>
      <w:autoSpaceDN w:val="0"/>
      <w:spacing w:before="240" w:line="240" w:lineRule="exact"/>
      <w:textAlignment w:val="baseline"/>
    </w:pPr>
    <w:rPr>
      <w:rFonts w:eastAsia="DejaVu Sans" w:cs="Lohit Hindi"/>
      <w:color w:val="000000"/>
      <w:szCs w:val="18"/>
    </w:rPr>
  </w:style>
  <w:style w:type="paragraph" w:customStyle="1" w:styleId="Slotzin">
    <w:name w:val="Slotzin"/>
    <w:basedOn w:val="Standaard"/>
    <w:next w:val="Standaard"/>
    <w:rsid w:val="00BF2FED"/>
    <w:pPr>
      <w:autoSpaceDN w:val="0"/>
      <w:spacing w:before="240" w:line="240" w:lineRule="exact"/>
      <w:textAlignment w:val="baseline"/>
    </w:pPr>
    <w:rPr>
      <w:rFonts w:eastAsia="DejaVu Sans" w:cs="Lohit Hindi"/>
      <w:color w:val="000000"/>
      <w:szCs w:val="18"/>
    </w:rPr>
  </w:style>
  <w:style w:type="table" w:styleId="Rastertabel5donker-Accent2">
    <w:name w:val="Grid Table 5 Dark Accent 2"/>
    <w:basedOn w:val="Standaardtabel"/>
    <w:uiPriority w:val="50"/>
    <w:rsid w:val="00F96E3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Rastertabel5donker-Accent21">
    <w:name w:val="Rastertabel 5 donker - Accent 21"/>
    <w:basedOn w:val="Standaardtabel"/>
    <w:uiPriority w:val="50"/>
    <w:rsid w:val="00F96E30"/>
    <w:rPr>
      <w:rFonts w:ascii="Montserrat Light" w:eastAsia="SimSun" w:hAnsi="Montserrat Light"/>
      <w:sz w:val="22"/>
      <w:szCs w:val="22"/>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0E9F0"/>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6992B8"/>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6992B8"/>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6992B8"/>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6992B8"/>
      </w:tcPr>
    </w:tblStylePr>
    <w:tblStylePr w:type="band1Vert">
      <w:tblPr/>
      <w:tcPr>
        <w:shd w:val="clear" w:color="auto" w:fill="C2D3E2"/>
      </w:tcPr>
    </w:tblStylePr>
    <w:tblStylePr w:type="band1Horz">
      <w:tblPr/>
      <w:tcPr>
        <w:shd w:val="clear" w:color="auto" w:fill="C2D3E2"/>
      </w:tcPr>
    </w:tblStylePr>
  </w:style>
  <w:style w:type="table" w:customStyle="1" w:styleId="Rastertabel5donker-Accent22">
    <w:name w:val="Rastertabel 5 donker - Accent 22"/>
    <w:basedOn w:val="Standaardtabel"/>
    <w:uiPriority w:val="50"/>
    <w:rsid w:val="00F96E30"/>
    <w:rPr>
      <w:rFonts w:ascii="Montserrat Light" w:eastAsia="SimSun" w:hAnsi="Montserrat Light"/>
      <w:sz w:val="22"/>
      <w:szCs w:val="22"/>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0E9F0"/>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6992B8"/>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6992B8"/>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6992B8"/>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6992B8"/>
      </w:tcPr>
    </w:tblStylePr>
    <w:tblStylePr w:type="band1Vert">
      <w:tblPr/>
      <w:tcPr>
        <w:shd w:val="clear" w:color="auto" w:fill="C2D3E2"/>
      </w:tcPr>
    </w:tblStylePr>
    <w:tblStylePr w:type="band1Horz">
      <w:tblPr/>
      <w:tcPr>
        <w:shd w:val="clear" w:color="auto" w:fill="C2D3E2"/>
      </w:tcPr>
    </w:tblStylePr>
  </w:style>
  <w:style w:type="table" w:customStyle="1" w:styleId="Rastertabel5donker-Accent23">
    <w:name w:val="Rastertabel 5 donker - Accent 23"/>
    <w:basedOn w:val="Standaardtabel"/>
    <w:uiPriority w:val="50"/>
    <w:rsid w:val="00F96E30"/>
    <w:rPr>
      <w:rFonts w:asciiTheme="minorHAnsi" w:eastAsia="SimSun" w:hAnsiTheme="minorHAnsi" w:cstheme="minorBidi"/>
      <w:sz w:val="22"/>
      <w:szCs w:val="22"/>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0E9F0"/>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6992B8"/>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6992B8"/>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6992B8"/>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6992B8"/>
      </w:tcPr>
    </w:tblStylePr>
    <w:tblStylePr w:type="band1Vert">
      <w:tblPr/>
      <w:tcPr>
        <w:shd w:val="clear" w:color="auto" w:fill="C2D3E2"/>
      </w:tcPr>
    </w:tblStylePr>
    <w:tblStylePr w:type="band1Horz">
      <w:tblPr/>
      <w:tcPr>
        <w:shd w:val="clear" w:color="auto" w:fill="C2D3E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063776">
      <w:bodyDiv w:val="1"/>
      <w:marLeft w:val="0"/>
      <w:marRight w:val="0"/>
      <w:marTop w:val="0"/>
      <w:marBottom w:val="0"/>
      <w:divBdr>
        <w:top w:val="none" w:sz="0" w:space="0" w:color="auto"/>
        <w:left w:val="none" w:sz="0" w:space="0" w:color="auto"/>
        <w:bottom w:val="none" w:sz="0" w:space="0" w:color="auto"/>
        <w:right w:val="none" w:sz="0" w:space="0" w:color="auto"/>
      </w:divBdr>
    </w:div>
    <w:div w:id="1422875531">
      <w:bodyDiv w:val="1"/>
      <w:marLeft w:val="0"/>
      <w:marRight w:val="0"/>
      <w:marTop w:val="0"/>
      <w:marBottom w:val="0"/>
      <w:divBdr>
        <w:top w:val="none" w:sz="0" w:space="0" w:color="auto"/>
        <w:left w:val="none" w:sz="0" w:space="0" w:color="auto"/>
        <w:bottom w:val="none" w:sz="0" w:space="0" w:color="auto"/>
        <w:right w:val="none" w:sz="0" w:space="0" w:color="auto"/>
      </w:divBdr>
    </w:div>
    <w:div w:id="1443039228">
      <w:bodyDiv w:val="1"/>
      <w:marLeft w:val="0"/>
      <w:marRight w:val="0"/>
      <w:marTop w:val="0"/>
      <w:marBottom w:val="0"/>
      <w:divBdr>
        <w:top w:val="none" w:sz="0" w:space="0" w:color="auto"/>
        <w:left w:val="none" w:sz="0" w:space="0" w:color="auto"/>
        <w:bottom w:val="none" w:sz="0" w:space="0" w:color="auto"/>
        <w:right w:val="none" w:sz="0" w:space="0" w:color="auto"/>
      </w:divBdr>
    </w:div>
    <w:div w:id="2130051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tweedekamer.nl/kamerstukken/brieven_regering/detail?id=2025D53799&amp;did=2025D53799"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2275</ap:Words>
  <ap:Characters>12515</ap:Characters>
  <ap:DocSecurity>0</ap:DocSecurity>
  <ap:Lines>104</ap:Lines>
  <ap:Paragraphs>29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14761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2026-11-02T16:28:00.0000000Z</dcterms:created>
  <dcterms:modified xsi:type="dcterms:W3CDTF">2026-11-02T16:28:00.0000000Z</dcterms:modified>
  <dc:description>------------------------</dc:description>
  <dc:subject/>
  <keywords/>
  <version/>
  <category/>
</coreProperties>
</file>