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a="http://schemas.openxmlformats.org/drawingml/2006/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F10A29" w:rsidP="007F2BC3" w14:paraId="4AF57EA4" w14:textId="77777777">
      <w:pPr>
        <w:framePr w:w="737" w:h="2493" w:wrap="none" w:hAnchor="page" w:vAnchor="page" w:x="5584" w:hRule="exact" w:anchorLock="1"/>
        <w:spacing w:line="276" w:lineRule="auto"/>
      </w:pPr>
      <w:r>
        <w:rPr>
          <w:noProof/>
        </w:rPr>
        <w:drawing>
          <wp:inline distT="0" distB="0" distL="0" distR="0">
            <wp:extent cx="467995" cy="1583865"/>
            <wp:effectExtent l="0" t="0" r="0" b="0"/>
            <wp:docPr id="5" name="Logo" descr="Rijkslint, logo van de Rijksoverheid (blauw)"/>
            <wp:cNvGraphicFramePr/>
            <a:graphic xmlns:a="http://schemas.openxmlformats.org/drawingml/2006/main">
              <a:graphicData uri="http://schemas.openxmlformats.org/drawingml/2006/picture">
                <pic:pic xmlns:pic="http://schemas.openxmlformats.org/drawingml/2006/picture">
                  <pic:nvPicPr>
                    <pic:cNvPr id="5" name="Logo"/>
                    <pic:cNvPicPr/>
                  </pic:nvPicPr>
                  <pic:blipFill>
                    <a:blip xmlns:r="http://schemas.openxmlformats.org/officeDocument/2006/relationships" r:embed="rId7"/>
                    <a:stretch>
                      <a:fillRect/>
                    </a:stretch>
                  </pic:blipFill>
                  <pic:spPr bwMode="auto">
                    <a:xfrm>
                      <a:off x="0" y="0"/>
                      <a:ext cx="467995" cy="1583865"/>
                    </a:xfrm>
                    <a:prstGeom prst="rect">
                      <a:avLst/>
                    </a:prstGeom>
                  </pic:spPr>
                </pic:pic>
              </a:graphicData>
            </a:graphic>
          </wp:inline>
        </w:drawing>
      </w:r>
    </w:p>
    <w:p w:rsidR="00F10A29" w:rsidP="007F2BC3" w14:paraId="47082B7A" w14:textId="77777777">
      <w:pPr>
        <w:framePr w:w="3685" w:h="2494" w:wrap="none" w:hAnchor="page" w:vAnchor="page" w:x="6292" w:hRule="exact" w:anchorLock="1"/>
        <w:spacing w:line="276" w:lineRule="auto"/>
      </w:pPr>
      <w:r>
        <w:rPr>
          <w:noProof/>
        </w:rPr>
        <w:drawing>
          <wp:inline distT="0" distB="0" distL="0" distR="0">
            <wp:extent cx="2339975" cy="1320165"/>
            <wp:effectExtent l="0" t="0" r="0" b="0"/>
            <wp:docPr id="7" name="Logotype" descr="Ministerie van Binnenlandse Zaken en Koninkrijksrelaties"/>
            <wp:cNvGraphicFramePr/>
            <a:graphic xmlns:a="http://schemas.openxmlformats.org/drawingml/2006/main">
              <a:graphicData uri="http://schemas.openxmlformats.org/drawingml/2006/picture">
                <pic:pic xmlns:pic="http://schemas.openxmlformats.org/drawingml/2006/picture">
                  <pic:nvPicPr>
                    <pic:cNvPr id="7" name="Logotype"/>
                    <pic:cNvPicPr/>
                  </pic:nvPicPr>
                  <pic:blipFill>
                    <a:blip xmlns:r="http://schemas.openxmlformats.org/officeDocument/2006/relationships" r:embed="rId8"/>
                    <a:stretch>
                      <a:fillRect/>
                    </a:stretch>
                  </pic:blipFill>
                  <pic:spPr bwMode="auto">
                    <a:xfrm>
                      <a:off x="0" y="0"/>
                      <a:ext cx="2339975" cy="1320165"/>
                    </a:xfrm>
                    <a:prstGeom prst="rect">
                      <a:avLst/>
                    </a:prstGeom>
                  </pic:spPr>
                </pic:pic>
              </a:graphicData>
            </a:graphic>
          </wp:inline>
        </w:drawing>
      </w:r>
    </w:p>
    <w:p w:rsidR="00F10A29" w:rsidP="007F2BC3" w14:paraId="1F78AF41" w14:textId="77777777">
      <w:pPr>
        <w:pStyle w:val="Referentiegegevens"/>
        <w:framePr w:w="7540" w:h="255" w:wrap="none" w:hAnchor="page" w:vAnchor="page" w:x="1592" w:y="2709" w:hRule="exact" w:anchorLock="1"/>
        <w:spacing w:line="276" w:lineRule="auto"/>
      </w:pPr>
      <w:r>
        <w:t>&gt; Retouradres Postbus 20011 2500 EA  Den Haag</w:t>
      </w:r>
    </w:p>
    <w:p w:rsidR="00F10A29" w:rsidP="00F24D85" w14:paraId="73E81279" w14:textId="77777777">
      <w:pPr>
        <w:framePr w:w="7540" w:h="1757" w:wrap="none" w:hAnchor="page" w:vAnchor="page" w:x="1573" w:y="3433" w:hRule="exact" w:anchorLock="1"/>
        <w:spacing w:line="276" w:lineRule="auto"/>
      </w:pPr>
      <w:r>
        <w:t>Aan de Voorzitter van de Tweede Kamer der Staten-Generaal</w:t>
      </w:r>
    </w:p>
    <w:p w:rsidRPr="00723DA2" w:rsidR="00F10A29" w:rsidP="00F24D85" w14:paraId="29199F33" w14:textId="77777777">
      <w:pPr>
        <w:framePr w:w="7540" w:h="1757" w:wrap="none" w:hAnchor="page" w:vAnchor="page" w:x="1573" w:y="3433" w:hRule="exact" w:anchorLock="1"/>
        <w:spacing w:line="276" w:lineRule="auto"/>
        <w:rPr>
          <w:lang w:val="es-ES"/>
        </w:rPr>
      </w:pPr>
      <w:r w:rsidRPr="00723DA2">
        <w:rPr>
          <w:lang w:val="es-ES"/>
        </w:rPr>
        <w:t>Postbus 20018</w:t>
      </w:r>
    </w:p>
    <w:p w:rsidRPr="00723DA2" w:rsidR="00F10A29" w:rsidP="00F24D85" w14:paraId="56FD2917" w14:textId="77777777">
      <w:pPr>
        <w:framePr w:w="7540" w:h="1757" w:wrap="none" w:hAnchor="page" w:vAnchor="page" w:x="1573" w:y="3433" w:hRule="exact" w:anchorLock="1"/>
        <w:spacing w:line="276" w:lineRule="auto"/>
        <w:rPr>
          <w:lang w:val="es-ES"/>
        </w:rPr>
      </w:pPr>
      <w:r w:rsidRPr="00723DA2">
        <w:rPr>
          <w:lang w:val="es-ES"/>
        </w:rPr>
        <w:t>2500 EA   Den Haag</w:t>
      </w:r>
    </w:p>
    <w:p w:rsidRPr="00723DA2" w:rsidR="00F10A29" w:rsidP="007F2BC3" w14:paraId="491E2EB9" w14:textId="77777777">
      <w:pPr>
        <w:pStyle w:val="Referentiegegevensbold"/>
        <w:framePr w:w="2012" w:h="12614" w:wrap="none" w:hAnchor="page" w:vAnchor="page" w:x="9325" w:y="3095" w:hRule="exact" w:anchorLock="1"/>
        <w:spacing w:line="276" w:lineRule="auto"/>
        <w:rPr>
          <w:lang w:val="es-ES"/>
        </w:rPr>
      </w:pPr>
      <w:r w:rsidRPr="00723DA2">
        <w:rPr>
          <w:lang w:val="es-ES"/>
        </w:rPr>
        <w:t>DGDOO</w:t>
      </w:r>
    </w:p>
    <w:p w:rsidRPr="00723DA2" w:rsidR="00F10A29" w:rsidP="007F2BC3" w14:paraId="25F3411B" w14:textId="77777777">
      <w:pPr>
        <w:pStyle w:val="Referentiegegevens"/>
        <w:framePr w:w="2012" w:h="12614" w:wrap="none" w:hAnchor="page" w:vAnchor="page" w:x="9325" w:y="3095" w:hRule="exact" w:anchorLock="1"/>
        <w:spacing w:line="276" w:lineRule="auto"/>
        <w:rPr>
          <w:lang w:val="es-ES"/>
        </w:rPr>
      </w:pPr>
      <w:r w:rsidRPr="00723DA2">
        <w:rPr>
          <w:lang w:val="es-ES"/>
        </w:rPr>
        <w:t>A&amp;O</w:t>
      </w:r>
    </w:p>
    <w:p w:rsidR="00F10A29" w:rsidP="007F2BC3" w14:paraId="001570BE" w14:textId="77777777">
      <w:pPr>
        <w:pStyle w:val="Referentiegegevens"/>
        <w:framePr w:w="2012" w:h="12614" w:wrap="none" w:hAnchor="page" w:vAnchor="page" w:x="9325" w:y="3095" w:hRule="exact" w:anchorLock="1"/>
        <w:spacing w:line="276" w:lineRule="auto"/>
      </w:pPr>
      <w:r>
        <w:t>Organisatiebeleid</w:t>
      </w:r>
    </w:p>
    <w:p w:rsidR="00F10A29" w:rsidP="007F2BC3" w14:paraId="5192EAE2" w14:textId="77777777">
      <w:pPr>
        <w:pStyle w:val="WitregelW1"/>
        <w:framePr w:w="2012" w:h="12614" w:wrap="none" w:hAnchor="page" w:vAnchor="page" w:x="9325" w:y="3095" w:hRule="exact" w:anchorLock="1"/>
        <w:spacing w:line="276" w:lineRule="auto"/>
      </w:pPr>
    </w:p>
    <w:p w:rsidR="00F10A29" w:rsidP="007F2BC3" w14:paraId="0C49D359" w14:textId="77777777">
      <w:pPr>
        <w:pStyle w:val="Referentiegegevens"/>
        <w:framePr w:w="2012" w:h="12614" w:wrap="none" w:hAnchor="page" w:vAnchor="page" w:x="9325" w:y="3095" w:hRule="exact" w:anchorLock="1"/>
        <w:spacing w:line="276" w:lineRule="auto"/>
      </w:pPr>
      <w:r>
        <w:t>Turfmarkt 147</w:t>
      </w:r>
    </w:p>
    <w:p w:rsidR="00F10A29" w:rsidP="007F2BC3" w14:paraId="073DA606" w14:textId="77777777">
      <w:pPr>
        <w:pStyle w:val="Referentiegegevens"/>
        <w:framePr w:w="2012" w:h="12614" w:wrap="none" w:hAnchor="page" w:vAnchor="page" w:x="9325" w:y="3095" w:hRule="exact" w:anchorLock="1"/>
        <w:spacing w:line="276" w:lineRule="auto"/>
      </w:pPr>
      <w:r>
        <w:t>2511 DP  Den Haag</w:t>
      </w:r>
    </w:p>
    <w:p w:rsidR="00F10A29" w:rsidP="007F2BC3" w14:paraId="6316D97E" w14:textId="77777777">
      <w:pPr>
        <w:pStyle w:val="Referentiegegevens"/>
        <w:framePr w:w="2012" w:h="12614" w:wrap="none" w:hAnchor="page" w:vAnchor="page" w:x="9325" w:y="3095" w:hRule="exact" w:anchorLock="1"/>
        <w:spacing w:line="276" w:lineRule="auto"/>
      </w:pPr>
      <w:r>
        <w:t>Postbus 20011</w:t>
      </w:r>
    </w:p>
    <w:p w:rsidR="00F10A29" w:rsidP="007F2BC3" w14:paraId="7EA2A224" w14:textId="77777777">
      <w:pPr>
        <w:pStyle w:val="Referentiegegevens"/>
        <w:framePr w:w="2012" w:h="12614" w:wrap="none" w:hAnchor="page" w:vAnchor="page" w:x="9325" w:y="3095" w:hRule="exact" w:anchorLock="1"/>
        <w:spacing w:line="276" w:lineRule="auto"/>
      </w:pPr>
      <w:r>
        <w:t>2500 EA  Den Haag</w:t>
      </w:r>
    </w:p>
    <w:p w:rsidR="00F10A29" w:rsidP="007F2BC3" w14:paraId="40334A72" w14:textId="77777777">
      <w:pPr>
        <w:pStyle w:val="Referentiegegevens"/>
        <w:framePr w:w="2012" w:h="12614" w:wrap="none" w:hAnchor="page" w:vAnchor="page" w:x="9325" w:y="3095" w:hRule="exact" w:anchorLock="1"/>
        <w:spacing w:line="276" w:lineRule="auto"/>
      </w:pPr>
      <w:r>
        <w:t>www.rijksoverheid.nl</w:t>
      </w:r>
    </w:p>
    <w:p w:rsidR="00F10A29" w:rsidP="007F2BC3" w14:paraId="0ABBCB90" w14:textId="77777777">
      <w:pPr>
        <w:pStyle w:val="WitregelW2"/>
        <w:framePr w:w="2012" w:h="12614" w:wrap="none" w:hAnchor="page" w:vAnchor="page" w:x="9325" w:y="3095" w:hRule="exact" w:anchorLock="1"/>
        <w:spacing w:line="276" w:lineRule="auto"/>
      </w:pPr>
    </w:p>
    <w:p w:rsidR="00F10A29" w:rsidP="007F2BC3" w14:paraId="617D061D" w14:textId="77777777">
      <w:pPr>
        <w:pStyle w:val="Referentiegegevensbold"/>
        <w:framePr w:w="2012" w:h="12614" w:wrap="none" w:hAnchor="page" w:vAnchor="page" w:x="9325" w:y="3095" w:hRule="exact" w:anchorLock="1"/>
        <w:spacing w:line="276" w:lineRule="auto"/>
      </w:pPr>
      <w:r>
        <w:t>Onze referentie</w:t>
      </w:r>
    </w:p>
    <w:p w:rsidR="0047708B" w14:paraId="14606639" w14:textId="77777777">
      <w:pPr>
        <w:pStyle w:val="Referentiegegevens"/>
        <w:framePr w:w="2012" w:h="12614" w:wrap="none" w:hAnchor="page" w:vAnchor="page" w:x="9325" w:y="3095" w:hRule="exact" w:anchorLock="1"/>
        <w:spacing w:line="276" w:lineRule="auto"/>
      </w:pPr>
      <w:r>
        <w:fldChar w:fldCharType="begin"/>
      </w:r>
      <w:r>
        <w:instrText xml:space="preserve"> DOCPROPERTY  "Kenmerk"  \* MERGEFORMAT </w:instrText>
      </w:r>
      <w:r>
        <w:fldChar w:fldCharType="separate"/>
      </w:r>
      <w:r>
        <w:t>2026-0000519639</w:t>
      </w:r>
      <w:r>
        <w:fldChar w:fldCharType="end"/>
      </w:r>
    </w:p>
    <w:p w:rsidR="00F10A29" w:rsidP="007F2BC3" w14:paraId="513E4A75" w14:textId="77777777">
      <w:pPr>
        <w:pStyle w:val="WitregelW1"/>
        <w:framePr w:w="2012" w:h="12614" w:wrap="none" w:hAnchor="page" w:vAnchor="page" w:x="9325" w:y="3095" w:hRule="exact" w:anchorLock="1"/>
        <w:spacing w:line="276" w:lineRule="auto"/>
      </w:pPr>
    </w:p>
    <w:p w:rsidR="00F10A29" w:rsidP="007F2BC3" w14:paraId="5DBB5BB8" w14:textId="77777777">
      <w:pPr>
        <w:pStyle w:val="Referentiegegevensbold"/>
        <w:framePr w:w="2012" w:h="12614" w:wrap="none" w:hAnchor="page" w:vAnchor="page" w:x="9325" w:y="3095" w:hRule="exact" w:anchorLock="1"/>
        <w:spacing w:line="276" w:lineRule="auto"/>
      </w:pPr>
      <w:r>
        <w:t>Bijlage(n)</w:t>
      </w:r>
    </w:p>
    <w:p w:rsidR="00F10A29" w:rsidP="007F2BC3" w14:paraId="77BA8D4A" w14:textId="77777777">
      <w:pPr>
        <w:pStyle w:val="Referentiegegevens"/>
        <w:framePr w:w="2012" w:h="12614" w:wrap="none" w:hAnchor="page" w:vAnchor="page" w:x="9325" w:y="3095" w:hRule="exact" w:anchorLock="1"/>
        <w:spacing w:line="276" w:lineRule="auto"/>
      </w:pPr>
      <w:r>
        <w:t>1</w:t>
      </w:r>
    </w:p>
    <w:p w:rsidR="00F10A29" w:rsidP="007F2BC3" w14:paraId="4ACB3BDB" w14:textId="77777777">
      <w:pPr>
        <w:pStyle w:val="WitregelW2"/>
        <w:framePr w:w="2012" w:h="12614" w:wrap="none" w:hAnchor="page" w:vAnchor="page" w:x="9325" w:y="3095" w:hRule="exact" w:anchorLock="1"/>
        <w:spacing w:line="276" w:lineRule="auto"/>
      </w:pPr>
    </w:p>
    <w:tbl>
      <w:tblPr>
        <w:tblW w:w="0" w:type="auto"/>
        <w:tblLayout w:type="fixed"/>
        <w:tblLook w:val="0740"/>
      </w:tblPr>
      <w:tblGrid>
        <w:gridCol w:w="1140"/>
        <w:gridCol w:w="5918"/>
      </w:tblGrid>
      <w:tr w14:paraId="20A2CF2D" w14:textId="77777777">
        <w:tblPrEx>
          <w:tblW w:w="0" w:type="auto"/>
          <w:tblLayout w:type="fixed"/>
          <w:tblLook w:val="0740"/>
        </w:tblPrEx>
        <w:trPr>
          <w:trHeight w:val="240"/>
        </w:trPr>
        <w:tc>
          <w:tcPr>
            <w:tcW w:w="1140" w:type="dxa"/>
          </w:tcPr>
          <w:p w:rsidR="00F10A29" w:rsidP="00F24D85" w14:paraId="71C410A7" w14:textId="77777777">
            <w:pPr>
              <w:framePr w:w="7540" w:h="510" w:wrap="none" w:hAnchor="page" w:vAnchor="page" w:x="1589" w:y="5533" w:hRule="exact" w:anchorLock="1"/>
              <w:spacing w:line="276" w:lineRule="auto"/>
            </w:pPr>
            <w:r>
              <w:t>Datum</w:t>
            </w:r>
          </w:p>
        </w:tc>
        <w:tc>
          <w:tcPr>
            <w:tcW w:w="5918" w:type="dxa"/>
          </w:tcPr>
          <w:p w:rsidR="00CF039D" w:rsidP="00F24D85" w14:paraId="09BFDD8B" w14:textId="77777777">
            <w:pPr>
              <w:framePr w:w="7540" w:h="510" w:wrap="none" w:hAnchor="page" w:vAnchor="page" w:x="1589" w:y="5533" w:hRule="exact" w:anchorLock="1"/>
              <w:spacing w:line="276" w:lineRule="auto"/>
            </w:pPr>
            <w:r>
              <w:t>2 november 2026</w:t>
            </w:r>
          </w:p>
        </w:tc>
      </w:tr>
      <w:tr w14:paraId="46B15399" w14:textId="77777777">
        <w:tblPrEx>
          <w:tblW w:w="0" w:type="auto"/>
          <w:tblLayout w:type="fixed"/>
          <w:tblLook w:val="0740"/>
        </w:tblPrEx>
        <w:trPr>
          <w:trHeight w:val="240"/>
        </w:trPr>
        <w:tc>
          <w:tcPr>
            <w:tcW w:w="1140" w:type="dxa"/>
          </w:tcPr>
          <w:p w:rsidR="00F10A29" w:rsidP="00F24D85" w14:paraId="20F2B53C" w14:textId="77777777">
            <w:pPr>
              <w:framePr w:w="7540" w:h="510" w:wrap="none" w:hAnchor="page" w:vAnchor="page" w:x="1589" w:y="5533" w:hRule="exact" w:anchorLock="1"/>
              <w:spacing w:line="276" w:lineRule="auto"/>
            </w:pPr>
            <w:r>
              <w:t>Betreft</w:t>
            </w:r>
          </w:p>
        </w:tc>
        <w:tc>
          <w:tcPr>
            <w:tcW w:w="5918" w:type="dxa"/>
          </w:tcPr>
          <w:p w:rsidR="0047708B" w:rsidP="00F24D85" w14:paraId="1A1F8801" w14:textId="77777777">
            <w:pPr>
              <w:framePr w:w="7540" w:h="510" w:wrap="none" w:hAnchor="page" w:vAnchor="page" w:x="1589" w:y="5533" w:hRule="exact" w:anchorLock="1"/>
              <w:spacing w:line="276" w:lineRule="auto"/>
            </w:pPr>
            <w:r>
              <w:fldChar w:fldCharType="begin"/>
            </w:r>
            <w:r>
              <w:instrText xml:space="preserve"> DOCPROPERTY  "Onderwerp"  \* MERGEFORMAT </w:instrText>
            </w:r>
            <w:r>
              <w:fldChar w:fldCharType="separate"/>
            </w:r>
            <w:r>
              <w:t>Uitvoering gewijzigde motie Keijzer/</w:t>
            </w:r>
            <w:r>
              <w:t>Kisteman</w:t>
            </w:r>
            <w:r>
              <w:fldChar w:fldCharType="end"/>
            </w:r>
          </w:p>
        </w:tc>
      </w:tr>
    </w:tbl>
    <w:p w:rsidR="0047708B" w14:paraId="1BE0E821" w14:textId="77777777">
      <w:pPr>
        <w:pStyle w:val="Referentiegegevens"/>
        <w:framePr w:w="2025" w:h="254" w:wrap="none" w:hAnchor="page" w:vAnchor="page" w:x="9325" w:y="16055" w:hRule="exact" w:anchorLock="1"/>
        <w:spacing w:line="276" w:lineRule="auto"/>
      </w:pPr>
      <w:r>
        <w:t xml:space="preserve">Pagina </w:t>
      </w:r>
      <w:r>
        <w:fldChar w:fldCharType="begin"/>
      </w:r>
      <w:r>
        <w:instrText xml:space="preserve"> PAGE </w:instrText>
      </w:r>
      <w:r>
        <w:fldChar w:fldCharType="separate"/>
      </w:r>
      <w:r>
        <w:t>1</w:t>
      </w:r>
      <w:r>
        <w:fldChar w:fldCharType="end"/>
      </w:r>
      <w:r>
        <w:t xml:space="preserve"> van </w:t>
      </w:r>
      <w:r>
        <w:fldChar w:fldCharType="begin"/>
      </w:r>
      <w:r>
        <w:instrText xml:space="preserve"> NUMPAGES </w:instrText>
      </w:r>
      <w:r>
        <w:fldChar w:fldCharType="separate"/>
      </w:r>
      <w:r>
        <w:t>1</w:t>
      </w:r>
      <w:r>
        <w:fldChar w:fldCharType="end"/>
      </w:r>
    </w:p>
    <w:p w:rsidR="00F10A29" w:rsidP="007F2BC3" w14:paraId="1E3601C6" w14:textId="77777777">
      <w:pPr>
        <w:spacing w:line="276" w:lineRule="auto"/>
      </w:pPr>
    </w:p>
    <w:p w:rsidR="00B13AA5" w:rsidP="00B13AA5" w14:paraId="18EEBCDC" w14:textId="77777777">
      <w:pPr>
        <w:spacing w:line="276" w:lineRule="auto"/>
      </w:pPr>
    </w:p>
    <w:p w:rsidR="00B13AA5" w:rsidP="00B13AA5" w14:paraId="19CFF2AE" w14:textId="77777777">
      <w:pPr>
        <w:spacing w:line="276" w:lineRule="auto"/>
      </w:pPr>
      <w:r>
        <w:t>O</w:t>
      </w:r>
      <w:r>
        <w:t>p 22 juli</w:t>
      </w:r>
      <w:r w:rsidR="00E0092E">
        <w:t xml:space="preserve"> 2026</w:t>
      </w:r>
      <w:r>
        <w:t xml:space="preserve"> </w:t>
      </w:r>
      <w:r>
        <w:t xml:space="preserve">is </w:t>
      </w:r>
      <w:r>
        <w:t>de motie van de leden Keijzer</w:t>
      </w:r>
      <w:r w:rsidR="00E0092E">
        <w:t xml:space="preserve"> (lid Keijzer)</w:t>
      </w:r>
      <w:r>
        <w:t xml:space="preserve"> en </w:t>
      </w:r>
      <w:r>
        <w:t>Kisteman</w:t>
      </w:r>
      <w:r>
        <w:t xml:space="preserve"> (VVD) aangenomen.</w:t>
      </w:r>
      <w:r>
        <w:rPr>
          <w:rStyle w:val="FootnoteReference"/>
        </w:rPr>
        <w:footnoteReference w:id="2"/>
      </w:r>
      <w:r>
        <w:t xml:space="preserve"> De motie verzoekt de regering uw Kamer voor de begrotingsbehandeling van </w:t>
      </w:r>
      <w:r w:rsidR="00E0092E">
        <w:t>m</w:t>
      </w:r>
      <w:r>
        <w:t>inisterie Binnenlandse Zaken en Koninkrijkrelaties te informeren over:</w:t>
      </w:r>
    </w:p>
    <w:p w:rsidR="00B13AA5" w:rsidP="00B13AA5" w14:paraId="599DBDDF" w14:textId="77777777">
      <w:pPr>
        <w:pStyle w:val="ListParagraph"/>
        <w:numPr>
          <w:ilvl w:val="0"/>
          <w:numId w:val="5"/>
        </w:numPr>
        <w:spacing w:line="276" w:lineRule="auto"/>
      </w:pPr>
      <w:r>
        <w:t>de</w:t>
      </w:r>
      <w:r w:rsidRPr="00077B34">
        <w:t xml:space="preserve"> gevolgen van een vacaturestop;</w:t>
      </w:r>
    </w:p>
    <w:p w:rsidR="00B13AA5" w:rsidP="00B13AA5" w14:paraId="138A0ADA" w14:textId="77777777">
      <w:pPr>
        <w:pStyle w:val="ListParagraph"/>
        <w:numPr>
          <w:ilvl w:val="0"/>
          <w:numId w:val="5"/>
        </w:numPr>
        <w:spacing w:line="276" w:lineRule="auto"/>
      </w:pPr>
      <w:r>
        <w:t>adviescolleges</w:t>
      </w:r>
      <w:r w:rsidRPr="00077B34">
        <w:t xml:space="preserve">, commissies, regeringscommissarissen en vergelijkbare adviesstructuren door te lichten </w:t>
      </w:r>
      <w:r>
        <w:t>en toewerken naar vermindering van het aantal adviesorganen;</w:t>
      </w:r>
    </w:p>
    <w:p w:rsidR="007D47E6" w:rsidP="007D47E6" w14:paraId="31CF03D2" w14:textId="77777777">
      <w:pPr>
        <w:pStyle w:val="ListParagraph"/>
        <w:numPr>
          <w:ilvl w:val="0"/>
          <w:numId w:val="5"/>
        </w:numPr>
        <w:spacing w:line="276" w:lineRule="auto"/>
      </w:pPr>
      <w:r>
        <w:t xml:space="preserve">of </w:t>
      </w:r>
      <w:r w:rsidRPr="00077B34">
        <w:t xml:space="preserve">rijkssubsidies aan maatschappelijke organisaties uitsluitend </w:t>
      </w:r>
      <w:r>
        <w:t>verstrekt k</w:t>
      </w:r>
      <w:r w:rsidR="007509F5">
        <w:t>unnen</w:t>
      </w:r>
      <w:r>
        <w:t xml:space="preserve"> worden </w:t>
      </w:r>
      <w:r w:rsidRPr="00077B34">
        <w:t>wanneer ten minste 25% van hun inkomsten afkomstig is uit niet-overheidsbronnen</w:t>
      </w:r>
      <w:r w:rsidR="007F164F">
        <w:t>.</w:t>
      </w:r>
    </w:p>
    <w:p w:rsidR="00B13AA5" w:rsidP="00B13AA5" w14:paraId="6DD252B9" w14:textId="77777777">
      <w:pPr>
        <w:spacing w:line="276" w:lineRule="auto"/>
      </w:pPr>
      <w:r>
        <w:t>Middels deze brief kom ik dit verzoek na.</w:t>
      </w:r>
    </w:p>
    <w:p w:rsidR="007D47E6" w:rsidP="00B13AA5" w14:paraId="38BC6F54" w14:textId="77777777">
      <w:pPr>
        <w:spacing w:line="276" w:lineRule="auto"/>
      </w:pPr>
    </w:p>
    <w:p w:rsidR="00B13AA5" w:rsidP="00B13AA5" w14:paraId="3007C78D" w14:textId="77777777">
      <w:pPr>
        <w:spacing w:line="276" w:lineRule="auto"/>
        <w:rPr>
          <w:i/>
          <w:iCs/>
        </w:rPr>
      </w:pPr>
      <w:r>
        <w:rPr>
          <w:i/>
          <w:iCs/>
        </w:rPr>
        <w:t>De gevolgen van een vacaturestop</w:t>
      </w:r>
    </w:p>
    <w:p w:rsidR="00B13AA5" w:rsidP="00B13AA5" w14:paraId="357F447D" w14:textId="77777777">
      <w:pPr>
        <w:spacing w:line="276" w:lineRule="auto"/>
      </w:pPr>
      <w:r>
        <w:t xml:space="preserve">De motie van de leden Keijzer en </w:t>
      </w:r>
      <w:r>
        <w:t>Kisteman</w:t>
      </w:r>
      <w:r>
        <w:t xml:space="preserve"> vraagt het kabinet naar de gevolgen van een vacaturestop. Uw Kamer heeft op 17 september jl. ook de motie aangenomen van de leden </w:t>
      </w:r>
      <w:r>
        <w:t>Brekelman</w:t>
      </w:r>
      <w:r w:rsidR="006F038A">
        <w:t>s</w:t>
      </w:r>
      <w:r>
        <w:t xml:space="preserve"> (VVD) en Bontenbal (CDA) over het opstellen van een besparingsplan met efficiencyverbetering door AI en gerichte vacaturestops.</w:t>
      </w:r>
      <w:r>
        <w:rPr>
          <w:rStyle w:val="FootnoteReference"/>
        </w:rPr>
        <w:footnoteReference w:id="3"/>
      </w:r>
      <w:r>
        <w:t xml:space="preserve"> Hieronder ga ik in op dit onderdeel van beide moties. </w:t>
      </w:r>
    </w:p>
    <w:p w:rsidR="00B13AA5" w:rsidP="00B13AA5" w14:paraId="6E734833" w14:textId="77777777">
      <w:pPr>
        <w:spacing w:line="276" w:lineRule="auto"/>
      </w:pPr>
    </w:p>
    <w:p w:rsidRPr="007F164F" w:rsidR="003F71B4" w:rsidP="003F71B4" w14:paraId="57A5AFBB" w14:textId="77777777">
      <w:pPr>
        <w:spacing w:line="276" w:lineRule="auto"/>
        <w:rPr>
          <w:rFonts w:cstheme="minorHAnsi"/>
          <w:color w:val="000000" w:themeColor="text1"/>
        </w:rPr>
      </w:pPr>
      <w:r>
        <w:rPr>
          <w:rFonts w:cstheme="minorHAnsi"/>
        </w:rPr>
        <w:t xml:space="preserve">De regering </w:t>
      </w:r>
      <w:r w:rsidRPr="00B16496">
        <w:rPr>
          <w:rFonts w:cstheme="minorHAnsi"/>
        </w:rPr>
        <w:t>bouw</w:t>
      </w:r>
      <w:r>
        <w:rPr>
          <w:rFonts w:cstheme="minorHAnsi"/>
        </w:rPr>
        <w:t xml:space="preserve">t </w:t>
      </w:r>
      <w:r w:rsidRPr="00B16496">
        <w:rPr>
          <w:rFonts w:cstheme="minorHAnsi"/>
        </w:rPr>
        <w:t xml:space="preserve">aan een slagvaardige overheid die focust op wat echt nodig is. </w:t>
      </w:r>
      <w:r w:rsidRPr="00556D16" w:rsidR="00B13AA5">
        <w:rPr>
          <w:rFonts w:cstheme="minorHAnsi"/>
        </w:rPr>
        <w:t xml:space="preserve">Het </w:t>
      </w:r>
      <w:r w:rsidR="00040D86">
        <w:rPr>
          <w:rFonts w:cstheme="minorHAnsi"/>
        </w:rPr>
        <w:t xml:space="preserve">vergroten van de doelmatigheid en het </w:t>
      </w:r>
      <w:r w:rsidRPr="00556D16" w:rsidR="00B13AA5">
        <w:rPr>
          <w:rFonts w:cstheme="minorHAnsi"/>
        </w:rPr>
        <w:t xml:space="preserve">kleiner maken van de overheid is iets waar ik mij als staatssecretaris voor inzet. Een </w:t>
      </w:r>
      <w:r w:rsidR="00B13AA5">
        <w:rPr>
          <w:rFonts w:cstheme="minorHAnsi"/>
        </w:rPr>
        <w:t xml:space="preserve">generieke </w:t>
      </w:r>
      <w:r w:rsidRPr="00556D16" w:rsidR="00B13AA5">
        <w:rPr>
          <w:rFonts w:cstheme="minorHAnsi"/>
        </w:rPr>
        <w:t xml:space="preserve">vacaturestop </w:t>
      </w:r>
      <w:r w:rsidR="00B13AA5">
        <w:rPr>
          <w:rFonts w:cstheme="minorHAnsi"/>
        </w:rPr>
        <w:t>zou daarbij ingrijpen</w:t>
      </w:r>
      <w:r w:rsidRPr="00556D16" w:rsidR="00B13AA5">
        <w:rPr>
          <w:rFonts w:cstheme="minorHAnsi"/>
        </w:rPr>
        <w:t xml:space="preserve"> op het gehele personeelsbestand zonder onderscheid te maken tussen functies die kunnen vervallen, functies die kunnen worden verminderd of anders ingevuld</w:t>
      </w:r>
      <w:r w:rsidR="00B13AA5">
        <w:rPr>
          <w:rFonts w:cstheme="minorHAnsi"/>
        </w:rPr>
        <w:t>,</w:t>
      </w:r>
      <w:r w:rsidRPr="00556D16" w:rsidR="00B13AA5">
        <w:rPr>
          <w:rFonts w:cstheme="minorHAnsi"/>
        </w:rPr>
        <w:t xml:space="preserve"> en functies waar juist schaarste bestaat. Daarmee bestaat het risico dat de totale personele omvang </w:t>
      </w:r>
      <w:r w:rsidR="007509F5">
        <w:rPr>
          <w:rFonts w:cstheme="minorHAnsi"/>
        </w:rPr>
        <w:t xml:space="preserve">van de rijksdienst </w:t>
      </w:r>
      <w:r w:rsidRPr="00556D16" w:rsidR="00B13AA5">
        <w:rPr>
          <w:rFonts w:cstheme="minorHAnsi"/>
        </w:rPr>
        <w:t xml:space="preserve">weliswaar tijdelijk wordt geremd, maar dat tegelijkertijd </w:t>
      </w:r>
      <w:r w:rsidR="007D47E6">
        <w:rPr>
          <w:rFonts w:cstheme="minorHAnsi"/>
        </w:rPr>
        <w:t xml:space="preserve">talent, </w:t>
      </w:r>
      <w:r w:rsidRPr="00556D16" w:rsidR="00B13AA5">
        <w:rPr>
          <w:rFonts w:cstheme="minorHAnsi"/>
        </w:rPr>
        <w:t>kennis, expertise, vernieuwing en uitvoeringscapaciteit verloren gaan op plaatsen waar deze juist nodig zijn</w:t>
      </w:r>
      <w:r w:rsidR="007D47E6">
        <w:rPr>
          <w:rFonts w:cstheme="minorHAnsi"/>
        </w:rPr>
        <w:t xml:space="preserve"> om Nederland slagvaardiger te maken</w:t>
      </w:r>
      <w:r w:rsidRPr="00556D16" w:rsidR="00B13AA5">
        <w:rPr>
          <w:rFonts w:cstheme="minorHAnsi"/>
        </w:rPr>
        <w:t xml:space="preserve">. </w:t>
      </w:r>
      <w:r w:rsidR="00B13AA5">
        <w:rPr>
          <w:rFonts w:cstheme="minorHAnsi"/>
        </w:rPr>
        <w:t xml:space="preserve">Mogelijke </w:t>
      </w:r>
      <w:r w:rsidR="007D47E6">
        <w:rPr>
          <w:rFonts w:cstheme="minorHAnsi"/>
        </w:rPr>
        <w:t xml:space="preserve">ongewenste </w:t>
      </w:r>
      <w:r w:rsidR="00B13AA5">
        <w:rPr>
          <w:rFonts w:cstheme="minorHAnsi"/>
        </w:rPr>
        <w:t>gevolgen zijn</w:t>
      </w:r>
      <w:r w:rsidRPr="00556D16" w:rsidR="00B13AA5">
        <w:rPr>
          <w:rFonts w:cstheme="minorHAnsi"/>
        </w:rPr>
        <w:t xml:space="preserve"> een grotere afhankelijkheid van externe inhuur of onvoldoende capaciteit voor essentiële</w:t>
      </w:r>
      <w:r w:rsidRPr="007F164F" w:rsidR="00B13AA5">
        <w:rPr>
          <w:rFonts w:cstheme="minorHAnsi"/>
          <w:color w:val="000000" w:themeColor="text1"/>
        </w:rPr>
        <w:t xml:space="preserve"> overheidstaken. </w:t>
      </w:r>
      <w:r w:rsidRPr="007F164F">
        <w:rPr>
          <w:rFonts w:cstheme="minorHAnsi"/>
          <w:color w:val="000000" w:themeColor="text1"/>
        </w:rPr>
        <w:t xml:space="preserve">Een selectieve vacaturestop kan bijdragen aan het realiseren van de doelen van Slagvaardige Overheid. Departementen kunnen </w:t>
      </w:r>
      <w:r w:rsidRPr="007F164F">
        <w:rPr>
          <w:rFonts w:cstheme="minorHAnsi"/>
          <w:color w:val="000000" w:themeColor="text1"/>
        </w:rPr>
        <w:t>namelijk het beste zelf bezien waar personele krimp moet plaatsvinden (door het schrappen van taken, digitalisering, vervanging of anderszins) of dat gerichte instroom daadwerkelijk noodzakelijk is voor het realiseren van de opgaven. In de voorjaarsnota wordt de Kamer geïnformeerd over de stand van zaken hieromtrent op dat moment.</w:t>
      </w:r>
    </w:p>
    <w:p w:rsidR="00B13AA5" w:rsidP="00B13AA5" w14:paraId="0A5385A8" w14:textId="77777777">
      <w:pPr>
        <w:spacing w:line="276" w:lineRule="auto"/>
        <w:rPr>
          <w:rFonts w:cstheme="minorHAnsi"/>
        </w:rPr>
      </w:pPr>
    </w:p>
    <w:p w:rsidR="00B13AA5" w:rsidP="00B13AA5" w14:paraId="413B4703" w14:textId="77777777">
      <w:pPr>
        <w:spacing w:line="276" w:lineRule="auto"/>
        <w:rPr>
          <w:i/>
          <w:iCs/>
        </w:rPr>
      </w:pPr>
      <w:r>
        <w:rPr>
          <w:i/>
          <w:iCs/>
        </w:rPr>
        <w:t>Doorlichting a</w:t>
      </w:r>
      <w:r w:rsidRPr="004D7214">
        <w:rPr>
          <w:i/>
          <w:iCs/>
        </w:rPr>
        <w:t xml:space="preserve">dviescolleges, commissies, regeringscommissarissen en vergelijkbare adviesstructuren door te lichten </w:t>
      </w:r>
      <w:r>
        <w:rPr>
          <w:i/>
          <w:iCs/>
        </w:rPr>
        <w:t>en vermindering aantal adviesorganen</w:t>
      </w:r>
    </w:p>
    <w:p w:rsidR="00B13AA5" w:rsidP="00B13AA5" w14:paraId="1A2014C9" w14:textId="77777777">
      <w:pPr>
        <w:spacing w:line="276" w:lineRule="auto"/>
      </w:pPr>
      <w:r w:rsidRPr="004A0E83">
        <w:t xml:space="preserve">De motie van </w:t>
      </w:r>
      <w:r>
        <w:t>de leden</w:t>
      </w:r>
      <w:r w:rsidRPr="004A0E83">
        <w:t xml:space="preserve"> Keijzer</w:t>
      </w:r>
      <w:r>
        <w:t xml:space="preserve"> en </w:t>
      </w:r>
      <w:r w:rsidRPr="004A0E83">
        <w:t>Kisteman</w:t>
      </w:r>
      <w:r w:rsidRPr="004A0E83">
        <w:t xml:space="preserve"> vraagt het kabinet</w:t>
      </w:r>
      <w:r w:rsidR="00E0092E">
        <w:t xml:space="preserve"> ook</w:t>
      </w:r>
      <w:r w:rsidRPr="004A0E83">
        <w:t xml:space="preserve"> </w:t>
      </w:r>
      <w:r>
        <w:t>om</w:t>
      </w:r>
      <w:r w:rsidRPr="004A0E83">
        <w:t xml:space="preserve"> adviescolleges, commissies, regeringscommissarissen en vergelijkbare adviesstructuren door te lichten en toe te werken naar een vermindering</w:t>
      </w:r>
      <w:r>
        <w:t xml:space="preserve"> van adviesorganen. </w:t>
      </w:r>
      <w:r w:rsidRPr="004A0E83">
        <w:t xml:space="preserve">In de Actieagenda Slagvaardige Overheid </w:t>
      </w:r>
      <w:r>
        <w:t>van</w:t>
      </w:r>
      <w:r w:rsidRPr="004A0E83">
        <w:t xml:space="preserve"> </w:t>
      </w:r>
      <w:r>
        <w:t xml:space="preserve">afgelopen 26 </w:t>
      </w:r>
      <w:r w:rsidRPr="004A0E83">
        <w:t>juni</w:t>
      </w:r>
      <w:r>
        <w:t xml:space="preserve"> </w:t>
      </w:r>
      <w:r w:rsidRPr="004A0E83">
        <w:t>heeft het kabinet</w:t>
      </w:r>
      <w:r>
        <w:t xml:space="preserve"> aangekondigd </w:t>
      </w:r>
      <w:r w:rsidRPr="004A0E83">
        <w:t>het aantal adviesorganen te</w:t>
      </w:r>
      <w:r>
        <w:t xml:space="preserve"> willen</w:t>
      </w:r>
      <w:r w:rsidRPr="004A0E83">
        <w:t xml:space="preserve"> beperken.</w:t>
      </w:r>
      <w:r>
        <w:rPr>
          <w:rStyle w:val="FootnoteReference"/>
        </w:rPr>
        <w:footnoteReference w:id="4"/>
      </w:r>
      <w:r>
        <w:t xml:space="preserve"> In de voortgangsbrief </w:t>
      </w:r>
      <w:r w:rsidR="007509F5">
        <w:t xml:space="preserve">Slagvaardige </w:t>
      </w:r>
      <w:r w:rsidRPr="00E0092E" w:rsidR="007509F5">
        <w:t>Overheid</w:t>
      </w:r>
      <w:r w:rsidRPr="00E0092E">
        <w:t xml:space="preserve"> d.d. </w:t>
      </w:r>
      <w:r w:rsidRPr="00E0092E" w:rsidR="00FF318D">
        <w:t>26 oktober 2026</w:t>
      </w:r>
      <w:r w:rsidRPr="00E0092E">
        <w:t xml:space="preserve"> heb ik deze</w:t>
      </w:r>
      <w:r>
        <w:t xml:space="preserve"> inzet nader toegelicht.</w:t>
      </w:r>
      <w:r>
        <w:rPr>
          <w:rStyle w:val="FootnoteReference"/>
        </w:rPr>
        <w:footnoteReference w:id="5"/>
      </w:r>
      <w:r>
        <w:t xml:space="preserve"> </w:t>
      </w:r>
      <w:r w:rsidR="00812D8F">
        <w:t xml:space="preserve">De kwaliteit van adviezen is doorgaans hoog en zij kunnen van waarde zijn voor beleid en wetgeving. Tegelijkertijd draagt een veelheid aan adviezen niet vanzelfsprekend bij aan betere beleidsvorming. </w:t>
      </w:r>
      <w:r>
        <w:t xml:space="preserve">De inzet ziet op het substantieel terug brengen van het aantal adviescolleges en externe adviescommissies, advies te bundelen en onafhankelijkheid te borgen. </w:t>
      </w:r>
    </w:p>
    <w:p w:rsidR="00B13AA5" w:rsidP="00B13AA5" w14:paraId="5BCA1C90" w14:textId="77777777">
      <w:pPr>
        <w:spacing w:line="276" w:lineRule="auto"/>
      </w:pPr>
    </w:p>
    <w:p w:rsidR="00B13AA5" w:rsidP="00B13AA5" w14:paraId="73B6AD55" w14:textId="77777777">
      <w:pPr>
        <w:spacing w:line="276" w:lineRule="auto"/>
      </w:pPr>
      <w:r>
        <w:t>Het in kaart brengen van het advieslandschap is daarvoor belangrijk.</w:t>
      </w:r>
      <w:r w:rsidRPr="00E460A4">
        <w:t xml:space="preserve"> Ik heb uw Kamer </w:t>
      </w:r>
      <w:r>
        <w:t xml:space="preserve">dan ook </w:t>
      </w:r>
      <w:r w:rsidR="00545C18">
        <w:t xml:space="preserve">op verzoek van het lid Keijzer </w:t>
      </w:r>
      <w:r w:rsidRPr="00E460A4">
        <w:t>recent geïnformeerd over de wettelijke grondslagen, taken en geraamde uitgaven</w:t>
      </w:r>
      <w:r w:rsidR="008647C8">
        <w:t xml:space="preserve"> van adviescolleges die adviseren over beleid en wetgeving</w:t>
      </w:r>
      <w:r w:rsidRPr="00E460A4">
        <w:t>.</w:t>
      </w:r>
      <w:r>
        <w:rPr>
          <w:rStyle w:val="FootnoteReference"/>
        </w:rPr>
        <w:footnoteReference w:id="6"/>
      </w:r>
      <w:r w:rsidRPr="00E460A4">
        <w:t xml:space="preserve"> Daarnaast heb ik toegezegd om de opbrengst van de interdepartementale inventarisatie van externe commissies </w:t>
      </w:r>
      <w:r>
        <w:t xml:space="preserve">-in aanvulling op het al eerder verstrekte overzicht van adviescolleges- </w:t>
      </w:r>
      <w:r w:rsidRPr="00E460A4">
        <w:t>uiterlijk eind oktober met uw Kamer te delen.</w:t>
      </w:r>
      <w:r>
        <w:rPr>
          <w:rStyle w:val="FootnoteReference"/>
        </w:rPr>
        <w:footnoteReference w:id="7"/>
      </w:r>
      <w:r>
        <w:t xml:space="preserve"> </w:t>
      </w:r>
      <w:r w:rsidRPr="00E460A4">
        <w:t xml:space="preserve">Bijgevoegd doe ik u deze lijst met externe commissies toekomen. </w:t>
      </w:r>
      <w:r>
        <w:t>De lijst is vastgesteld volgens onderstaande criteria, met als peildatum 1 oktober 2026:</w:t>
      </w:r>
    </w:p>
    <w:p w:rsidR="00B13AA5" w:rsidP="00B13AA5" w14:paraId="42247ABC" w14:textId="77777777">
      <w:pPr>
        <w:pStyle w:val="ListParagraph"/>
        <w:numPr>
          <w:ilvl w:val="0"/>
          <w:numId w:val="7"/>
        </w:numPr>
        <w:autoSpaceDN/>
        <w:spacing w:after="160" w:line="276" w:lineRule="auto"/>
        <w:textAlignment w:val="auto"/>
      </w:pPr>
      <w:r w:rsidRPr="00957590">
        <w:t>De commissie is actief en heeft een publiekrechtelijke grondslag in een wet, koninklijk besluit of ministeriële regeling.</w:t>
      </w:r>
      <w:r w:rsidRPr="00957590">
        <w:rPr>
          <w:i/>
          <w:iCs/>
        </w:rPr>
        <w:t xml:space="preserve"> </w:t>
      </w:r>
      <w:r w:rsidRPr="00957590">
        <w:t xml:space="preserve">De commissie is geen Kaderwet-adviescollege en geen zelfstandig bestuursorgaan. </w:t>
      </w:r>
    </w:p>
    <w:p w:rsidR="00B13AA5" w:rsidP="00B13AA5" w14:paraId="0C8544A8" w14:textId="77777777">
      <w:pPr>
        <w:pStyle w:val="ListParagraph"/>
        <w:numPr>
          <w:ilvl w:val="0"/>
          <w:numId w:val="7"/>
        </w:numPr>
        <w:autoSpaceDN/>
        <w:spacing w:after="160" w:line="276" w:lineRule="auto"/>
        <w:textAlignment w:val="auto"/>
      </w:pPr>
      <w:r w:rsidRPr="00957590">
        <w:t>De commissie adviseert of doet aanbevelingen aan één of meerdere bewindspersonen.</w:t>
      </w:r>
    </w:p>
    <w:p w:rsidR="00B13AA5" w:rsidP="00B13AA5" w14:paraId="6FA7AA02" w14:textId="77777777">
      <w:pPr>
        <w:pStyle w:val="ListParagraph"/>
        <w:numPr>
          <w:ilvl w:val="0"/>
          <w:numId w:val="7"/>
        </w:numPr>
        <w:autoSpaceDN/>
        <w:spacing w:after="160" w:line="276" w:lineRule="auto"/>
        <w:textAlignment w:val="auto"/>
      </w:pPr>
      <w:r w:rsidRPr="00957590">
        <w:t xml:space="preserve">De commissie opereert inhoudelijk onafhankelijk en bestaat voor minder dan de helft uit ambtenaren die werkzaam zijn bij een ministerie of een daaronder ressorterende instelling, dienst of bedrijf, en die in verband met hun werkzaamheden in de commissie zitting hebben. </w:t>
      </w:r>
    </w:p>
    <w:p w:rsidR="00B13AA5" w:rsidP="00B13AA5" w14:paraId="0E320BC9" w14:textId="77777777">
      <w:pPr>
        <w:pStyle w:val="ListParagraph"/>
        <w:numPr>
          <w:ilvl w:val="0"/>
          <w:numId w:val="7"/>
        </w:numPr>
        <w:autoSpaceDN/>
        <w:spacing w:after="160" w:line="276" w:lineRule="auto"/>
        <w:textAlignment w:val="auto"/>
      </w:pPr>
      <w:r w:rsidRPr="00957590">
        <w:t>De commissie adviseert niet over personeelszaken van één of meerdere ministeries.</w:t>
      </w:r>
    </w:p>
    <w:p w:rsidR="00B13AA5" w:rsidP="00B13AA5" w14:paraId="30FAD7A4" w14:textId="77777777">
      <w:pPr>
        <w:spacing w:line="276" w:lineRule="auto"/>
      </w:pPr>
      <w:r>
        <w:t xml:space="preserve">De motie vraagt ook aandacht voor regeringscommissarissen en vergelijkbare adviesstructuren. Een </w:t>
      </w:r>
      <w:r w:rsidRPr="000447A4">
        <w:t xml:space="preserve">regeringscommissaris is geen adviesorgaan, maar een functie als specifieke ambtenaar binnen </w:t>
      </w:r>
      <w:r>
        <w:t xml:space="preserve">een </w:t>
      </w:r>
      <w:r w:rsidRPr="000447A4">
        <w:t>ministerie. De regeringscommissaris werkt onder de ministeriële verantwoordelijkheid</w:t>
      </w:r>
      <w:r>
        <w:t xml:space="preserve"> en voert binnen de kaders van zijn of haar opdracht werkzaamheden uit</w:t>
      </w:r>
      <w:r w:rsidRPr="000447A4">
        <w:t xml:space="preserve">. </w:t>
      </w:r>
      <w:r w:rsidR="00812D8F">
        <w:t xml:space="preserve">De wens om een regeringscommissaris </w:t>
      </w:r>
      <w:r w:rsidR="00812D8F">
        <w:t xml:space="preserve">aan te stellen komt doorgaans vanuit het kabinet, in het licht van een complexe maatschappelijke opgave. Ook de Kamer kan ertoe roepen om een regeringscommissaris aan te stellen. De verantwoordelijk minister besluit tot instelling van de functie. </w:t>
      </w:r>
      <w:r>
        <w:t>Er zijn geen vergelijkbare adviesstructuren</w:t>
      </w:r>
      <w:r w:rsidR="00545C18">
        <w:t xml:space="preserve"> </w:t>
      </w:r>
      <w:r>
        <w:t>bekend dan de hierboven genoemde adviescolleges en adviescommissies</w:t>
      </w:r>
      <w:r w:rsidR="002F2625">
        <w:t>.</w:t>
      </w:r>
    </w:p>
    <w:p w:rsidRPr="007F164F" w:rsidR="007F164F" w:rsidP="00B13AA5" w14:paraId="222F7C35" w14:textId="77777777">
      <w:pPr>
        <w:spacing w:line="276" w:lineRule="auto"/>
      </w:pPr>
    </w:p>
    <w:p w:rsidR="00B13AA5" w:rsidP="00B13AA5" w14:paraId="12BCB7A0" w14:textId="77777777">
      <w:pPr>
        <w:spacing w:line="276" w:lineRule="auto"/>
        <w:rPr>
          <w:i/>
          <w:iCs/>
        </w:rPr>
      </w:pPr>
      <w:r>
        <w:rPr>
          <w:i/>
          <w:iCs/>
        </w:rPr>
        <w:t>R</w:t>
      </w:r>
      <w:r w:rsidRPr="004D7214">
        <w:rPr>
          <w:i/>
          <w:iCs/>
        </w:rPr>
        <w:t xml:space="preserve">ijkssubsidies aan maatschappelijke organisaties uitsluitend </w:t>
      </w:r>
      <w:r w:rsidR="000A211A">
        <w:rPr>
          <w:i/>
          <w:iCs/>
        </w:rPr>
        <w:t>vers</w:t>
      </w:r>
      <w:r w:rsidRPr="004D7214">
        <w:rPr>
          <w:i/>
          <w:iCs/>
        </w:rPr>
        <w:t>t</w:t>
      </w:r>
      <w:r w:rsidR="000A211A">
        <w:rPr>
          <w:i/>
          <w:iCs/>
        </w:rPr>
        <w:t>rek</w:t>
      </w:r>
      <w:r w:rsidR="00E650EA">
        <w:rPr>
          <w:i/>
          <w:iCs/>
        </w:rPr>
        <w:t>ken</w:t>
      </w:r>
      <w:r w:rsidRPr="004D7214">
        <w:rPr>
          <w:i/>
          <w:iCs/>
        </w:rPr>
        <w:t xml:space="preserve"> bij een inkomen bestaand</w:t>
      </w:r>
      <w:r w:rsidR="00E650EA">
        <w:rPr>
          <w:i/>
          <w:iCs/>
        </w:rPr>
        <w:t>e</w:t>
      </w:r>
      <w:r w:rsidRPr="004D7214">
        <w:rPr>
          <w:i/>
          <w:iCs/>
        </w:rPr>
        <w:t xml:space="preserve"> uit ten minste 25% niet-overheidsbronnen</w:t>
      </w:r>
    </w:p>
    <w:p w:rsidR="00DF418D" w:rsidP="00B13AA5" w14:paraId="6CDD3BB4" w14:textId="77777777">
      <w:pPr>
        <w:spacing w:line="276" w:lineRule="auto"/>
      </w:pPr>
      <w:r>
        <w:t>Vakministers zijn zelf verantwoordelijk voor de uitwerking van subsidies</w:t>
      </w:r>
      <w:r>
        <w:t xml:space="preserve"> en de</w:t>
      </w:r>
      <w:r w:rsidR="00863FD9">
        <w:t xml:space="preserve"> bijkomende</w:t>
      </w:r>
      <w:r>
        <w:t xml:space="preserve"> subsidievoorwaarden.</w:t>
      </w:r>
      <w:r>
        <w:t xml:space="preserve"> </w:t>
      </w:r>
      <w:r>
        <w:t xml:space="preserve">Subsidievoorwaarden zijn niet uniform binnen de Rijksoverheid, omdat die worden opgesteld passend bij het doel van de subsidie, de doelgroep en mate van subsidiëring. </w:t>
      </w:r>
      <w:r w:rsidRPr="00907C87" w:rsidR="00907C87">
        <w:t xml:space="preserve">Een vaste subsidievoorwaarde </w:t>
      </w:r>
      <w:r w:rsidRPr="00907C87" w:rsidR="00907C87">
        <w:t>rijksbreed</w:t>
      </w:r>
      <w:r w:rsidRPr="00907C87" w:rsidR="00907C87">
        <w:t xml:space="preserve"> vaststellen zoals </w:t>
      </w:r>
      <w:r w:rsidR="00545C18">
        <w:t xml:space="preserve">in </w:t>
      </w:r>
      <w:r w:rsidRPr="00907C87" w:rsidR="00907C87">
        <w:t xml:space="preserve">de motie van de leden Keijzer en </w:t>
      </w:r>
      <w:r w:rsidRPr="00907C87" w:rsidR="00907C87">
        <w:t>Kisteman</w:t>
      </w:r>
      <w:r w:rsidRPr="00907C87" w:rsidR="00907C87">
        <w:t xml:space="preserve"> </w:t>
      </w:r>
      <w:r w:rsidR="00545C18">
        <w:t>wordt gevraagd,</w:t>
      </w:r>
      <w:r w:rsidRPr="00907C87" w:rsidR="00907C87">
        <w:t xml:space="preserve"> </w:t>
      </w:r>
      <w:r w:rsidR="000C7DBA">
        <w:t>ligt daarom niet in de rede.</w:t>
      </w:r>
      <w:r w:rsidR="00186C9E">
        <w:t xml:space="preserve"> Een wens tot het aanpassen van subsidievoorwaarden dient met de betreffende vakminister te worden opgenomen.</w:t>
      </w:r>
    </w:p>
    <w:p w:rsidR="00B13AA5" w:rsidP="00B13AA5" w14:paraId="7E486CA3" w14:textId="77777777">
      <w:pPr>
        <w:spacing w:line="276" w:lineRule="auto"/>
      </w:pPr>
    </w:p>
    <w:p w:rsidR="00B13AA5" w:rsidP="00B13AA5" w14:paraId="3B7C99FC" w14:textId="77777777">
      <w:pPr>
        <w:spacing w:line="276" w:lineRule="auto"/>
      </w:pPr>
    </w:p>
    <w:p w:rsidR="00B13AA5" w:rsidP="00B13AA5" w14:paraId="362C1A43" w14:textId="77777777">
      <w:pPr>
        <w:spacing w:line="276" w:lineRule="auto"/>
      </w:pPr>
      <w:r>
        <w:t>De staatssecretaris van Binnenlandse Zaken en Koninkrijksrelaties,</w:t>
      </w:r>
    </w:p>
    <w:p w:rsidR="00B521A7" w:rsidP="00B13AA5" w14:paraId="54F83B47" w14:textId="77777777">
      <w:pPr>
        <w:spacing w:line="276" w:lineRule="auto"/>
      </w:pPr>
    </w:p>
    <w:p w:rsidR="00B521A7" w:rsidP="00B13AA5" w14:paraId="520702CF" w14:textId="77777777">
      <w:pPr>
        <w:spacing w:line="276" w:lineRule="auto"/>
      </w:pPr>
    </w:p>
    <w:p w:rsidR="00B521A7" w:rsidP="00B13AA5" w14:paraId="7203AE3D" w14:textId="77777777">
      <w:pPr>
        <w:spacing w:line="276" w:lineRule="auto"/>
      </w:pPr>
    </w:p>
    <w:p w:rsidR="00B521A7" w:rsidP="00B13AA5" w14:paraId="124061B5" w14:textId="77777777">
      <w:pPr>
        <w:spacing w:line="276" w:lineRule="auto"/>
      </w:pPr>
    </w:p>
    <w:p w:rsidR="00B521A7" w:rsidP="00B13AA5" w14:paraId="4AF126DC" w14:textId="77777777">
      <w:pPr>
        <w:spacing w:line="276" w:lineRule="auto"/>
      </w:pPr>
    </w:p>
    <w:p w:rsidR="00B521A7" w:rsidP="00B13AA5" w14:paraId="206C920D" w14:textId="77777777">
      <w:pPr>
        <w:spacing w:line="276" w:lineRule="auto"/>
      </w:pPr>
      <w:r>
        <w:t>Eric van der Burg</w:t>
      </w:r>
    </w:p>
    <w:p w:rsidR="00B13AA5" w:rsidP="00B13AA5" w14:paraId="002BC52F" w14:textId="77777777">
      <w:pPr>
        <w:pStyle w:val="WitregelW1bodytekst"/>
        <w:spacing w:line="276" w:lineRule="auto"/>
      </w:pPr>
    </w:p>
    <w:p w:rsidR="00B13AA5" w:rsidP="00B13AA5" w14:paraId="2A3841FD" w14:textId="77777777">
      <w:pPr>
        <w:pStyle w:val="Pagina-eindeKop1"/>
        <w:spacing w:line="276" w:lineRule="auto"/>
      </w:pPr>
      <w:r>
        <w:t>B</w:t>
      </w:r>
      <w:r>
        <w:t>ijlagen</w:t>
      </w:r>
    </w:p>
    <w:tbl>
      <w:tblPr>
        <w:tblStyle w:val="TabelRijkshuisstijl"/>
        <w:tblW w:w="7541" w:type="dxa"/>
        <w:tblInd w:w="0" w:type="dxa"/>
        <w:tblLayout w:type="fixed"/>
        <w:tblLook w:val="07E0"/>
      </w:tblPr>
      <w:tblGrid>
        <w:gridCol w:w="1509"/>
        <w:gridCol w:w="3016"/>
        <w:gridCol w:w="3016"/>
      </w:tblGrid>
      <w:tr w:rsidTr="007E2AB5" w14:paraId="35862108" w14:textId="77777777">
        <w:tblPrEx>
          <w:tblW w:w="7541" w:type="dxa"/>
          <w:tblInd w:w="0" w:type="dxa"/>
          <w:tblLayout w:type="fixed"/>
          <w:tblLook w:val="07E0"/>
        </w:tblPrEx>
        <w:tc>
          <w:tcPr>
            <w:tcW w:w="1509" w:type="dxa"/>
          </w:tcPr>
          <w:p w:rsidR="00B13AA5" w:rsidP="007E2AB5" w14:paraId="4B485D4E" w14:textId="77777777">
            <w:pPr>
              <w:spacing w:line="276" w:lineRule="auto"/>
            </w:pPr>
            <w:r>
              <w:t>Volgnummer</w:t>
            </w:r>
          </w:p>
        </w:tc>
        <w:tc>
          <w:tcPr>
            <w:tcW w:w="3016" w:type="dxa"/>
          </w:tcPr>
          <w:p w:rsidR="00B13AA5" w:rsidP="007E2AB5" w14:paraId="32304BC2" w14:textId="77777777">
            <w:pPr>
              <w:spacing w:line="276" w:lineRule="auto"/>
            </w:pPr>
            <w:r>
              <w:t>Naam</w:t>
            </w:r>
          </w:p>
        </w:tc>
        <w:tc>
          <w:tcPr>
            <w:tcW w:w="3016" w:type="dxa"/>
          </w:tcPr>
          <w:p w:rsidR="00B13AA5" w:rsidP="007E2AB5" w14:paraId="01D723D4" w14:textId="77777777">
            <w:pPr>
              <w:spacing w:line="276" w:lineRule="auto"/>
            </w:pPr>
            <w:r>
              <w:t>Classificatie</w:t>
            </w:r>
          </w:p>
        </w:tc>
      </w:tr>
      <w:tr w:rsidTr="007E2AB5" w14:paraId="0DEE44A8" w14:textId="77777777">
        <w:tblPrEx>
          <w:tblW w:w="7541" w:type="dxa"/>
          <w:tblInd w:w="0" w:type="dxa"/>
          <w:tblLayout w:type="fixed"/>
          <w:tblLook w:val="07E0"/>
        </w:tblPrEx>
        <w:tc>
          <w:tcPr>
            <w:tcW w:w="1509" w:type="dxa"/>
          </w:tcPr>
          <w:p w:rsidR="00B13AA5" w:rsidP="007E2AB5" w14:paraId="75ADFF68" w14:textId="77777777">
            <w:pPr>
              <w:spacing w:line="276" w:lineRule="auto"/>
            </w:pPr>
            <w:r>
              <w:t>1</w:t>
            </w:r>
          </w:p>
        </w:tc>
        <w:tc>
          <w:tcPr>
            <w:tcW w:w="3016" w:type="dxa"/>
          </w:tcPr>
          <w:p w:rsidR="00B13AA5" w:rsidP="007E2AB5" w14:paraId="2F2C1EE9" w14:textId="77777777">
            <w:pPr>
              <w:spacing w:line="276" w:lineRule="auto"/>
            </w:pPr>
            <w:r>
              <w:t>Gewijzigde motie leden Keijzer/</w:t>
            </w:r>
            <w:r>
              <w:t>Kisteman</w:t>
            </w:r>
          </w:p>
        </w:tc>
        <w:tc>
          <w:tcPr>
            <w:tcW w:w="3016" w:type="dxa"/>
          </w:tcPr>
          <w:p w:rsidR="00B13AA5" w:rsidP="007E2AB5" w14:paraId="4AAA9A4C" w14:textId="77777777">
            <w:pPr>
              <w:spacing w:line="276" w:lineRule="auto"/>
            </w:pPr>
          </w:p>
        </w:tc>
      </w:tr>
      <w:tr w:rsidTr="007E2AB5" w14:paraId="188E6603" w14:textId="77777777">
        <w:tblPrEx>
          <w:tblW w:w="7541" w:type="dxa"/>
          <w:tblInd w:w="0" w:type="dxa"/>
          <w:tblLayout w:type="fixed"/>
          <w:tblLook w:val="07E0"/>
        </w:tblPrEx>
        <w:tc>
          <w:tcPr>
            <w:tcW w:w="1509" w:type="dxa"/>
          </w:tcPr>
          <w:p w:rsidR="00B13AA5" w:rsidP="007E2AB5" w14:paraId="08CC9BDB" w14:textId="77777777">
            <w:pPr>
              <w:spacing w:line="276" w:lineRule="auto"/>
            </w:pPr>
            <w:r>
              <w:t>2</w:t>
            </w:r>
          </w:p>
        </w:tc>
        <w:tc>
          <w:tcPr>
            <w:tcW w:w="3016" w:type="dxa"/>
          </w:tcPr>
          <w:p w:rsidR="00B13AA5" w:rsidP="007E2AB5" w14:paraId="2C83C43A" w14:textId="77777777">
            <w:pPr>
              <w:spacing w:line="276" w:lineRule="auto"/>
            </w:pPr>
            <w:r w:rsidRPr="00013D9D">
              <w:t>Lijst externe adviescommissies buiten de Kaderwet adviescolleges</w:t>
            </w:r>
            <w:r w:rsidR="00232F75">
              <w:t xml:space="preserve"> </w:t>
            </w:r>
            <w:r w:rsidRPr="00013D9D">
              <w:t>1 oktober 2026</w:t>
            </w:r>
          </w:p>
        </w:tc>
        <w:tc>
          <w:tcPr>
            <w:tcW w:w="3016" w:type="dxa"/>
          </w:tcPr>
          <w:p w:rsidR="00B13AA5" w:rsidP="007E2AB5" w14:paraId="560BAA3A" w14:textId="77777777">
            <w:pPr>
              <w:spacing w:line="276" w:lineRule="auto"/>
            </w:pPr>
          </w:p>
        </w:tc>
      </w:tr>
    </w:tbl>
    <w:p w:rsidR="00B13AA5" w:rsidP="00B13AA5" w14:paraId="29EC4CFE" w14:textId="77777777">
      <w:pPr>
        <w:spacing w:line="276" w:lineRule="auto"/>
      </w:pPr>
    </w:p>
    <w:p w:rsidR="00F10A29" w:rsidP="00B13AA5" w14:paraId="6952862F" w14:textId="77777777">
      <w:pPr>
        <w:spacing w:line="276" w:lineRule="auto"/>
      </w:pPr>
    </w:p>
    <w:sectPr>
      <w:headerReference w:type="even" r:id="rId9"/>
      <w:headerReference w:type="default" r:id="rId10"/>
      <w:footerReference w:type="even" r:id="rId11"/>
      <w:footerReference w:type="default" r:id="rId12"/>
      <w:headerReference w:type="first" r:id="rId13"/>
      <w:footerReference w:type="first" r:id="rId14"/>
      <w:pgSz w:w="11905" w:h="16837"/>
      <w:pgMar w:top="3050" w:right="2777" w:bottom="1076" w:left="1587" w:header="0" w:footer="0" w:gutter="0"/>
      <w:cols w:space="708"/>
      <w:titlePg/>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DejaVu Sans">
    <w:altName w:val="Arial"/>
    <w:charset w:val="00"/>
    <w:family w:val="swiss"/>
    <w:pitch w:val="variable"/>
    <w:sig w:usb0="E7000EFF" w:usb1="5200FDFF" w:usb2="0A042021" w:usb3="00000000" w:csb0="000001BF" w:csb1="00000000"/>
  </w:font>
  <w:font w:name="Lohit Hindi">
    <w:altName w:val="Times New Roman"/>
    <w:charset w:val="00"/>
    <w:family w:val="auto"/>
    <w:pitch w:val="default"/>
  </w:font>
  <w:font w:name="KIX Barcode">
    <w:panose1 w:val="020B7200000000000000"/>
    <w:charset w:val="00"/>
    <w:family w:val="swiss"/>
    <w:pitch w:val="variable"/>
    <w:sig w:usb0="80000003" w:usb1="00000000"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17457" w14:paraId="391EBF30"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10A29" w14:paraId="7635B1DD" w14:textId="77777777">
    <w:pPr>
      <w:spacing w:after="1077" w:line="14" w:lineRule="exac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17457" w14:paraId="02E57715"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D37F86" w14:paraId="1C44DC15" w14:textId="77777777">
      <w:pPr>
        <w:pStyle w:val="FootnoteText"/>
      </w:pPr>
    </w:p>
  </w:footnote>
  <w:footnote w:type="continuationSeparator" w:id="1">
    <w:p w:rsidR="00D37F86" w14:paraId="766E6F83" w14:textId="77777777">
      <w:pPr>
        <w:pStyle w:val="FootnoteText"/>
      </w:pPr>
    </w:p>
  </w:footnote>
  <w:footnote w:id="2">
    <w:p w:rsidR="00B13AA5" w:rsidRPr="00E94927" w:rsidP="00B13AA5" w14:paraId="54564CE9" w14:textId="77777777">
      <w:pPr>
        <w:pStyle w:val="FootnoteText"/>
        <w:rPr>
          <w:sz w:val="14"/>
          <w:szCs w:val="14"/>
        </w:rPr>
      </w:pPr>
      <w:r w:rsidRPr="00E94927">
        <w:rPr>
          <w:rStyle w:val="FootnoteReference"/>
          <w:sz w:val="14"/>
          <w:szCs w:val="14"/>
        </w:rPr>
        <w:footnoteRef/>
      </w:r>
      <w:r w:rsidRPr="00E94927">
        <w:rPr>
          <w:sz w:val="14"/>
          <w:szCs w:val="14"/>
        </w:rPr>
        <w:t xml:space="preserve"> Kamerstukken II, 2026/27, 37020, nr. 57.</w:t>
      </w:r>
    </w:p>
  </w:footnote>
  <w:footnote w:id="3">
    <w:p w:rsidR="00B13AA5" w:rsidP="00B13AA5" w14:paraId="0DD16043" w14:textId="77777777">
      <w:pPr>
        <w:pStyle w:val="FootnoteText"/>
      </w:pPr>
      <w:r w:rsidRPr="00E94927">
        <w:rPr>
          <w:rStyle w:val="FootnoteReference"/>
          <w:sz w:val="14"/>
          <w:szCs w:val="14"/>
        </w:rPr>
        <w:footnoteRef/>
      </w:r>
      <w:r w:rsidRPr="00E94927">
        <w:rPr>
          <w:sz w:val="14"/>
          <w:szCs w:val="14"/>
        </w:rPr>
        <w:t xml:space="preserve"> Kamerstukken II, 2026/27, 37020, nr. 8.</w:t>
      </w:r>
    </w:p>
  </w:footnote>
  <w:footnote w:id="4">
    <w:p w:rsidR="00B13AA5" w:rsidRPr="00EE060B" w:rsidP="00B13AA5" w14:paraId="3466A71C" w14:textId="77777777">
      <w:pPr>
        <w:pStyle w:val="FootnoteText"/>
        <w:rPr>
          <w:sz w:val="14"/>
          <w:szCs w:val="14"/>
        </w:rPr>
      </w:pPr>
      <w:r w:rsidRPr="00EE060B">
        <w:rPr>
          <w:rStyle w:val="FootnoteReference"/>
          <w:sz w:val="14"/>
          <w:szCs w:val="14"/>
        </w:rPr>
        <w:footnoteRef/>
      </w:r>
      <w:r w:rsidR="00EE060B">
        <w:rPr>
          <w:sz w:val="14"/>
          <w:szCs w:val="14"/>
        </w:rPr>
        <w:t xml:space="preserve"> </w:t>
      </w:r>
      <w:r w:rsidRPr="00EE060B" w:rsidR="00EE060B">
        <w:rPr>
          <w:sz w:val="14"/>
          <w:szCs w:val="14"/>
        </w:rPr>
        <w:t>2026Z22924</w:t>
      </w:r>
      <w:r w:rsidR="00EE060B">
        <w:rPr>
          <w:sz w:val="14"/>
          <w:szCs w:val="14"/>
        </w:rPr>
        <w:t>.</w:t>
      </w:r>
    </w:p>
  </w:footnote>
  <w:footnote w:id="5">
    <w:p w:rsidR="00B13AA5" w:rsidRPr="00E94927" w:rsidP="00B13AA5" w14:paraId="61259C8F" w14:textId="77777777">
      <w:pPr>
        <w:pStyle w:val="FootnoteText"/>
        <w:rPr>
          <w:sz w:val="14"/>
          <w:szCs w:val="14"/>
        </w:rPr>
      </w:pPr>
      <w:r w:rsidRPr="00EE060B">
        <w:rPr>
          <w:rStyle w:val="FootnoteReference"/>
          <w:sz w:val="14"/>
          <w:szCs w:val="14"/>
        </w:rPr>
        <w:footnoteRef/>
      </w:r>
      <w:r w:rsidRPr="00EE060B">
        <w:rPr>
          <w:sz w:val="14"/>
          <w:szCs w:val="14"/>
        </w:rPr>
        <w:t xml:space="preserve"> </w:t>
      </w:r>
      <w:r w:rsidRPr="00EE060B" w:rsidR="00EE060B">
        <w:rPr>
          <w:sz w:val="14"/>
          <w:szCs w:val="14"/>
        </w:rPr>
        <w:t>2026Z22924</w:t>
      </w:r>
      <w:r w:rsidR="00EE060B">
        <w:rPr>
          <w:sz w:val="14"/>
          <w:szCs w:val="14"/>
        </w:rPr>
        <w:t>.</w:t>
      </w:r>
    </w:p>
  </w:footnote>
  <w:footnote w:id="6">
    <w:p w:rsidR="00B13AA5" w:rsidRPr="00E94927" w:rsidP="00B13AA5" w14:paraId="7AF40D69" w14:textId="77777777">
      <w:pPr>
        <w:pStyle w:val="FootnoteText"/>
        <w:rPr>
          <w:sz w:val="14"/>
          <w:szCs w:val="14"/>
        </w:rPr>
      </w:pPr>
      <w:r w:rsidRPr="00E94927">
        <w:rPr>
          <w:rStyle w:val="FootnoteReference"/>
          <w:sz w:val="14"/>
          <w:szCs w:val="14"/>
        </w:rPr>
        <w:footnoteRef/>
      </w:r>
      <w:r w:rsidRPr="00E94927">
        <w:rPr>
          <w:sz w:val="14"/>
          <w:szCs w:val="14"/>
        </w:rPr>
        <w:t xml:space="preserve"> </w:t>
      </w:r>
      <w:r w:rsidRPr="000353D0">
        <w:rPr>
          <w:sz w:val="14"/>
          <w:szCs w:val="14"/>
        </w:rPr>
        <w:t>Kamerstukken II 2025/26, 36800</w:t>
      </w:r>
      <w:r w:rsidRPr="000353D0" w:rsidR="00F73FB2">
        <w:rPr>
          <w:sz w:val="14"/>
          <w:szCs w:val="14"/>
        </w:rPr>
        <w:t>-VII</w:t>
      </w:r>
      <w:r w:rsidRPr="000353D0">
        <w:rPr>
          <w:sz w:val="14"/>
          <w:szCs w:val="14"/>
        </w:rPr>
        <w:t>, nr. 103.</w:t>
      </w:r>
      <w:r w:rsidR="00545C18">
        <w:rPr>
          <w:sz w:val="14"/>
          <w:szCs w:val="14"/>
        </w:rPr>
        <w:t xml:space="preserve"> </w:t>
      </w:r>
    </w:p>
  </w:footnote>
  <w:footnote w:id="7">
    <w:p w:rsidR="00B13AA5" w:rsidP="00B13AA5" w14:paraId="7FB371D2" w14:textId="77777777">
      <w:pPr>
        <w:pStyle w:val="FootnoteText"/>
      </w:pPr>
      <w:r w:rsidRPr="00E94927">
        <w:rPr>
          <w:rStyle w:val="FootnoteReference"/>
          <w:sz w:val="14"/>
          <w:szCs w:val="14"/>
        </w:rPr>
        <w:footnoteRef/>
      </w:r>
      <w:r w:rsidRPr="00E94927">
        <w:rPr>
          <w:sz w:val="14"/>
          <w:szCs w:val="14"/>
        </w:rPr>
        <w:t xml:space="preserve"> Aanhangsel Handelingen II 2025/2026, nr. 2308.</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17457" w14:paraId="6E2E48BE"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10A29" w14:paraId="0681210F" w14:textId="77777777">
    <w:r>
      <w:rPr>
        <w:noProof/>
      </w:rPr>
      <mc:AlternateContent>
        <mc:Choice Requires="wps">
          <w:drawing>
            <wp:anchor distT="0" distB="0" distL="0" distR="0" simplePos="0" relativeHeight="251658240" behindDoc="0" locked="1" layoutInCell="1" allowOverlap="1">
              <wp:simplePos x="0" y="0"/>
              <wp:positionH relativeFrom="page">
                <wp:posOffset>5921375</wp:posOffset>
              </wp:positionH>
              <wp:positionV relativeFrom="paragraph">
                <wp:posOffset>1965325</wp:posOffset>
              </wp:positionV>
              <wp:extent cx="1277620" cy="8009890"/>
              <wp:effectExtent l="0" t="0" r="0" b="0"/>
              <wp:wrapNone/>
              <wp:docPr id="1" name="46fef022-aa3c-11ea-a756-beb5f67e67be" descr="Colofon"/>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7620" cy="8009890"/>
                      </a:xfrm>
                      <a:prstGeom prst="rect">
                        <a:avLst/>
                      </a:prstGeom>
                      <a:noFill/>
                    </wps:spPr>
                    <wps:txbx>
                      <w:txbxContent>
                        <w:p w:rsidR="00F10A29" w14:textId="77777777">
                          <w:pPr>
                            <w:pStyle w:val="Referentiegegevensbold"/>
                          </w:pPr>
                          <w:r>
                            <w:t>DGDOO</w:t>
                          </w:r>
                        </w:p>
                        <w:p w:rsidR="00F10A29" w14:textId="77777777">
                          <w:pPr>
                            <w:pStyle w:val="Referentiegegevens"/>
                          </w:pPr>
                          <w:r>
                            <w:t>A&amp;O</w:t>
                          </w:r>
                        </w:p>
                        <w:p w:rsidR="00F10A29" w14:textId="77777777">
                          <w:pPr>
                            <w:pStyle w:val="Referentiegegevens"/>
                          </w:pPr>
                          <w:r>
                            <w:t>Organisatiebeleid</w:t>
                          </w:r>
                        </w:p>
                        <w:p w:rsidR="00F10A29" w14:textId="77777777">
                          <w:pPr>
                            <w:pStyle w:val="WitregelW2"/>
                          </w:pPr>
                        </w:p>
                        <w:p w:rsidR="00F10A29" w14:textId="77777777">
                          <w:pPr>
                            <w:pStyle w:val="WitregelW1"/>
                          </w:pPr>
                        </w:p>
                        <w:p w:rsidR="00F10A29" w14:textId="77777777">
                          <w:pPr>
                            <w:pStyle w:val="Referentiegegevensbold"/>
                          </w:pPr>
                          <w:r>
                            <w:t>Onze referentie</w:t>
                          </w:r>
                        </w:p>
                        <w:p w:rsidR="0047708B" w14:textId="77777777">
                          <w:pPr>
                            <w:pStyle w:val="Referentiegegevens"/>
                          </w:pPr>
                          <w:r>
                            <w:fldChar w:fldCharType="begin"/>
                          </w:r>
                          <w:r>
                            <w:instrText xml:space="preserve"> DOCPROPERTY  "Kenmerk"  \* MERGEFORMAT </w:instrText>
                          </w:r>
                          <w:r>
                            <w:fldChar w:fldCharType="separate"/>
                          </w:r>
                          <w:r w:rsidR="00F24D85">
                            <w:t>2026-0000519639</w:t>
                          </w:r>
                          <w:r w:rsidR="00F24D85">
                            <w:fldChar w:fldCharType="end"/>
                          </w:r>
                        </w:p>
                      </w:txbxContent>
                    </wps:txbx>
                    <wps:bodyPr vert="horz" wrap="square" lIns="0" tIns="0" rIns="0" bIns="0" anchor="t" anchorCtr="0"/>
                  </wps:wsp>
                </a:graphicData>
              </a:graphic>
            </wp:anchor>
          </w:drawing>
        </mc:Choice>
        <mc:Fallback>
          <w:pict>
            <v:shapetype id="_x0000_t202" coordsize="21600,21600" o:spt="202" path="m,l,21600r21600,l21600,xe">
              <v:stroke joinstyle="miter"/>
              <v:path gradientshapeok="t" o:connecttype="rect"/>
            </v:shapetype>
            <v:shape id="46fef022-aa3c-11ea-a756-beb5f67e67be" o:spid="_x0000_s2049" type="#_x0000_t202" alt="Colofon" style="width:100.6pt;height:630.7pt;margin-top:154.75pt;margin-left:466.25pt;mso-position-horizontal-relative:page;mso-wrap-distance-bottom:0;mso-wrap-distance-left:0;mso-wrap-distance-right:0;mso-wrap-distance-top:0;mso-wrap-style:square;position:absolute;v-text-anchor:top;visibility:visible;z-index:251659264" filled="f" stroked="f">
              <v:textbox inset="0,0,0,0">
                <w:txbxContent>
                  <w:p w:rsidR="00F10A29" w14:paraId="51B734AE" w14:textId="77777777">
                    <w:pPr>
                      <w:pStyle w:val="Referentiegegevensbold"/>
                    </w:pPr>
                    <w:r>
                      <w:t>DGDOO</w:t>
                    </w:r>
                  </w:p>
                  <w:p w:rsidR="00F10A29" w14:paraId="7C6CCAE7" w14:textId="77777777">
                    <w:pPr>
                      <w:pStyle w:val="Referentiegegevens"/>
                    </w:pPr>
                    <w:r>
                      <w:t>A&amp;O</w:t>
                    </w:r>
                  </w:p>
                  <w:p w:rsidR="00F10A29" w14:paraId="74B0FBFF" w14:textId="77777777">
                    <w:pPr>
                      <w:pStyle w:val="Referentiegegevens"/>
                    </w:pPr>
                    <w:r>
                      <w:t>Organisatiebeleid</w:t>
                    </w:r>
                  </w:p>
                  <w:p w:rsidR="00F10A29" w14:paraId="44C05E0C" w14:textId="77777777">
                    <w:pPr>
                      <w:pStyle w:val="WitregelW2"/>
                    </w:pPr>
                  </w:p>
                  <w:p w:rsidR="00F10A29" w14:paraId="22E4C84E" w14:textId="77777777">
                    <w:pPr>
                      <w:pStyle w:val="WitregelW1"/>
                    </w:pPr>
                  </w:p>
                  <w:p w:rsidR="00F10A29" w14:paraId="3DE518ED" w14:textId="77777777">
                    <w:pPr>
                      <w:pStyle w:val="Referentiegegevensbold"/>
                    </w:pPr>
                    <w:r>
                      <w:t>Onze referentie</w:t>
                    </w:r>
                  </w:p>
                  <w:p w:rsidR="0047708B" w14:paraId="18FA059B" w14:textId="77777777">
                    <w:pPr>
                      <w:pStyle w:val="Referentiegegevens"/>
                    </w:pPr>
                    <w:r>
                      <w:fldChar w:fldCharType="begin"/>
                    </w:r>
                    <w:r>
                      <w:instrText xml:space="preserve"> DOCPROPERTY  "Kenmerk"  \* MERGEFORMAT </w:instrText>
                    </w:r>
                    <w:r>
                      <w:fldChar w:fldCharType="separate"/>
                    </w:r>
                    <w:r w:rsidR="00F24D85">
                      <w:t>2026-0000519639</w:t>
                    </w:r>
                    <w:r w:rsidR="00F24D85">
                      <w:fldChar w:fldCharType="end"/>
                    </w:r>
                  </w:p>
                </w:txbxContent>
              </v:textbox>
              <w10:anchorlock/>
            </v:shape>
          </w:pict>
        </mc:Fallback>
      </mc:AlternateContent>
    </w:r>
    <w:r>
      <w:rPr>
        <w:noProof/>
      </w:rPr>
      <mc:AlternateContent>
        <mc:Choice Requires="wps">
          <w:drawing>
            <wp:anchor distT="0" distB="0" distL="0" distR="0" simplePos="0" relativeHeight="251660288" behindDoc="0" locked="1" layoutInCell="1" allowOverlap="1">
              <wp:simplePos x="0" y="0"/>
              <wp:positionH relativeFrom="page">
                <wp:posOffset>1007744</wp:posOffset>
              </wp:positionH>
              <wp:positionV relativeFrom="paragraph">
                <wp:posOffset>10194925</wp:posOffset>
              </wp:positionV>
              <wp:extent cx="4787900" cy="161290"/>
              <wp:effectExtent l="0" t="0" r="0" b="0"/>
              <wp:wrapNone/>
              <wp:docPr id="2" name="46fef06f-aa3c-11ea-a756-beb5f67e67be" descr="Voettekst"/>
              <wp:cNvGraphicFramePr/>
              <a:graphic xmlns:a="http://schemas.openxmlformats.org/drawingml/2006/main">
                <a:graphicData uri="http://schemas.microsoft.com/office/word/2010/wordprocessingShape">
                  <wps:wsp xmlns:wps="http://schemas.microsoft.com/office/word/2010/wordprocessingShape">
                    <wps:cNvSpPr txBox="1"/>
                    <wps:spPr>
                      <a:xfrm>
                        <a:off x="0" y="0"/>
                        <a:ext cx="4787900" cy="161290"/>
                      </a:xfrm>
                      <a:prstGeom prst="rect">
                        <a:avLst/>
                      </a:prstGeom>
                      <a:noFill/>
                    </wps:spPr>
                    <wps:txbx>
                      <w:txbxContent>
                        <w:p w:rsidR="00140F88" w14:paraId="3A7BCA26" w14:textId="77777777"/>
                      </w:txbxContent>
                    </wps:txbx>
                    <wps:bodyPr vert="horz" wrap="square" lIns="0" tIns="0" rIns="0" bIns="0" anchor="t" anchorCtr="0"/>
                  </wps:wsp>
                </a:graphicData>
              </a:graphic>
            </wp:anchor>
          </w:drawing>
        </mc:Choice>
        <mc:Fallback>
          <w:pict>
            <v:shape id="46fef06f-aa3c-11ea-a756-beb5f67e67be" o:spid="_x0000_s2050" type="#_x0000_t202" alt="Voettekst" style="width:377pt;height:12.7pt;margin-top:802.75pt;margin-left:79.35pt;mso-position-horizontal-relative:page;mso-wrap-distance-bottom:0;mso-wrap-distance-left:0;mso-wrap-distance-right:0;mso-wrap-distance-top:0;mso-wrap-style:square;position:absolute;v-text-anchor:top;visibility:visible;z-index:251661312" filled="f" stroked="f">
              <v:textbox inset="0,0,0,0">
                <w:txbxContent>
                  <w:p w:rsidR="00140F88" w14:paraId="5FB7F490" w14:textId="77777777"/>
                </w:txbxContent>
              </v:textbox>
              <w10:anchorlock/>
            </v:shape>
          </w:pict>
        </mc:Fallback>
      </mc:AlternateContent>
    </w:r>
    <w:r>
      <w:rPr>
        <w:noProof/>
      </w:rPr>
      <mc:AlternateContent>
        <mc:Choice Requires="wps">
          <w:drawing>
            <wp:anchor distT="0" distB="0" distL="0" distR="0" simplePos="0" relativeHeight="251662336" behindDoc="0" locked="1" layoutInCell="1" allowOverlap="1">
              <wp:simplePos x="0" y="0"/>
              <wp:positionH relativeFrom="page">
                <wp:posOffset>5921375</wp:posOffset>
              </wp:positionH>
              <wp:positionV relativeFrom="paragraph">
                <wp:posOffset>10194925</wp:posOffset>
              </wp:positionV>
              <wp:extent cx="1285875" cy="161290"/>
              <wp:effectExtent l="0" t="0" r="0" b="0"/>
              <wp:wrapNone/>
              <wp:docPr id="3" name="46fef0b8-aa3c-11ea-a756-beb5f67e67be" descr="Paginanummering"/>
              <wp:cNvGraphicFramePr/>
              <a:graphic xmlns:a="http://schemas.openxmlformats.org/drawingml/2006/main">
                <a:graphicData uri="http://schemas.microsoft.com/office/word/2010/wordprocessingShape">
                  <wps:wsp xmlns:wps="http://schemas.microsoft.com/office/word/2010/wordprocessingShape">
                    <wps:cNvSpPr txBox="1"/>
                    <wps:spPr>
                      <a:xfrm>
                        <a:off x="0" y="0"/>
                        <a:ext cx="1285875" cy="161290"/>
                      </a:xfrm>
                      <a:prstGeom prst="rect">
                        <a:avLst/>
                      </a:prstGeom>
                      <a:noFill/>
                    </wps:spPr>
                    <wps:txbx>
                      <w:txbxContent>
                        <w:p w:rsidR="0047708B" w14:textId="77777777">
                          <w:pPr>
                            <w:pStyle w:val="Referentiegegevens"/>
                          </w:pPr>
                          <w:r>
                            <w:t xml:space="preserve">Pagina </w:t>
                          </w:r>
                          <w:r>
                            <w:fldChar w:fldCharType="begin"/>
                          </w:r>
                          <w:r>
                            <w:instrText xml:space="preserve"> PAGE </w:instrText>
                          </w:r>
                          <w:r>
                            <w:fldChar w:fldCharType="separate"/>
                          </w:r>
                          <w:r>
                            <w:t>1</w:t>
                          </w:r>
                          <w:r>
                            <w:fldChar w:fldCharType="end"/>
                          </w:r>
                          <w:r>
                            <w:t xml:space="preserve"> van </w:t>
                          </w:r>
                          <w:r>
                            <w:fldChar w:fldCharType="begin"/>
                          </w:r>
                          <w:r>
                            <w:instrText xml:space="preserve"> NUMPAGES </w:instrText>
                          </w:r>
                          <w:r>
                            <w:fldChar w:fldCharType="separate"/>
                          </w:r>
                          <w:r>
                            <w:t>1</w:t>
                          </w:r>
                          <w:r>
                            <w:fldChar w:fldCharType="end"/>
                          </w:r>
                        </w:p>
                      </w:txbxContent>
                    </wps:txbx>
                    <wps:bodyPr vert="horz" wrap="square" lIns="0" tIns="0" rIns="0" bIns="0" anchor="t" anchorCtr="0"/>
                  </wps:wsp>
                </a:graphicData>
              </a:graphic>
            </wp:anchor>
          </w:drawing>
        </mc:Choice>
        <mc:Fallback>
          <w:pict>
            <v:shape id="46fef0b8-aa3c-11ea-a756-beb5f67e67be" o:spid="_x0000_s2051" type="#_x0000_t202" alt="Paginanummering" style="width:101.25pt;height:12.7pt;margin-top:802.75pt;margin-left:466.25pt;mso-position-horizontal-relative:page;mso-wrap-distance-bottom:0;mso-wrap-distance-left:0;mso-wrap-distance-right:0;mso-wrap-distance-top:0;mso-wrap-style:square;position:absolute;v-text-anchor:top;visibility:visible;z-index:251663360" filled="f" stroked="f">
              <v:textbox inset="0,0,0,0">
                <w:txbxContent>
                  <w:p w:rsidR="0047708B" w14:paraId="345C6132" w14:textId="77777777">
                    <w:pPr>
                      <w:pStyle w:val="Referentiegegevens"/>
                    </w:pPr>
                    <w:r>
                      <w:t xml:space="preserve">Pagina </w:t>
                    </w:r>
                    <w:r>
                      <w:fldChar w:fldCharType="begin"/>
                    </w:r>
                    <w:r>
                      <w:instrText xml:space="preserve"> PAGE </w:instrText>
                    </w:r>
                    <w:r>
                      <w:fldChar w:fldCharType="separate"/>
                    </w:r>
                    <w:r>
                      <w:t>1</w:t>
                    </w:r>
                    <w:r>
                      <w:fldChar w:fldCharType="end"/>
                    </w:r>
                    <w:r>
                      <w:t xml:space="preserve"> van </w:t>
                    </w:r>
                    <w:r>
                      <w:fldChar w:fldCharType="begin"/>
                    </w:r>
                    <w:r>
                      <w:instrText xml:space="preserve"> NUMPAGES </w:instrText>
                    </w:r>
                    <w:r>
                      <w:fldChar w:fldCharType="separate"/>
                    </w:r>
                    <w:r>
                      <w:t>1</w:t>
                    </w:r>
                    <w:r>
                      <w:fldChar w:fldCharType="end"/>
                    </w:r>
                  </w:p>
                </w:txbxContent>
              </v:textbox>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10A29" w14:paraId="53830AAD" w14:textId="77777777">
    <w:pPr>
      <w:spacing w:after="6377" w:line="14" w:lineRule="exac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A9C948E0"/>
    <w:multiLevelType w:val="multilevel"/>
    <w:tmpl w:val="205B1987"/>
    <w:name w:val="Genummerde lijst"/>
    <w:styleLink w:val="Genummerdelijst"/>
    <w:lvl w:ilvl="0">
      <w:start w:val="1"/>
      <w:numFmt w:val="decimal"/>
      <w:pStyle w:val="Nummering"/>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1">
    <w:nsid w:val="C716DE2D"/>
    <w:multiLevelType w:val="multilevel"/>
    <w:tmpl w:val="3DE595D7"/>
    <w:name w:val="Comparitienummering"/>
    <w:lvl w:ilvl="0">
      <w:start w:val="1"/>
      <w:numFmt w:val="decimal"/>
      <w:pStyle w:val="Comparitienummer"/>
      <w:lvlText w:val="%1."/>
      <w:lvlJc w:val="left"/>
      <w:pPr>
        <w:ind w:left="425" w:hanging="425"/>
      </w:pPr>
    </w:lvl>
    <w:lvl w:ilvl="1">
      <w:start w:val="1"/>
      <w:numFmt w:val="decimal"/>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2">
    <w:nsid w:val="DA64BAC8"/>
    <w:multiLevelType w:val="multilevel"/>
    <w:tmpl w:val="4D53B0CE"/>
    <w:name w:val="Lijst met opsommingstekens"/>
    <w:styleLink w:val="Lijstmetopsommingstekens"/>
    <w:lvl w:ilvl="0">
      <w:start w:val="1"/>
      <w:numFmt w:val="bullet"/>
      <w:pStyle w:val="Opsomming"/>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3">
    <w:nsid w:val="DB4E3D73"/>
    <w:multiLevelType w:val="multilevel"/>
    <w:tmpl w:val="EEABD403"/>
    <w:name w:val="Artikelnummering"/>
    <w:lvl w:ilvl="0">
      <w:start w:val="1"/>
      <w:numFmt w:val="decimal"/>
      <w:pStyle w:val="Artikelnummer"/>
      <w:lvlText w:val="Artikel %1."/>
      <w:lvlJc w:val="left"/>
      <w:pPr>
        <w:ind w:left="1130" w:hanging="1130"/>
      </w:pPr>
    </w:lvl>
    <w:lvl w:ilvl="1">
      <w:start w:val="1"/>
      <w:numFmt w:val="decimal"/>
      <w:pStyle w:val="Lidnummer"/>
      <w:lvlText w:val="%2."/>
      <w:lvlJc w:val="left"/>
      <w:pPr>
        <w:ind w:left="425" w:hanging="425"/>
      </w:pPr>
    </w:lvl>
    <w:lvl w:ilvl="2">
      <w:start w:val="1"/>
      <w:numFmt w:val="lowerLetter"/>
      <w:pStyle w:val="Lidnummerabc"/>
      <w:lvlText w:val="%3."/>
      <w:lvlJc w:val="left"/>
      <w:pPr>
        <w:ind w:left="827" w:hanging="419"/>
      </w:pPr>
    </w:lvl>
    <w:lvl w:ilvl="3">
      <w:start w:val="1"/>
      <w:numFmt w:val="none"/>
      <w:pStyle w:val="Artikelstreepje"/>
      <w:lvlText w:val="-"/>
      <w:lvlJc w:val="left"/>
      <w:pPr>
        <w:ind w:left="357" w:hanging="357"/>
      </w:pPr>
    </w:lvl>
    <w:lvl w:ilvl="4">
      <w:start w:val="1"/>
      <w:numFmt w:val="none"/>
      <w:pStyle w:val="Artikelstreepjeinspringen"/>
      <w:lvlText w:val="-"/>
      <w:lvlJc w:val="left"/>
      <w:pPr>
        <w:ind w:left="827" w:hanging="419"/>
      </w:pPr>
    </w:lvl>
    <w:lvl w:ilvl="5">
      <w:start w:val="1"/>
      <w:numFmt w:val="none"/>
      <w:lvlJc w:val="left"/>
      <w:pPr>
        <w:ind w:left="0" w:firstLine="0"/>
      </w:pPr>
    </w:lvl>
    <w:lvl w:ilvl="6">
      <w:start w:val="1"/>
      <w:numFmt w:val="none"/>
      <w:lvlJc w:val="left"/>
      <w:pPr>
        <w:ind w:left="0" w:firstLine="0"/>
      </w:pPr>
    </w:lvl>
    <w:lvl w:ilvl="7">
      <w:start w:val="1"/>
      <w:numFmt w:val="none"/>
      <w:lvlJc w:val="left"/>
      <w:pPr>
        <w:ind w:left="0" w:firstLine="0"/>
      </w:pPr>
    </w:lvl>
    <w:lvl w:ilvl="8">
      <w:start w:val="1"/>
      <w:numFmt w:val="none"/>
      <w:lvlJc w:val="left"/>
      <w:pPr>
        <w:ind w:left="0" w:firstLine="0"/>
      </w:pPr>
    </w:lvl>
  </w:abstractNum>
  <w:abstractNum w:abstractNumId="4">
    <w:nsid w:val="1D7F3FCE"/>
    <w:multiLevelType w:val="hybridMultilevel"/>
    <w:tmpl w:val="1FFC7F02"/>
    <w:lvl w:ilvl="0">
      <w:start w:val="1"/>
      <w:numFmt w:val="bullet"/>
      <w:lvlText w:val=""/>
      <w:lvlJc w:val="left"/>
      <w:pPr>
        <w:ind w:left="1440" w:hanging="360"/>
      </w:pPr>
      <w:rPr>
        <w:rFonts w:ascii="Symbol" w:hAnsi="Symbol"/>
      </w:rPr>
    </w:lvl>
    <w:lvl w:ilvl="1">
      <w:start w:val="1"/>
      <w:numFmt w:val="bullet"/>
      <w:lvlText w:val=""/>
      <w:lvlJc w:val="left"/>
      <w:pPr>
        <w:ind w:left="1440" w:hanging="360"/>
      </w:pPr>
      <w:rPr>
        <w:rFonts w:ascii="Symbol" w:hAnsi="Symbol"/>
      </w:rPr>
    </w:lvl>
    <w:lvl w:ilvl="2">
      <w:start w:val="1"/>
      <w:numFmt w:val="bullet"/>
      <w:lvlText w:val=""/>
      <w:lvlJc w:val="left"/>
      <w:pPr>
        <w:ind w:left="1440" w:hanging="360"/>
      </w:pPr>
      <w:rPr>
        <w:rFonts w:ascii="Symbol" w:hAnsi="Symbol"/>
      </w:rPr>
    </w:lvl>
    <w:lvl w:ilvl="3">
      <w:start w:val="1"/>
      <w:numFmt w:val="bullet"/>
      <w:lvlText w:val=""/>
      <w:lvlJc w:val="left"/>
      <w:pPr>
        <w:ind w:left="1440" w:hanging="360"/>
      </w:pPr>
      <w:rPr>
        <w:rFonts w:ascii="Symbol" w:hAnsi="Symbol"/>
      </w:rPr>
    </w:lvl>
    <w:lvl w:ilvl="4">
      <w:start w:val="1"/>
      <w:numFmt w:val="bullet"/>
      <w:lvlText w:val=""/>
      <w:lvlJc w:val="left"/>
      <w:pPr>
        <w:ind w:left="1440" w:hanging="360"/>
      </w:pPr>
      <w:rPr>
        <w:rFonts w:ascii="Symbol" w:hAnsi="Symbol"/>
      </w:rPr>
    </w:lvl>
    <w:lvl w:ilvl="5">
      <w:start w:val="1"/>
      <w:numFmt w:val="bullet"/>
      <w:lvlText w:val=""/>
      <w:lvlJc w:val="left"/>
      <w:pPr>
        <w:ind w:left="1440" w:hanging="360"/>
      </w:pPr>
      <w:rPr>
        <w:rFonts w:ascii="Symbol" w:hAnsi="Symbol"/>
      </w:rPr>
    </w:lvl>
    <w:lvl w:ilvl="6">
      <w:start w:val="1"/>
      <w:numFmt w:val="bullet"/>
      <w:lvlText w:val=""/>
      <w:lvlJc w:val="left"/>
      <w:pPr>
        <w:ind w:left="1440" w:hanging="360"/>
      </w:pPr>
      <w:rPr>
        <w:rFonts w:ascii="Symbol" w:hAnsi="Symbol"/>
      </w:rPr>
    </w:lvl>
    <w:lvl w:ilvl="7">
      <w:start w:val="1"/>
      <w:numFmt w:val="bullet"/>
      <w:lvlText w:val=""/>
      <w:lvlJc w:val="left"/>
      <w:pPr>
        <w:ind w:left="1440" w:hanging="360"/>
      </w:pPr>
      <w:rPr>
        <w:rFonts w:ascii="Symbol" w:hAnsi="Symbol"/>
      </w:rPr>
    </w:lvl>
    <w:lvl w:ilvl="8">
      <w:start w:val="1"/>
      <w:numFmt w:val="bullet"/>
      <w:lvlText w:val=""/>
      <w:lvlJc w:val="left"/>
      <w:pPr>
        <w:ind w:left="1440" w:hanging="360"/>
      </w:pPr>
      <w:rPr>
        <w:rFonts w:ascii="Symbol" w:hAnsi="Symbol"/>
      </w:rPr>
    </w:lvl>
  </w:abstractNum>
  <w:abstractNum w:abstractNumId="5">
    <w:nsid w:val="692620E4"/>
    <w:multiLevelType w:val="multilevel"/>
    <w:tmpl w:val="FCCA7E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6C6D6249"/>
    <w:multiLevelType w:val="multilevel"/>
    <w:tmpl w:val="96FA78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74E37063"/>
    <w:multiLevelType w:val="hybridMultilevel"/>
    <w:tmpl w:val="4E56D12A"/>
    <w:lvl w:ilvl="0">
      <w:start w:val="0"/>
      <w:numFmt w:val="bullet"/>
      <w:lvlText w:val="-"/>
      <w:lvlJc w:val="left"/>
      <w:pPr>
        <w:ind w:left="720" w:hanging="360"/>
      </w:pPr>
      <w:rPr>
        <w:rFonts w:ascii="Verdana" w:eastAsia="DejaVu Sans" w:hAnsi="Verdana" w:cs="Lohit Hindi"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8">
    <w:nsid w:val="793F4192"/>
    <w:multiLevelType w:val="hybridMultilevel"/>
    <w:tmpl w:val="5220FF08"/>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16cid:durableId="811558916">
    <w:abstractNumId w:val="3"/>
  </w:num>
  <w:num w:numId="2" w16cid:durableId="1839421471">
    <w:abstractNumId w:val="1"/>
  </w:num>
  <w:num w:numId="3" w16cid:durableId="217783076">
    <w:abstractNumId w:val="0"/>
  </w:num>
  <w:num w:numId="4" w16cid:durableId="23749472">
    <w:abstractNumId w:val="2"/>
  </w:num>
  <w:num w:numId="5" w16cid:durableId="813330519">
    <w:abstractNumId w:val="7"/>
  </w:num>
  <w:num w:numId="6" w16cid:durableId="1152869625">
    <w:abstractNumId w:val="6"/>
  </w:num>
  <w:num w:numId="7" w16cid:durableId="537208935">
    <w:abstractNumId w:val="8"/>
  </w:num>
  <w:num w:numId="8" w16cid:durableId="1845393390">
    <w:abstractNumId w:val="5"/>
  </w:num>
  <w:num w:numId="9" w16cid:durableId="191581389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defaultTableStyle w:val="TableNormal"/>
  <w:hyphenationZone w:val="425"/>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0A29"/>
    <w:rsid w:val="0000400D"/>
    <w:rsid w:val="00013D9D"/>
    <w:rsid w:val="0003491F"/>
    <w:rsid w:val="000353D0"/>
    <w:rsid w:val="0003739F"/>
    <w:rsid w:val="00040D86"/>
    <w:rsid w:val="000447A4"/>
    <w:rsid w:val="00077B34"/>
    <w:rsid w:val="00095355"/>
    <w:rsid w:val="000A138C"/>
    <w:rsid w:val="000A211A"/>
    <w:rsid w:val="000C0FB1"/>
    <w:rsid w:val="000C4A7C"/>
    <w:rsid w:val="000C69F3"/>
    <w:rsid w:val="000C7DBA"/>
    <w:rsid w:val="000D0451"/>
    <w:rsid w:val="000E3273"/>
    <w:rsid w:val="00110A83"/>
    <w:rsid w:val="00121EC6"/>
    <w:rsid w:val="00132847"/>
    <w:rsid w:val="00140F88"/>
    <w:rsid w:val="00147EB3"/>
    <w:rsid w:val="00151457"/>
    <w:rsid w:val="00186C9E"/>
    <w:rsid w:val="00190B3B"/>
    <w:rsid w:val="00191EAF"/>
    <w:rsid w:val="001A3FAD"/>
    <w:rsid w:val="001C360E"/>
    <w:rsid w:val="001C576D"/>
    <w:rsid w:val="001E43AB"/>
    <w:rsid w:val="001F2F17"/>
    <w:rsid w:val="00232F75"/>
    <w:rsid w:val="00246D6C"/>
    <w:rsid w:val="00250B9A"/>
    <w:rsid w:val="00254248"/>
    <w:rsid w:val="00255E92"/>
    <w:rsid w:val="002566CD"/>
    <w:rsid w:val="00256AA6"/>
    <w:rsid w:val="002716A5"/>
    <w:rsid w:val="002721C1"/>
    <w:rsid w:val="00281D92"/>
    <w:rsid w:val="00283E09"/>
    <w:rsid w:val="002859BF"/>
    <w:rsid w:val="002B4637"/>
    <w:rsid w:val="002E3440"/>
    <w:rsid w:val="002F1D23"/>
    <w:rsid w:val="002F2625"/>
    <w:rsid w:val="00304011"/>
    <w:rsid w:val="00312CA0"/>
    <w:rsid w:val="003214E3"/>
    <w:rsid w:val="0036281B"/>
    <w:rsid w:val="00363A02"/>
    <w:rsid w:val="00385FF8"/>
    <w:rsid w:val="003A16DF"/>
    <w:rsid w:val="003A642A"/>
    <w:rsid w:val="003E3D63"/>
    <w:rsid w:val="003F1137"/>
    <w:rsid w:val="003F5100"/>
    <w:rsid w:val="003F71B4"/>
    <w:rsid w:val="004131B6"/>
    <w:rsid w:val="00424BB7"/>
    <w:rsid w:val="0044151C"/>
    <w:rsid w:val="004740DE"/>
    <w:rsid w:val="0047708B"/>
    <w:rsid w:val="004A0645"/>
    <w:rsid w:val="004A0E83"/>
    <w:rsid w:val="004B0AD6"/>
    <w:rsid w:val="004B0AF2"/>
    <w:rsid w:val="004B444C"/>
    <w:rsid w:val="004D7214"/>
    <w:rsid w:val="005204E5"/>
    <w:rsid w:val="00522172"/>
    <w:rsid w:val="0052296E"/>
    <w:rsid w:val="0052719A"/>
    <w:rsid w:val="005278D3"/>
    <w:rsid w:val="00532C8D"/>
    <w:rsid w:val="005354E8"/>
    <w:rsid w:val="00545C18"/>
    <w:rsid w:val="005536C5"/>
    <w:rsid w:val="00556D16"/>
    <w:rsid w:val="00584F12"/>
    <w:rsid w:val="005945DA"/>
    <w:rsid w:val="005A223A"/>
    <w:rsid w:val="005A6BB0"/>
    <w:rsid w:val="00602D52"/>
    <w:rsid w:val="006412E3"/>
    <w:rsid w:val="00670A04"/>
    <w:rsid w:val="006A731E"/>
    <w:rsid w:val="006B1DFB"/>
    <w:rsid w:val="006B66A7"/>
    <w:rsid w:val="006C0BC0"/>
    <w:rsid w:val="006E2FDA"/>
    <w:rsid w:val="006E5C6D"/>
    <w:rsid w:val="006F038A"/>
    <w:rsid w:val="00717AAF"/>
    <w:rsid w:val="00723DA2"/>
    <w:rsid w:val="00724B33"/>
    <w:rsid w:val="007300E5"/>
    <w:rsid w:val="00735620"/>
    <w:rsid w:val="00742C4B"/>
    <w:rsid w:val="007509F5"/>
    <w:rsid w:val="00786EAA"/>
    <w:rsid w:val="007A1B01"/>
    <w:rsid w:val="007C7B85"/>
    <w:rsid w:val="007D47E6"/>
    <w:rsid w:val="007E2AB5"/>
    <w:rsid w:val="007F164F"/>
    <w:rsid w:val="007F2BC3"/>
    <w:rsid w:val="007F7AAB"/>
    <w:rsid w:val="00812D8F"/>
    <w:rsid w:val="00825A82"/>
    <w:rsid w:val="00827AD0"/>
    <w:rsid w:val="00863FD9"/>
    <w:rsid w:val="008647C8"/>
    <w:rsid w:val="00864A91"/>
    <w:rsid w:val="008936D7"/>
    <w:rsid w:val="008A07D3"/>
    <w:rsid w:val="008B792D"/>
    <w:rsid w:val="008D3233"/>
    <w:rsid w:val="00905287"/>
    <w:rsid w:val="00907C87"/>
    <w:rsid w:val="00913829"/>
    <w:rsid w:val="009157F9"/>
    <w:rsid w:val="00945C08"/>
    <w:rsid w:val="00953CEA"/>
    <w:rsid w:val="00957590"/>
    <w:rsid w:val="00973417"/>
    <w:rsid w:val="00981008"/>
    <w:rsid w:val="009841B6"/>
    <w:rsid w:val="00990A1F"/>
    <w:rsid w:val="00993FCF"/>
    <w:rsid w:val="009A1F1F"/>
    <w:rsid w:val="009A44FF"/>
    <w:rsid w:val="00A61E5B"/>
    <w:rsid w:val="00A724AD"/>
    <w:rsid w:val="00A80923"/>
    <w:rsid w:val="00A841B3"/>
    <w:rsid w:val="00AA294C"/>
    <w:rsid w:val="00AA58FF"/>
    <w:rsid w:val="00AD1534"/>
    <w:rsid w:val="00B13AA5"/>
    <w:rsid w:val="00B16496"/>
    <w:rsid w:val="00B211F7"/>
    <w:rsid w:val="00B24618"/>
    <w:rsid w:val="00B26365"/>
    <w:rsid w:val="00B521A7"/>
    <w:rsid w:val="00B523FA"/>
    <w:rsid w:val="00B57184"/>
    <w:rsid w:val="00B57689"/>
    <w:rsid w:val="00BA0D5F"/>
    <w:rsid w:val="00BC358F"/>
    <w:rsid w:val="00C02462"/>
    <w:rsid w:val="00C074D9"/>
    <w:rsid w:val="00C36DC6"/>
    <w:rsid w:val="00C64EE6"/>
    <w:rsid w:val="00C708DD"/>
    <w:rsid w:val="00C926EB"/>
    <w:rsid w:val="00CB5A1D"/>
    <w:rsid w:val="00CD1AC9"/>
    <w:rsid w:val="00CE56D5"/>
    <w:rsid w:val="00CF039D"/>
    <w:rsid w:val="00D128B7"/>
    <w:rsid w:val="00D20292"/>
    <w:rsid w:val="00D374FA"/>
    <w:rsid w:val="00D37F86"/>
    <w:rsid w:val="00D54D2E"/>
    <w:rsid w:val="00D60553"/>
    <w:rsid w:val="00D61683"/>
    <w:rsid w:val="00D74A35"/>
    <w:rsid w:val="00D76133"/>
    <w:rsid w:val="00D956DA"/>
    <w:rsid w:val="00DA7E1A"/>
    <w:rsid w:val="00DB085B"/>
    <w:rsid w:val="00DB61EE"/>
    <w:rsid w:val="00DC43D7"/>
    <w:rsid w:val="00DD53A1"/>
    <w:rsid w:val="00DD5717"/>
    <w:rsid w:val="00DF418D"/>
    <w:rsid w:val="00DF539B"/>
    <w:rsid w:val="00E0092E"/>
    <w:rsid w:val="00E058B1"/>
    <w:rsid w:val="00E3080A"/>
    <w:rsid w:val="00E4483D"/>
    <w:rsid w:val="00E460A4"/>
    <w:rsid w:val="00E50C1E"/>
    <w:rsid w:val="00E650EA"/>
    <w:rsid w:val="00E90001"/>
    <w:rsid w:val="00E94927"/>
    <w:rsid w:val="00EA0CE5"/>
    <w:rsid w:val="00ED23D0"/>
    <w:rsid w:val="00EE060B"/>
    <w:rsid w:val="00F10A29"/>
    <w:rsid w:val="00F17457"/>
    <w:rsid w:val="00F24D85"/>
    <w:rsid w:val="00F61D46"/>
    <w:rsid w:val="00F71D60"/>
    <w:rsid w:val="00F73FB2"/>
    <w:rsid w:val="00F9083B"/>
    <w:rsid w:val="00F912CE"/>
    <w:rsid w:val="00F95071"/>
    <w:rsid w:val="00F97097"/>
    <w:rsid w:val="00FB23CC"/>
    <w:rsid w:val="00FB4C34"/>
    <w:rsid w:val="00FB54DE"/>
    <w:rsid w:val="00FF318D"/>
  </w:rsids>
  <m:mathPr>
    <m:mathFont m:val="Cambria Math"/>
  </m:mathPr>
  <w:themeFontLang w:val="nl-NL"/>
  <w:clrSchemeMapping w:bg1="light1" w:t1="dark1" w:bg2="light2" w:t2="dark2" w:accent1="accent1" w:accent2="accent2" w:accent3="accent3" w:accent4="accent4" w:accent5="accent5" w:accent6="accent6" w:hyperlink="hyperlink" w:followedHyperlink="followedHyperlink"/>
  <w14:docId w14:val="5AB1D12D"/>
  <w15:docId w15:val="{CFC0E95E-879F-43A1-90C7-1474BAFF96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line="240" w:lineRule="atLeast"/>
    </w:pPr>
    <w:rPr>
      <w:rFonts w:ascii="Verdana" w:hAnsi="Verdana"/>
      <w:color w:val="000000"/>
      <w:sz w:val="18"/>
      <w:szCs w:val="18"/>
    </w:rPr>
  </w:style>
  <w:style w:type="paragraph" w:styleId="Heading1">
    <w:name w:val="heading 1"/>
    <w:basedOn w:val="Normal"/>
    <w:next w:val="Normal"/>
    <w:uiPriority w:val="1"/>
    <w:qFormat/>
    <w:pPr>
      <w:tabs>
        <w:tab w:val="left" w:pos="0"/>
      </w:tabs>
      <w:spacing w:before="240"/>
      <w:outlineLvl w:val="0"/>
    </w:pPr>
    <w:rPr>
      <w:b/>
    </w:rPr>
  </w:style>
  <w:style w:type="paragraph" w:styleId="Heading2">
    <w:name w:val="heading 2"/>
    <w:basedOn w:val="Normal"/>
    <w:next w:val="Normal"/>
    <w:uiPriority w:val="2"/>
    <w:qFormat/>
    <w:pPr>
      <w:tabs>
        <w:tab w:val="left" w:pos="0"/>
      </w:tabs>
      <w:spacing w:before="240" w:line="240" w:lineRule="exact"/>
      <w:outlineLvl w:val="1"/>
    </w:pPr>
    <w:rPr>
      <w:i/>
    </w:rPr>
  </w:style>
  <w:style w:type="paragraph" w:styleId="Heading3">
    <w:name w:val="heading 3"/>
    <w:basedOn w:val="Normal"/>
    <w:next w:val="Normal"/>
    <w:pPr>
      <w:tabs>
        <w:tab w:val="left" w:pos="0"/>
      </w:tabs>
      <w:spacing w:before="240" w:line="240" w:lineRule="exact"/>
      <w:ind w:left="-1120"/>
      <w:outlineLvl w:val="2"/>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31B78"/>
    <w:rPr>
      <w:color w:val="467886" w:themeColor="hyperlink"/>
      <w:u w:val="single"/>
    </w:rPr>
  </w:style>
  <w:style w:type="paragraph" w:customStyle="1" w:styleId="Artikelstreepje">
    <w:name w:val="Artikel streepje"/>
    <w:basedOn w:val="Normal"/>
    <w:next w:val="Normal"/>
    <w:pPr>
      <w:numPr>
        <w:ilvl w:val="3"/>
        <w:numId w:val="1"/>
      </w:numPr>
    </w:pPr>
  </w:style>
  <w:style w:type="paragraph" w:customStyle="1" w:styleId="Artikelstreepjeinspringen">
    <w:name w:val="Artikel streepje inspringen"/>
    <w:basedOn w:val="Normal"/>
    <w:next w:val="Normal"/>
    <w:pPr>
      <w:numPr>
        <w:ilvl w:val="4"/>
        <w:numId w:val="1"/>
      </w:numPr>
    </w:pPr>
  </w:style>
  <w:style w:type="paragraph" w:customStyle="1" w:styleId="Artikelnummer">
    <w:name w:val="Artikelnummer"/>
    <w:basedOn w:val="Normal"/>
    <w:pPr>
      <w:numPr>
        <w:numId w:val="1"/>
      </w:numPr>
      <w:spacing w:before="360"/>
    </w:pPr>
    <w:rPr>
      <w:b/>
    </w:rPr>
  </w:style>
  <w:style w:type="paragraph" w:customStyle="1" w:styleId="Comparitienummer">
    <w:name w:val="Comparitienummer"/>
    <w:basedOn w:val="Normal"/>
    <w:next w:val="Normal"/>
    <w:pPr>
      <w:numPr>
        <w:numId w:val="2"/>
      </w:numPr>
    </w:pPr>
  </w:style>
  <w:style w:type="numbering" w:customStyle="1" w:styleId="Genummerdelijst">
    <w:name w:val="Genummerde lijst"/>
    <w:pPr>
      <w:numPr>
        <w:numId w:val="3"/>
      </w:numPr>
    </w:pPr>
  </w:style>
  <w:style w:type="paragraph" w:styleId="TOC1">
    <w:name w:val="toc 1"/>
    <w:basedOn w:val="Normal"/>
    <w:next w:val="Normal"/>
  </w:style>
  <w:style w:type="paragraph" w:styleId="TOC2">
    <w:name w:val="toc 2"/>
    <w:basedOn w:val="TOC1"/>
    <w:next w:val="Normal"/>
    <w:pPr>
      <w:spacing w:line="240" w:lineRule="exact"/>
    </w:pPr>
  </w:style>
  <w:style w:type="paragraph" w:styleId="TOC3">
    <w:name w:val="toc 3"/>
    <w:basedOn w:val="TOC2"/>
    <w:next w:val="Normal"/>
  </w:style>
  <w:style w:type="paragraph" w:styleId="TOC4">
    <w:name w:val="toc 4"/>
    <w:basedOn w:val="TOC3"/>
    <w:next w:val="Normal"/>
  </w:style>
  <w:style w:type="paragraph" w:styleId="TOC5">
    <w:name w:val="toc 5"/>
    <w:basedOn w:val="TOC4"/>
    <w:next w:val="Normal"/>
  </w:style>
  <w:style w:type="paragraph" w:styleId="TOC6">
    <w:name w:val="toc 6"/>
    <w:basedOn w:val="TOC5"/>
    <w:next w:val="Normal"/>
  </w:style>
  <w:style w:type="paragraph" w:styleId="TOC7">
    <w:name w:val="toc 7"/>
    <w:basedOn w:val="TOC6"/>
    <w:next w:val="Normal"/>
  </w:style>
  <w:style w:type="paragraph" w:styleId="TOC8">
    <w:name w:val="toc 8"/>
    <w:basedOn w:val="TOC7"/>
    <w:next w:val="Normal"/>
  </w:style>
  <w:style w:type="paragraph" w:styleId="TOC9">
    <w:name w:val="toc 9"/>
    <w:basedOn w:val="TOC8"/>
    <w:next w:val="Normal"/>
  </w:style>
  <w:style w:type="paragraph" w:customStyle="1" w:styleId="KixBarcode">
    <w:name w:val="Kix Barcode"/>
    <w:basedOn w:val="Normal"/>
    <w:next w:val="Normal"/>
    <w:pPr>
      <w:spacing w:before="120"/>
    </w:pPr>
    <w:rPr>
      <w:rFonts w:ascii="KIX Barcode" w:hAnsi="KIX Barcode"/>
      <w:sz w:val="20"/>
      <w:szCs w:val="20"/>
    </w:rPr>
  </w:style>
  <w:style w:type="paragraph" w:customStyle="1" w:styleId="Lidnummer">
    <w:name w:val="Lidnummer"/>
    <w:basedOn w:val="Normal"/>
    <w:pPr>
      <w:numPr>
        <w:ilvl w:val="1"/>
        <w:numId w:val="1"/>
      </w:numPr>
      <w:tabs>
        <w:tab w:val="left" w:pos="419"/>
      </w:tabs>
    </w:pPr>
  </w:style>
  <w:style w:type="paragraph" w:customStyle="1" w:styleId="Lidnummerabc">
    <w:name w:val="Lidnummer abc"/>
    <w:basedOn w:val="Normal"/>
    <w:pPr>
      <w:numPr>
        <w:ilvl w:val="2"/>
        <w:numId w:val="1"/>
      </w:numPr>
      <w:tabs>
        <w:tab w:val="left" w:pos="402"/>
      </w:tabs>
    </w:pPr>
  </w:style>
  <w:style w:type="numbering" w:customStyle="1" w:styleId="Lijstmetopsommingstekens">
    <w:name w:val="Lijst met opsommingstekens"/>
    <w:pPr>
      <w:numPr>
        <w:numId w:val="4"/>
      </w:numPr>
    </w:pPr>
  </w:style>
  <w:style w:type="paragraph" w:customStyle="1" w:styleId="Nummering">
    <w:name w:val="Nummering"/>
    <w:basedOn w:val="Normal"/>
    <w:uiPriority w:val="3"/>
    <w:qFormat/>
    <w:pPr>
      <w:numPr>
        <w:numId w:val="3"/>
      </w:numPr>
    </w:pPr>
  </w:style>
  <w:style w:type="paragraph" w:styleId="Subtitle">
    <w:name w:val="Subtitle"/>
    <w:basedOn w:val="Normal"/>
    <w:next w:val="Normal"/>
    <w:pPr>
      <w:spacing w:line="320" w:lineRule="atLeast"/>
    </w:pPr>
    <w:rPr>
      <w:sz w:val="24"/>
      <w:szCs w:val="24"/>
    </w:rPr>
  </w:style>
  <w:style w:type="paragraph" w:customStyle="1" w:styleId="Opsomming">
    <w:name w:val="Opsomming"/>
    <w:basedOn w:val="Normal"/>
    <w:uiPriority w:val="3"/>
    <w:qFormat/>
    <w:pPr>
      <w:numPr>
        <w:numId w:val="4"/>
      </w:numPr>
    </w:pPr>
  </w:style>
  <w:style w:type="paragraph" w:customStyle="1" w:styleId="Pagina-eindeKop1">
    <w:name w:val="Pagina-einde Kop 1"/>
    <w:basedOn w:val="Normal"/>
    <w:next w:val="Normal"/>
    <w:pPr>
      <w:pageBreakBefore/>
      <w:spacing w:line="240" w:lineRule="exact"/>
      <w:outlineLvl w:val="0"/>
    </w:pPr>
    <w:rPr>
      <w:b/>
    </w:rPr>
  </w:style>
  <w:style w:type="paragraph" w:customStyle="1" w:styleId="Referentiegegevens">
    <w:name w:val="Referentiegegevens"/>
    <w:basedOn w:val="Normal"/>
    <w:next w:val="Normal"/>
    <w:pPr>
      <w:spacing w:line="180" w:lineRule="exact"/>
      <w:outlineLvl w:val="4"/>
    </w:pPr>
    <w:rPr>
      <w:sz w:val="13"/>
      <w:szCs w:val="13"/>
    </w:rPr>
  </w:style>
  <w:style w:type="paragraph" w:customStyle="1" w:styleId="Referentiegegevensbold">
    <w:name w:val="Referentiegegevens bold"/>
    <w:basedOn w:val="Normal"/>
    <w:next w:val="Normal"/>
    <w:pPr>
      <w:spacing w:line="180" w:lineRule="exact"/>
      <w:outlineLvl w:val="4"/>
    </w:pPr>
    <w:rPr>
      <w:b/>
      <w:sz w:val="13"/>
      <w:szCs w:val="13"/>
    </w:rPr>
  </w:style>
  <w:style w:type="paragraph" w:customStyle="1" w:styleId="Referentiegegevenscursief">
    <w:name w:val="Referentiegegevens cursief"/>
    <w:basedOn w:val="Normal"/>
    <w:next w:val="Normal"/>
    <w:pPr>
      <w:spacing w:line="180" w:lineRule="exact"/>
      <w:outlineLvl w:val="4"/>
    </w:pPr>
    <w:rPr>
      <w:i/>
      <w:sz w:val="13"/>
      <w:szCs w:val="13"/>
    </w:rPr>
  </w:style>
  <w:style w:type="paragraph" w:customStyle="1" w:styleId="Referentiegegevensrechtsuitgelijnd">
    <w:name w:val="Referentiegegevens rechts uitgelijnd"/>
    <w:basedOn w:val="Normal"/>
    <w:next w:val="Normal"/>
    <w:pPr>
      <w:spacing w:line="180" w:lineRule="exact"/>
      <w:jc w:val="right"/>
      <w:outlineLvl w:val="4"/>
    </w:pPr>
    <w:rPr>
      <w:sz w:val="13"/>
      <w:szCs w:val="13"/>
    </w:rPr>
  </w:style>
  <w:style w:type="paragraph" w:customStyle="1" w:styleId="Rubricering">
    <w:name w:val="Rubricering"/>
    <w:basedOn w:val="Normal"/>
    <w:next w:val="Normal"/>
    <w:pPr>
      <w:spacing w:line="180" w:lineRule="exact"/>
    </w:pPr>
    <w:rPr>
      <w:b/>
      <w:caps/>
      <w:sz w:val="13"/>
      <w:szCs w:val="13"/>
    </w:rPr>
  </w:style>
  <w:style w:type="paragraph" w:customStyle="1" w:styleId="Standaardcursief">
    <w:name w:val="Standaard cursief"/>
    <w:basedOn w:val="Normal"/>
    <w:next w:val="Normal"/>
    <w:qFormat/>
    <w:pPr>
      <w:spacing w:line="240" w:lineRule="exact"/>
    </w:pPr>
    <w:rPr>
      <w:i/>
    </w:rPr>
  </w:style>
  <w:style w:type="paragraph" w:customStyle="1" w:styleId="StandaarddeDE">
    <w:name w:val="Standaard de_DE"/>
    <w:basedOn w:val="Normal"/>
    <w:next w:val="Normal"/>
    <w:rPr>
      <w:lang w:val="de-DE"/>
    </w:rPr>
  </w:style>
  <w:style w:type="paragraph" w:customStyle="1" w:styleId="StandaardenGB">
    <w:name w:val="Standaard en_GB"/>
    <w:basedOn w:val="Normal"/>
    <w:next w:val="Normal"/>
    <w:rPr>
      <w:lang w:val="en-GB"/>
    </w:rPr>
  </w:style>
  <w:style w:type="paragraph" w:customStyle="1" w:styleId="StandaardesES">
    <w:name w:val="Standaard es_ES"/>
    <w:basedOn w:val="Normal"/>
    <w:next w:val="Normal"/>
    <w:rPr>
      <w:lang w:val="es-ES"/>
    </w:rPr>
  </w:style>
  <w:style w:type="paragraph" w:customStyle="1" w:styleId="StandaardfrFR">
    <w:name w:val="Standaard fr_FR"/>
    <w:basedOn w:val="Normal"/>
    <w:next w:val="Normal"/>
    <w:rPr>
      <w:lang w:val="fr-FR"/>
    </w:rPr>
  </w:style>
  <w:style w:type="paragraph" w:customStyle="1" w:styleId="Standaardvet">
    <w:name w:val="Standaard vet"/>
    <w:basedOn w:val="Normal"/>
    <w:next w:val="Normal"/>
    <w:qFormat/>
    <w:pPr>
      <w:spacing w:line="240" w:lineRule="exact"/>
    </w:pPr>
    <w:rPr>
      <w:b/>
    </w:rPr>
  </w:style>
  <w:style w:type="table" w:customStyle="1" w:styleId="TabelRijkshuisstijl">
    <w:name w:val="Tabel Rijkshuisstijl"/>
    <w:rPr>
      <w:rFonts w:ascii="Verdana" w:hAnsi="Verdana"/>
      <w:sz w:val="18"/>
      <w:szCs w:val="18"/>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00" w:type="dxa"/>
        <w:left w:w="56" w:type="dxa"/>
        <w:bottom w:w="100" w:type="dxa"/>
        <w:right w:w="0" w:type="dxa"/>
      </w:tblCellMar>
    </w:tblPr>
    <w:tblStylePr w:type="firstRow">
      <w:rPr>
        <w:b/>
      </w:rPr>
    </w:tblStylePr>
  </w:style>
  <w:style w:type="table" w:customStyle="1" w:styleId="Tabelzonderranden">
    <w:name w:val="Tabel zonder randen"/>
    <w:rPr>
      <w:rFonts w:ascii="Verdana" w:hAnsi="Verdana"/>
      <w:color w:val="000000"/>
      <w:sz w:val="18"/>
      <w:szCs w:val="18"/>
    </w:rPr>
    <w:tblPr>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CellMar>
        <w:top w:w="0" w:type="dxa"/>
        <w:left w:w="0" w:type="dxa"/>
        <w:bottom w:w="0" w:type="dxa"/>
        <w:right w:w="0" w:type="dxa"/>
      </w:tblCellMar>
    </w:tblPr>
  </w:style>
  <w:style w:type="table" w:styleId="TableGrid">
    <w:name w:val="Table Grid"/>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paragraph" w:styleId="Title">
    <w:name w:val="Title"/>
    <w:basedOn w:val="Normal"/>
    <w:next w:val="Normal"/>
    <w:pPr>
      <w:spacing w:line="320" w:lineRule="atLeast"/>
    </w:pPr>
    <w:rPr>
      <w:b/>
      <w:sz w:val="24"/>
      <w:szCs w:val="24"/>
    </w:rPr>
  </w:style>
  <w:style w:type="character" w:customStyle="1" w:styleId="Voetnootreferentie">
    <w:name w:val="Voetnootreferentie"/>
    <w:rPr>
      <w:rFonts w:ascii="Verdana" w:hAnsi="Verdana"/>
      <w:sz w:val="13"/>
      <w:szCs w:val="13"/>
      <w:vertAlign w:val="baseline"/>
      <w:lang w:val="nl-NL"/>
    </w:rPr>
  </w:style>
  <w:style w:type="paragraph" w:styleId="FootnoteText">
    <w:name w:val="footnote text"/>
    <w:link w:val="VoetnoottekstChar"/>
    <w:uiPriority w:val="99"/>
    <w:pPr>
      <w:spacing w:line="180" w:lineRule="exact"/>
    </w:pPr>
    <w:rPr>
      <w:rFonts w:ascii="Verdana" w:hAnsi="Verdana"/>
      <w:sz w:val="13"/>
      <w:szCs w:val="13"/>
    </w:rPr>
  </w:style>
  <w:style w:type="character" w:customStyle="1" w:styleId="Voetnoottekstverwijzing">
    <w:name w:val="Voetnoottekstverwijzing"/>
    <w:rPr>
      <w:rFonts w:ascii="Verdana" w:hAnsi="Verdana"/>
      <w:sz w:val="24"/>
      <w:szCs w:val="24"/>
      <w:vertAlign w:val="superscript"/>
      <w:lang w:val="nl-NL"/>
    </w:rPr>
  </w:style>
  <w:style w:type="paragraph" w:customStyle="1" w:styleId="WitregelW1">
    <w:name w:val="Witregel W1"/>
    <w:basedOn w:val="Normal"/>
    <w:next w:val="Normal"/>
    <w:pPr>
      <w:spacing w:line="90" w:lineRule="exact"/>
    </w:pPr>
    <w:rPr>
      <w:sz w:val="9"/>
      <w:szCs w:val="9"/>
    </w:rPr>
  </w:style>
  <w:style w:type="paragraph" w:customStyle="1" w:styleId="WitregelW1bodytekst">
    <w:name w:val="Witregel W1 (bodytekst)"/>
    <w:basedOn w:val="Normal"/>
    <w:next w:val="Normal"/>
    <w:pPr>
      <w:spacing w:line="240" w:lineRule="exact"/>
    </w:pPr>
  </w:style>
  <w:style w:type="paragraph" w:customStyle="1" w:styleId="WitregelW2">
    <w:name w:val="Witregel W2"/>
    <w:basedOn w:val="Normal"/>
    <w:next w:val="Normal"/>
    <w:pPr>
      <w:spacing w:line="270" w:lineRule="exact"/>
    </w:pPr>
    <w:rPr>
      <w:sz w:val="27"/>
      <w:szCs w:val="27"/>
    </w:rPr>
  </w:style>
  <w:style w:type="paragraph" w:styleId="Header">
    <w:name w:val="header"/>
    <w:basedOn w:val="Normal"/>
    <w:link w:val="KoptekstChar"/>
    <w:uiPriority w:val="99"/>
    <w:unhideWhenUsed/>
    <w:rsid w:val="00723DA2"/>
    <w:pPr>
      <w:tabs>
        <w:tab w:val="center" w:pos="4536"/>
        <w:tab w:val="right" w:pos="9072"/>
      </w:tabs>
      <w:spacing w:line="240" w:lineRule="auto"/>
    </w:pPr>
  </w:style>
  <w:style w:type="character" w:customStyle="1" w:styleId="KoptekstChar">
    <w:name w:val="Koptekst Char"/>
    <w:basedOn w:val="DefaultParagraphFont"/>
    <w:link w:val="Header"/>
    <w:uiPriority w:val="99"/>
    <w:rsid w:val="00723DA2"/>
    <w:rPr>
      <w:rFonts w:ascii="Verdana" w:hAnsi="Verdana"/>
      <w:color w:val="000000"/>
      <w:sz w:val="18"/>
      <w:szCs w:val="18"/>
    </w:rPr>
  </w:style>
  <w:style w:type="paragraph" w:styleId="Footer">
    <w:name w:val="footer"/>
    <w:basedOn w:val="Normal"/>
    <w:link w:val="VoettekstChar"/>
    <w:uiPriority w:val="99"/>
    <w:unhideWhenUsed/>
    <w:rsid w:val="00723DA2"/>
    <w:pPr>
      <w:tabs>
        <w:tab w:val="center" w:pos="4536"/>
        <w:tab w:val="right" w:pos="9072"/>
      </w:tabs>
      <w:spacing w:line="240" w:lineRule="auto"/>
    </w:pPr>
  </w:style>
  <w:style w:type="character" w:customStyle="1" w:styleId="VoettekstChar">
    <w:name w:val="Voettekst Char"/>
    <w:basedOn w:val="DefaultParagraphFont"/>
    <w:link w:val="Footer"/>
    <w:uiPriority w:val="99"/>
    <w:rsid w:val="00723DA2"/>
    <w:rPr>
      <w:rFonts w:ascii="Verdana" w:hAnsi="Verdana"/>
      <w:color w:val="000000"/>
      <w:sz w:val="18"/>
      <w:szCs w:val="18"/>
    </w:rPr>
  </w:style>
  <w:style w:type="paragraph" w:styleId="ListParagraph">
    <w:name w:val="List Paragraph"/>
    <w:basedOn w:val="Normal"/>
    <w:uiPriority w:val="34"/>
    <w:qFormat/>
    <w:rsid w:val="00F912CE"/>
    <w:pPr>
      <w:ind w:left="720"/>
      <w:contextualSpacing/>
    </w:pPr>
  </w:style>
  <w:style w:type="character" w:styleId="FootnoteReference">
    <w:name w:val="footnote reference"/>
    <w:basedOn w:val="DefaultParagraphFont"/>
    <w:uiPriority w:val="99"/>
    <w:semiHidden/>
    <w:unhideWhenUsed/>
    <w:rsid w:val="00FB4C34"/>
    <w:rPr>
      <w:vertAlign w:val="superscript"/>
    </w:rPr>
  </w:style>
  <w:style w:type="character" w:customStyle="1" w:styleId="VoetnoottekstChar">
    <w:name w:val="Voetnoottekst Char"/>
    <w:basedOn w:val="DefaultParagraphFont"/>
    <w:link w:val="FootnoteText"/>
    <w:uiPriority w:val="99"/>
    <w:rsid w:val="008A07D3"/>
    <w:rPr>
      <w:rFonts w:ascii="Verdana" w:hAnsi="Verdana"/>
      <w:sz w:val="13"/>
      <w:szCs w:val="13"/>
    </w:rPr>
  </w:style>
  <w:style w:type="paragraph" w:styleId="Revision">
    <w:name w:val="Revision"/>
    <w:hidden/>
    <w:uiPriority w:val="99"/>
    <w:semiHidden/>
    <w:rsid w:val="008647C8"/>
    <w:pPr>
      <w:autoSpaceDN/>
      <w:textAlignment w:val="auto"/>
    </w:pPr>
    <w:rPr>
      <w:rFonts w:ascii="Verdana" w:hAnsi="Verdana"/>
      <w:color w:val="000000"/>
      <w:sz w:val="18"/>
      <w:szCs w:val="18"/>
    </w:rPr>
  </w:style>
  <w:style w:type="character" w:styleId="CommentReference">
    <w:name w:val="annotation reference"/>
    <w:basedOn w:val="DefaultParagraphFont"/>
    <w:uiPriority w:val="99"/>
    <w:semiHidden/>
    <w:unhideWhenUsed/>
    <w:rsid w:val="00E0092E"/>
    <w:rPr>
      <w:sz w:val="16"/>
      <w:szCs w:val="16"/>
    </w:rPr>
  </w:style>
  <w:style w:type="paragraph" w:styleId="CommentText">
    <w:name w:val="annotation text"/>
    <w:basedOn w:val="Normal"/>
    <w:link w:val="TekstopmerkingChar"/>
    <w:uiPriority w:val="99"/>
    <w:unhideWhenUsed/>
    <w:rsid w:val="00E0092E"/>
    <w:pPr>
      <w:spacing w:line="240" w:lineRule="auto"/>
    </w:pPr>
    <w:rPr>
      <w:sz w:val="20"/>
      <w:szCs w:val="20"/>
    </w:rPr>
  </w:style>
  <w:style w:type="character" w:customStyle="1" w:styleId="TekstopmerkingChar">
    <w:name w:val="Tekst opmerking Char"/>
    <w:basedOn w:val="DefaultParagraphFont"/>
    <w:link w:val="CommentText"/>
    <w:uiPriority w:val="99"/>
    <w:rsid w:val="00E0092E"/>
    <w:rPr>
      <w:rFonts w:ascii="Verdana" w:hAnsi="Verdana"/>
      <w:color w:val="000000"/>
    </w:rPr>
  </w:style>
  <w:style w:type="paragraph" w:styleId="CommentSubject">
    <w:name w:val="annotation subject"/>
    <w:basedOn w:val="CommentText"/>
    <w:next w:val="CommentText"/>
    <w:link w:val="OnderwerpvanopmerkingChar"/>
    <w:uiPriority w:val="99"/>
    <w:semiHidden/>
    <w:unhideWhenUsed/>
    <w:rsid w:val="00E0092E"/>
    <w:rPr>
      <w:b/>
      <w:bCs/>
    </w:rPr>
  </w:style>
  <w:style w:type="character" w:customStyle="1" w:styleId="OnderwerpvanopmerkingChar">
    <w:name w:val="Onderwerp van opmerking Char"/>
    <w:basedOn w:val="TekstopmerkingChar"/>
    <w:link w:val="CommentSubject"/>
    <w:uiPriority w:val="99"/>
    <w:semiHidden/>
    <w:rsid w:val="00E0092E"/>
    <w:rPr>
      <w:rFonts w:ascii="Verdana" w:hAnsi="Verdana"/>
      <w:b/>
      <w:bCs/>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&#65279;<?xml version="1.0" encoding="utf-8"?><Relationships xmlns="http://schemas.openxmlformats.org/package/2006/relationships"><Relationship Type="http://schemas.openxmlformats.org/officeDocument/2006/relationships/footnotes" Target="footnotes.xml" Id="rId1" /><Relationship Type="http://schemas.openxmlformats.org/officeDocument/2006/relationships/header" Target="header2.xml" Id="rId10" /><Relationship Type="http://schemas.openxmlformats.org/officeDocument/2006/relationships/footer" Target="footer1.xml" Id="rId11" /><Relationship Type="http://schemas.openxmlformats.org/officeDocument/2006/relationships/footer" Target="footer2.xml" Id="rId12" /><Relationship Type="http://schemas.openxmlformats.org/officeDocument/2006/relationships/header" Target="header3.xml" Id="rId13" /><Relationship Type="http://schemas.openxmlformats.org/officeDocument/2006/relationships/footer" Target="footer3.xml" Id="rId14" /><Relationship Type="http://schemas.openxmlformats.org/officeDocument/2006/relationships/theme" Target="theme/theme1.xml" Id="rId15" /><Relationship Type="http://schemas.openxmlformats.org/officeDocument/2006/relationships/numbering" Target="numbering.xml" Id="rId16" /><Relationship Type="http://schemas.openxmlformats.org/officeDocument/2006/relationships/styles" Target="styles.xml" Id="rId17" /><Relationship Type="http://schemas.openxmlformats.org/officeDocument/2006/relationships/settings" Target="settings.xml" Id="rId2" /><Relationship Type="http://schemas.openxmlformats.org/officeDocument/2006/relationships/webSettings" Target="webSettings.xml" Id="rId3" /><Relationship Type="http://schemas.openxmlformats.org/officeDocument/2006/relationships/fontTable" Target="fontTable.xml" Id="rId4" /><Relationship Type="http://schemas.openxmlformats.org/officeDocument/2006/relationships/image" Target="media/image1.png" Id="rId7" /><Relationship Type="http://schemas.openxmlformats.org/officeDocument/2006/relationships/image" Target="media/image2.png" Id="rId8" /><Relationship Type="http://schemas.openxmlformats.org/officeDocument/2006/relationships/header" Target="header1.xml" Id="rId9"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1</ap:Pages>
  <ap:Words>1052</ap:Words>
  <ap:Characters>5790</ap:Characters>
  <ap:DocSecurity>0</ap:DocSecurity>
  <ap:Lines>48</ap:Lines>
  <ap:Paragraphs>13</ap:Paragraphs>
  <ap:ScaleCrop>false</ap:ScaleCrop>
  <ap:HeadingPairs>
    <vt:vector baseType="variant" size="2">
      <vt:variant>
        <vt:lpstr>Titel</vt:lpstr>
      </vt:variant>
      <vt:variant>
        <vt:i4>1</vt:i4>
      </vt:variant>
    </vt:vector>
  </ap:HeadingPairs>
  <ap:TitlesOfParts>
    <vt:vector baseType="lpstr" size="1">
      <vt:lpstr>Brief aan Parlement - Uitvoering gewijzigde motie Keijzer/Kisteman</vt:lpstr>
    </vt:vector>
  </ap:TitlesOfParts>
  <ap:LinksUpToDate>false</ap:LinksUpToDate>
  <ap:CharactersWithSpaces>6829</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revision/>
  <dcterms:created xsi:type="dcterms:W3CDTF">2026-11-02T15:55:00.0000000Z</dcterms:created>
  <dcterms:modified xsi:type="dcterms:W3CDTF">2026-11-02T16:03:00.0000000Z</dcterms:modified>
  <dc:creator/>
  <lastModifiedBy/>
  <dc:description>------------------------</dc:description>
  <dc:subject/>
  <keywords/>
  <version/>
  <category/>
</coreProperties>
</file>