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587375" w:rsidTr="00587375" w14:paraId="7B09D686" w14:textId="77777777">
        <w:sdt>
          <w:sdtPr>
            <w:tag w:val="bmZaakNummerAdvies"/>
            <w:id w:val="-1638713214"/>
            <w:lock w:val="sdtLocked"/>
            <w:placeholder>
              <w:docPart w:val="DefaultPlaceholder_-1854013440"/>
            </w:placeholder>
          </w:sdtPr>
          <w:sdtEndPr/>
          <w:sdtContent>
            <w:tc>
              <w:tcPr>
                <w:tcW w:w="4251" w:type="dxa"/>
              </w:tcPr>
              <w:p w:rsidR="00587375" w:rsidRDefault="00587375" w14:paraId="7E533D58" w14:textId="0479D9A7">
                <w:r>
                  <w:t>No. W16.26.00300/II</w:t>
                </w:r>
              </w:p>
            </w:tc>
          </w:sdtContent>
        </w:sdt>
        <w:sdt>
          <w:sdtPr>
            <w:tag w:val="bmDatumAdvies"/>
            <w:id w:val="-1846006247"/>
            <w:lock w:val="sdtLocked"/>
            <w:placeholder>
              <w:docPart w:val="DefaultPlaceholder_-1854013440"/>
            </w:placeholder>
          </w:sdtPr>
          <w:sdtEndPr/>
          <w:sdtContent>
            <w:tc>
              <w:tcPr>
                <w:tcW w:w="4252" w:type="dxa"/>
              </w:tcPr>
              <w:p w:rsidR="00587375" w:rsidRDefault="00587375" w14:paraId="5A654B62" w14:textId="5E4BF201">
                <w:r>
                  <w:t>'s-Gravenhage, 30 september 2026</w:t>
                </w:r>
              </w:p>
            </w:tc>
          </w:sdtContent>
        </w:sdt>
      </w:tr>
    </w:tbl>
    <w:p w:rsidR="00587375" w:rsidRDefault="00587375" w14:paraId="2D8C3AC3" w14:textId="77777777"/>
    <w:p w:rsidR="00587375" w:rsidRDefault="00587375" w14:paraId="45665725" w14:textId="77777777"/>
    <w:p w:rsidR="00994A10" w:rsidRDefault="006B58D2" w14:paraId="4D71B8B0" w14:textId="1B47C9DD">
      <w:sdt>
        <w:sdtPr>
          <w:tag w:val="bmAanhef"/>
          <w:id w:val="1447974474"/>
          <w:lock w:val="sdtLocked"/>
          <w:placeholder>
            <w:docPart w:val="DefaultPlaceholder_-1854013440"/>
          </w:placeholder>
        </w:sdtPr>
        <w:sdtEndPr/>
        <w:sdtContent>
          <w:r w:rsidR="00587375">
            <w:rPr>
              <w:color w:val="000000"/>
            </w:rPr>
            <w:t xml:space="preserve">Bij Kabinetsmissive van 11 september 2026, no.2026001900, heeft Uwe Majesteit, op voordracht van de Staatssecretaris van Justitie en Veiligheid, bij de Afdeling advisering van de Raad van State ter overweging aanhangig gemaakt het </w:t>
          </w:r>
          <w:r w:rsidR="007A76DE">
            <w:rPr>
              <w:color w:val="000000"/>
            </w:rPr>
            <w:t xml:space="preserve">voorstel van wet </w:t>
          </w:r>
          <w:r w:rsidR="001653DA">
            <w:rPr>
              <w:color w:val="000000"/>
            </w:rPr>
            <w:t xml:space="preserve">houdende </w:t>
          </w:r>
          <w:r w:rsidR="00587375">
            <w:rPr>
              <w:color w:val="000000"/>
            </w:rPr>
            <w:t>wijziging van de Wet rechtspositie rechterlijke ambtenaren en enkele andere wetten in verband met het treffen van een structurele voorziening voor het benoemen van rechters- en raadsheren-plaatsvervangers in hun eenenzeventigste levensjaar, met memorie van toelichting.</w:t>
          </w:r>
        </w:sdtContent>
      </w:sdt>
    </w:p>
    <w:p w:rsidR="001B6332" w:rsidRDefault="001B6332" w14:paraId="201E3A83" w14:textId="77777777"/>
    <w:sdt>
      <w:sdtPr>
        <w:tag w:val="bmVrijeTekst1"/>
        <w:id w:val="-873932600"/>
        <w:lock w:val="sdtLocked"/>
        <w:placeholder>
          <w:docPart w:val="DefaultPlaceholder_-1854013440"/>
        </w:placeholder>
      </w:sdtPr>
      <w:sdtEndPr/>
      <w:sdtContent>
        <w:p w:rsidRPr="00587375" w:rsidR="00B91C6D" w:rsidP="00B91C6D" w:rsidRDefault="00B91C6D" w14:paraId="63B4C122" w14:textId="6707C170">
          <w:pPr>
            <w:rPr>
              <w:i/>
              <w:iCs/>
            </w:rPr>
          </w:pPr>
          <w:r w:rsidRPr="00587375">
            <w:rPr>
              <w:i/>
              <w:iCs/>
            </w:rPr>
            <w:t>Aanleiding en context van het voorstel</w:t>
          </w:r>
        </w:p>
        <w:p w:rsidR="00312FD2" w:rsidP="00B91C6D" w:rsidRDefault="00B91C6D" w14:paraId="4920E533" w14:textId="77777777">
          <w:r>
            <w:t>Sinds 2020 geldt er een regeling die het mogelijk maakt</w:t>
          </w:r>
          <w:r w:rsidRPr="00FE1F45">
            <w:t xml:space="preserve"> om rechters en raadsheren </w:t>
          </w:r>
          <w:r>
            <w:t xml:space="preserve">die de leeftijd van zeventig jaar hebben bereikt, na hun ontslag voor een periode van maximaal drie jaar kunnen worden benoemd als rechter-plaatsvervanger of </w:t>
          </w:r>
          <w:proofErr w:type="spellStart"/>
          <w:r>
            <w:t>raadsheer-plaatsvervanger</w:t>
          </w:r>
          <w:proofErr w:type="spellEnd"/>
          <w:r>
            <w:t xml:space="preserve">. Daarmee wordt beoogd om bij te dragen aan het oplossen van het tekort aan rechters en raadsheren bij de rechtbanken, gerechtshoven, het College van Beroep voor het bedrijfsleven en de Centrale Raad van Beroep. Het gerechtsbestuur en de betrokken rechter of raadsheer komen in onderling overleg tot een benoeming als rechter-plaatsvervanger of </w:t>
          </w:r>
          <w:proofErr w:type="spellStart"/>
          <w:r>
            <w:t>raadsheer-plaatsvervanger</w:t>
          </w:r>
          <w:proofErr w:type="spellEnd"/>
          <w:r w:rsidRPr="00FE1F45">
            <w:t>.</w:t>
          </w:r>
          <w:r>
            <w:rPr>
              <w:rStyle w:val="Voetnootmarkering"/>
            </w:rPr>
            <w:footnoteReference w:id="1"/>
          </w:r>
          <w:r w:rsidR="00B11F21">
            <w:t xml:space="preserve"> </w:t>
          </w:r>
        </w:p>
        <w:p w:rsidR="00312FD2" w:rsidP="00B91C6D" w:rsidRDefault="00312FD2" w14:paraId="0D2079DB" w14:textId="77777777"/>
        <w:p w:rsidR="00B11F21" w:rsidP="00B91C6D" w:rsidRDefault="00B91C6D" w14:paraId="7CB5D11F" w14:textId="2F94E5D1">
          <w:r>
            <w:t xml:space="preserve">De regeling </w:t>
          </w:r>
          <w:r w:rsidR="0056142B">
            <w:t>is</w:t>
          </w:r>
          <w:r>
            <w:t xml:space="preserve"> in 2020 ingevoerd vanwege achterstanden in de rechtspraak die waren ontstaan als gevolg van COVID-19.</w:t>
          </w:r>
          <w:r w:rsidRPr="00FE1F45">
            <w:t xml:space="preserve"> </w:t>
          </w:r>
          <w:r>
            <w:t>Vervolgens is de regeling in 2023 voor een periode van drie jaar verlengd, vanwege achterstanden</w:t>
          </w:r>
          <w:r w:rsidR="00B11F21">
            <w:t xml:space="preserve"> die zich nog steeds voordoen</w:t>
          </w:r>
          <w:r>
            <w:t>.</w:t>
          </w:r>
          <w:r>
            <w:rPr>
              <w:rStyle w:val="Voetnootmarkering"/>
            </w:rPr>
            <w:footnoteReference w:id="2"/>
          </w:r>
          <w:r>
            <w:t xml:space="preserve"> </w:t>
          </w:r>
        </w:p>
        <w:p w:rsidR="00B91C6D" w:rsidP="00B91C6D" w:rsidRDefault="00B91C6D" w14:paraId="3E858C95" w14:textId="438062EB">
          <w:r>
            <w:t xml:space="preserve">In 2025 is deze regeling geëvalueerd. Daaruit volgt </w:t>
          </w:r>
          <w:r w:rsidRPr="000E1104">
            <w:t xml:space="preserve">dat de ervaringen met de inzet van </w:t>
          </w:r>
          <w:r>
            <w:t>deze</w:t>
          </w:r>
          <w:r w:rsidRPr="000E1104">
            <w:t xml:space="preserve"> plaatsvervangers positief zijn. In de onderzochte periode leverde deze groep ca. 28 fte aan extra rechterlijke capaciteit en behandelde zij ruim 1% van het totaal aantal zaken dat in die periode door de </w:t>
          </w:r>
          <w:r>
            <w:t>r</w:t>
          </w:r>
          <w:r w:rsidRPr="000E1104">
            <w:t>echtspraak is afgedaan. De</w:t>
          </w:r>
          <w:r>
            <w:t>ze</w:t>
          </w:r>
          <w:r w:rsidRPr="000E1104">
            <w:t xml:space="preserve"> plaatsvervangers zijn </w:t>
          </w:r>
          <w:r>
            <w:t xml:space="preserve">volgens het evaluatieverslag </w:t>
          </w:r>
          <w:r w:rsidRPr="000E1104">
            <w:t>ervaren en flexibele rechters die snel en veelzijdig kunnen worden ingezet, variërend van het behandelen van schriftelijke zaken, het ondersteunen van collega’s en het inlopen van achterstanden.</w:t>
          </w:r>
          <w:r>
            <w:rPr>
              <w:rStyle w:val="Voetnootmarkering"/>
            </w:rPr>
            <w:footnoteReference w:id="3"/>
          </w:r>
          <w:r w:rsidRPr="000E1104">
            <w:t xml:space="preserve"> </w:t>
          </w:r>
          <w:r>
            <w:t>Daarnaast volgt uit de evaluatie van de tijdelijke regeling dat zij een waardevolle bijdrage leveren door de inbreng van hun expertise, kwaliteit en ervaring en worden de plaatsvervangers cruciaal geacht om het rooster sluitend te krijgen bij ziekte en of in vakantieperiodes.</w:t>
          </w:r>
        </w:p>
        <w:p w:rsidR="00B91C6D" w:rsidP="00B91C6D" w:rsidRDefault="00B91C6D" w14:paraId="246F00FB" w14:textId="77777777"/>
        <w:p w:rsidR="00B91C6D" w:rsidP="00B91C6D" w:rsidRDefault="00B91C6D" w14:paraId="51855049" w14:textId="4EDB8B84">
          <w:r>
            <w:lastRenderedPageBreak/>
            <w:t>De tijdelijke regeling vervalt per 16 november 2026, tenzij voor die datum een voorstel tot permanentmaking bij de Tweede Kamer aanhangig is gemaakt. Naar aanleiding van de ervaring in de achterliggende jaren is aan de Kamer toegezegd te komen met een permanente regeling.</w:t>
          </w:r>
          <w:r>
            <w:rPr>
              <w:rStyle w:val="Voetnootmarkering"/>
            </w:rPr>
            <w:footnoteReference w:id="4"/>
          </w:r>
          <w:r>
            <w:t xml:space="preserve"> Het </w:t>
          </w:r>
          <w:r w:rsidR="009A1A11">
            <w:t>wets</w:t>
          </w:r>
          <w:r>
            <w:t xml:space="preserve">voorstel voorziet daarin. </w:t>
          </w:r>
        </w:p>
        <w:p w:rsidR="00B91C6D" w:rsidP="00B91C6D" w:rsidRDefault="00B91C6D" w14:paraId="0265D5B8" w14:textId="77D3910B"/>
        <w:p w:rsidRPr="00587375" w:rsidR="00B91C6D" w:rsidP="00B91C6D" w:rsidRDefault="00B91C6D" w14:paraId="17C4951D" w14:textId="3F4F88DA">
          <w:pPr>
            <w:rPr>
              <w:i/>
              <w:iCs/>
            </w:rPr>
          </w:pPr>
          <w:r w:rsidRPr="00587375">
            <w:rPr>
              <w:i/>
              <w:iCs/>
            </w:rPr>
            <w:t>Vaststelling gebrek aan capaciteit</w:t>
          </w:r>
        </w:p>
        <w:p w:rsidR="00B91C6D" w:rsidP="00B91C6D" w:rsidRDefault="00B91C6D" w14:paraId="721B09D3" w14:textId="77777777">
          <w:r>
            <w:t>Het gekozen wettelijk criterium om tot benoeming van plaatsvervangende rechters en raadsheren over te kunnen gaan, is dat er sprake moet zijn van een gebrek aan capaciteit van rechterlijke ambtenaren met rechtspraak belast.</w:t>
          </w:r>
          <w:r>
            <w:rPr>
              <w:rStyle w:val="Voetnootmarkering"/>
            </w:rPr>
            <w:footnoteReference w:id="5"/>
          </w:r>
          <w:r>
            <w:t xml:space="preserve"> Volgens de toelichting kan bij</w:t>
          </w:r>
          <w:r w:rsidRPr="00F870B1">
            <w:t xml:space="preserve"> een gebrek aan capaciteit onder meer, maar niet uitsluitend, worden gedacht aan omstandigheden waarin de beschikbare capaciteit onvoldoende ruimte biedt om complexe zaken te behandelen, te voldoen aan de professionele standaarden, de werkdruk te verlagen, de vervangingsvraag door natuurlijk verloop op te vangen of te voorzien in de groeiende personeelsbehoefte bij een gerecht.</w:t>
          </w:r>
          <w:r>
            <w:rPr>
              <w:rStyle w:val="Voetnootmarkering"/>
            </w:rPr>
            <w:footnoteReference w:id="6"/>
          </w:r>
          <w:r>
            <w:t xml:space="preserve"> </w:t>
          </w:r>
        </w:p>
        <w:p w:rsidR="00B91C6D" w:rsidP="00B91C6D" w:rsidRDefault="00B91C6D" w14:paraId="1254E74E" w14:textId="77777777"/>
        <w:p w:rsidR="00600798" w:rsidP="00B91C6D" w:rsidRDefault="00B91C6D" w14:paraId="2C20E02C" w14:textId="77777777">
          <w:r w:rsidRPr="0095781A">
            <w:t xml:space="preserve">De Afdeling </w:t>
          </w:r>
          <w:r w:rsidR="0073553A">
            <w:t xml:space="preserve">advisering van de Raad van State </w:t>
          </w:r>
          <w:r w:rsidRPr="0095781A">
            <w:t xml:space="preserve">onderschrijft de keuze van de regering om ook in de structurele regeling te kiezen voor </w:t>
          </w:r>
          <w:r>
            <w:t>de mogelijkheid van een nieuwe</w:t>
          </w:r>
          <w:r w:rsidRPr="0095781A">
            <w:t xml:space="preserve"> benoeming </w:t>
          </w:r>
          <w:r>
            <w:t>van rechters en raadsheren die de leeftijd van zeventig jaar hebben bereikt</w:t>
          </w:r>
          <w:r w:rsidRPr="0095781A">
            <w:t xml:space="preserve"> </w:t>
          </w:r>
          <w:r>
            <w:t xml:space="preserve">als </w:t>
          </w:r>
          <w:r w:rsidRPr="0095781A">
            <w:t xml:space="preserve">rechter- of </w:t>
          </w:r>
          <w:proofErr w:type="spellStart"/>
          <w:r w:rsidRPr="0095781A">
            <w:t>raadsheer-plaatsvervanger</w:t>
          </w:r>
          <w:proofErr w:type="spellEnd"/>
          <w:r w:rsidRPr="0095781A">
            <w:t xml:space="preserve">. </w:t>
          </w:r>
          <w:r>
            <w:t xml:space="preserve">Ook heeft zij begrip voor de keuze om geen benoemingscriteria in de wet op te nemen aan de hand waarvan de rechters en raadsheren die de leeftijd van zeventig jaar hebben bereikt individueel worden beoordeeld. </w:t>
          </w:r>
        </w:p>
        <w:p w:rsidR="00600798" w:rsidP="00B91C6D" w:rsidRDefault="00600798" w14:paraId="104D9F24" w14:textId="77777777"/>
        <w:p w:rsidR="00B91C6D" w:rsidP="00B91C6D" w:rsidRDefault="00B91C6D" w14:paraId="5E3A545B" w14:textId="7085FB5B">
          <w:r>
            <w:t xml:space="preserve">De Afdeling merkt wel op dat het vereiste dat de benoeming moet samenhangen met een gebrek aan capaciteit, een te beëindigen toepassing van de regeling impliceert. Immers, wanneer wordt voorzien in dat gebrek aan capaciteit kan de inzet van de regeling beëindigd worden. </w:t>
          </w:r>
        </w:p>
        <w:p w:rsidR="00B91C6D" w:rsidP="00B91C6D" w:rsidRDefault="00B91C6D" w14:paraId="7EC309A9" w14:textId="77777777"/>
        <w:p w:rsidR="00B91C6D" w:rsidP="00B91C6D" w:rsidRDefault="00B91C6D" w14:paraId="302577B0" w14:textId="5F08B82F">
          <w:r>
            <w:t xml:space="preserve">Uit de toelichting bij het voorstel blijkt echter niet wie verantwoordelijk is voor de vaststelling dat er sprake is van een gebrek aan capaciteit en of deze vaststelling per gerecht kan verschillen. </w:t>
          </w:r>
          <w:r w:rsidRPr="00287AA9">
            <w:t xml:space="preserve">Benoeming gebeurt </w:t>
          </w:r>
          <w:r>
            <w:t>bij koninklijk besluit op voordracht van de minister van Justitie en Veiligheid</w:t>
          </w:r>
          <w:r w:rsidR="00494AFB">
            <w:t>,</w:t>
          </w:r>
          <w:r>
            <w:rPr>
              <w:rStyle w:val="Voetnootmarkering"/>
            </w:rPr>
            <w:footnoteReference w:id="7"/>
          </w:r>
          <w:r w:rsidRPr="00287AA9">
            <w:t xml:space="preserve"> nadat een gerechtsbestuur een voordracht daartoe heeft gedaan aan de Raad voor de rechtspraak binnen drie maanden na het ontslag vanwege het bereiken van de leeftijd van 70 jaar.</w:t>
          </w:r>
          <w:r>
            <w:t xml:space="preserve"> Daaruit zou kunnen worden afgeleid dat de minister van Justitie en Veiligheid verantwoordelijk is voor de afweging of een geslaagd beroep wordt gedaan op capaciteitsgebrek. Tegelijkertijd duiden de voorbeelden van situaties waarin sprake kan zijn van een capaciteitsgebrek op een afweging die logischerwijze plaatsvindt op het niveau van de gerechten. In dat kader is voorstelbaar dat het gerechtsbestuur de vaststelling doet of capaciteitsgebrek noopt tot benoeming </w:t>
          </w:r>
          <w:r>
            <w:lastRenderedPageBreak/>
            <w:t xml:space="preserve">van rechters en raadsheren die de leeftijd van zeventig jaar hebben bereikt tot plaatsvervanger. </w:t>
          </w:r>
        </w:p>
        <w:p w:rsidR="00B91C6D" w:rsidP="00B91C6D" w:rsidRDefault="00B91C6D" w14:paraId="286D6C89" w14:textId="77777777"/>
        <w:p w:rsidRPr="00965EC4" w:rsidR="00931984" w:rsidRDefault="00B91C6D" w14:paraId="0DC56DB4" w14:textId="104C0C05">
          <w:r w:rsidRPr="001F50A3">
            <w:t>Omdat het wetsvoorstel regelt dat rechters die de leeftijd van zeventig jaar hebben bereikt alleen maar kunnen worden benoemd als dat capaciteitsgebrek zich voordoet</w:t>
          </w:r>
          <w:r>
            <w:t>, adviseert de Afdeling in de toelichting in te gaan op de vraag wie verantwoordelijk is voor de vaststelling of sprake is van capaciteitsgebrek.</w:t>
          </w:r>
        </w:p>
      </w:sdtContent>
    </w:sdt>
    <w:p w:rsidR="000A1F7D" w:rsidRDefault="000A1F7D" w14:paraId="4D71B8B3" w14:textId="77777777"/>
    <w:p w:rsidR="001B6332" w:rsidRDefault="001B6332" w14:paraId="0A3C5379" w14:textId="77777777"/>
    <w:sdt>
      <w:sdtPr>
        <w:tag w:val="bmDictum"/>
        <w:id w:val="-148909923"/>
        <w:lock w:val="sdtLocked"/>
        <w:placeholder>
          <w:docPart w:val="DefaultPlaceholder_-1854013440"/>
        </w:placeholder>
      </w:sdtPr>
      <w:sdtEndPr/>
      <w:sdtContent>
        <w:p w:rsidR="001B6332" w:rsidP="00017C54" w:rsidRDefault="00A03A0A" w14:paraId="61F81FB4" w14:textId="77777777">
          <w:r>
            <w:t xml:space="preserve">De Afdeling advisering van de Raad van State heeft een aantal opmerkingen bij het voorstel en adviseert daarmee rekening te houden voordat het voorstel bij de Tweede Kamer der Staten-Generaal wordt ingediend. </w:t>
          </w:r>
          <w:r>
            <w:br/>
          </w:r>
        </w:p>
        <w:p w:rsidR="00017C54" w:rsidP="00017C54" w:rsidRDefault="00A03A0A" w14:paraId="4D71B8B4" w14:textId="29F97487">
          <w:r>
            <w:br/>
            <w:t>De vice-president van de Raad van State,</w:t>
          </w:r>
        </w:p>
      </w:sdtContent>
    </w:sdt>
    <w:sectPr w:rsidR="00017C54" w:rsidSect="00587375">
      <w:headerReference w:type="default" r:id="rId7"/>
      <w:footerReference w:type="default" r:id="rId8"/>
      <w:headerReference w:type="first" r:id="rId9"/>
      <w:footerReference w:type="first" r:id="rId10"/>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17CE9" w14:textId="77777777" w:rsidR="009F4FD4" w:rsidRDefault="009F4FD4">
      <w:r>
        <w:separator/>
      </w:r>
    </w:p>
  </w:endnote>
  <w:endnote w:type="continuationSeparator" w:id="0">
    <w:p w14:paraId="5B69CD47" w14:textId="77777777" w:rsidR="009F4FD4" w:rsidRDefault="009F4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0D7414" w14:paraId="4D71B8BA" w14:textId="77777777" w:rsidTr="00D90098">
      <w:tc>
        <w:tcPr>
          <w:tcW w:w="4815" w:type="dxa"/>
        </w:tcPr>
        <w:p w14:paraId="4D71B8B8" w14:textId="77777777" w:rsidR="00D90098" w:rsidRDefault="00D90098" w:rsidP="00D90098">
          <w:pPr>
            <w:pStyle w:val="Voettekst"/>
          </w:pPr>
        </w:p>
      </w:tc>
      <w:tc>
        <w:tcPr>
          <w:tcW w:w="4247" w:type="dxa"/>
        </w:tcPr>
        <w:p w14:paraId="4D71B8B9" w14:textId="77777777" w:rsidR="00D90098" w:rsidRDefault="00D90098" w:rsidP="00D90098">
          <w:pPr>
            <w:pStyle w:val="Voettekst"/>
            <w:jc w:val="right"/>
          </w:pPr>
        </w:p>
      </w:tc>
    </w:tr>
  </w:tbl>
  <w:p w14:paraId="4D71B8BB" w14:textId="77777777" w:rsidR="00D90098" w:rsidRDefault="00D900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DF13" w14:textId="0787ECB7" w:rsidR="00587375" w:rsidRPr="00587375" w:rsidRDefault="00587375">
    <w:pPr>
      <w:pStyle w:val="Voettekst"/>
      <w:rPr>
        <w:rFonts w:ascii="Bembo" w:hAnsi="Bembo"/>
        <w:sz w:val="32"/>
      </w:rPr>
    </w:pPr>
    <w:r w:rsidRPr="00587375">
      <w:rPr>
        <w:rFonts w:ascii="Bembo" w:hAnsi="Bembo"/>
        <w:sz w:val="32"/>
      </w:rPr>
      <w:t>AAN DE KONING</w:t>
    </w:r>
  </w:p>
  <w:p w14:paraId="40FAF3E6" w14:textId="77777777" w:rsidR="00587375" w:rsidRDefault="005873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99A40" w14:textId="77777777" w:rsidR="009F4FD4" w:rsidRDefault="009F4FD4">
      <w:r>
        <w:separator/>
      </w:r>
    </w:p>
  </w:footnote>
  <w:footnote w:type="continuationSeparator" w:id="0">
    <w:p w14:paraId="5E69BD8E" w14:textId="77777777" w:rsidR="009F4FD4" w:rsidRDefault="009F4FD4">
      <w:r>
        <w:continuationSeparator/>
      </w:r>
    </w:p>
  </w:footnote>
  <w:footnote w:id="1">
    <w:p w14:paraId="4CC6852F" w14:textId="77777777" w:rsidR="00B91C6D" w:rsidRDefault="00B91C6D" w:rsidP="00B91C6D">
      <w:pPr>
        <w:pStyle w:val="Voetnoottekst"/>
      </w:pPr>
      <w:r>
        <w:rPr>
          <w:rStyle w:val="Voetnootmarkering"/>
        </w:rPr>
        <w:footnoteRef/>
      </w:r>
      <w:r>
        <w:t xml:space="preserve"> Memorie van toelichting, onderdeel 4.3 (Benoeming tot rechter-plaatsvervanger of </w:t>
      </w:r>
      <w:proofErr w:type="spellStart"/>
      <w:r>
        <w:t>raadsheer-plaatsvervanger</w:t>
      </w:r>
      <w:proofErr w:type="spellEnd"/>
      <w:r>
        <w:t>).</w:t>
      </w:r>
    </w:p>
  </w:footnote>
  <w:footnote w:id="2">
    <w:p w14:paraId="76F02B92" w14:textId="77777777" w:rsidR="00B91C6D" w:rsidRDefault="00B91C6D" w:rsidP="00B91C6D">
      <w:pPr>
        <w:pStyle w:val="Voetnoottekst"/>
      </w:pPr>
      <w:r>
        <w:rPr>
          <w:rStyle w:val="Voetnootmarkering"/>
        </w:rPr>
        <w:footnoteRef/>
      </w:r>
      <w:r>
        <w:t xml:space="preserve"> W</w:t>
      </w:r>
      <w:r w:rsidRPr="006C6FF2">
        <w:t>et tot wijziging van de Wet rechtspositie rechterlijke ambtenaren, de Tweede Verzamelspoedwet COVID-19 en enkele andere wetten in verband met het treffen van een tijdelijke voorziening voor het benoemen van rechters-plaatsvervangers in hun eenenzeventigste levensjaar</w:t>
      </w:r>
      <w:r>
        <w:t xml:space="preserve">, </w:t>
      </w:r>
      <w:r w:rsidRPr="00952630">
        <w:t>Stb. 2023, 410</w:t>
      </w:r>
      <w:r>
        <w:t>.</w:t>
      </w:r>
    </w:p>
  </w:footnote>
  <w:footnote w:id="3">
    <w:p w14:paraId="76C47586" w14:textId="77777777" w:rsidR="00B91C6D" w:rsidRDefault="00B91C6D" w:rsidP="00B91C6D">
      <w:pPr>
        <w:pStyle w:val="Voetnoottekst"/>
      </w:pPr>
      <w:r>
        <w:rPr>
          <w:rStyle w:val="Voetnootmarkering"/>
        </w:rPr>
        <w:footnoteRef/>
      </w:r>
      <w:r>
        <w:t xml:space="preserve"> </w:t>
      </w:r>
      <w:r w:rsidRPr="00161B8B">
        <w:t>Verslag evaluatieonderzoek 70+ regeling, bijlage bij Kamerstukken II 2025/26, 29279, nr. 1016.</w:t>
      </w:r>
    </w:p>
  </w:footnote>
  <w:footnote w:id="4">
    <w:p w14:paraId="69DD8EB0" w14:textId="77777777" w:rsidR="00B91C6D" w:rsidRDefault="00B91C6D" w:rsidP="00B91C6D">
      <w:pPr>
        <w:pStyle w:val="Voetnoottekst"/>
      </w:pPr>
      <w:r>
        <w:rPr>
          <w:rStyle w:val="Voetnootmarkering"/>
        </w:rPr>
        <w:footnoteRef/>
      </w:r>
      <w:r>
        <w:t xml:space="preserve"> Kamerstukken II 2025/26, 29279, nr. 1016.</w:t>
      </w:r>
    </w:p>
  </w:footnote>
  <w:footnote w:id="5">
    <w:p w14:paraId="73B7DD43" w14:textId="77777777" w:rsidR="00B91C6D" w:rsidRDefault="00B91C6D" w:rsidP="00B91C6D">
      <w:pPr>
        <w:pStyle w:val="Voetnoottekst"/>
      </w:pPr>
      <w:r>
        <w:rPr>
          <w:rStyle w:val="Voetnootmarkering"/>
        </w:rPr>
        <w:footnoteRef/>
      </w:r>
      <w:r>
        <w:t xml:space="preserve"> Artikel I, onderdeel B, voorgesteld artikel 5d, eerste lid, van de Wet rechtspositie rechterlijke ambtenaren.</w:t>
      </w:r>
    </w:p>
  </w:footnote>
  <w:footnote w:id="6">
    <w:p w14:paraId="6FB03FAF" w14:textId="77777777" w:rsidR="00B91C6D" w:rsidRDefault="00B91C6D" w:rsidP="00B91C6D">
      <w:pPr>
        <w:pStyle w:val="Voetnoottekst"/>
      </w:pPr>
      <w:r>
        <w:rPr>
          <w:rStyle w:val="Voetnootmarkering"/>
        </w:rPr>
        <w:footnoteRef/>
      </w:r>
      <w:r>
        <w:t xml:space="preserve"> Memorie van toelichting, onderdeel 3.2 (De evaluatie van de 70+ regeling).</w:t>
      </w:r>
    </w:p>
  </w:footnote>
  <w:footnote w:id="7">
    <w:p w14:paraId="57880F97" w14:textId="77777777" w:rsidR="00B91C6D" w:rsidRDefault="00B91C6D" w:rsidP="00B91C6D">
      <w:pPr>
        <w:pStyle w:val="Voetnoottekst"/>
      </w:pPr>
      <w:r>
        <w:rPr>
          <w:rStyle w:val="Voetnootmarkering"/>
        </w:rPr>
        <w:footnoteRef/>
      </w:r>
      <w:r>
        <w:t xml:space="preserve"> Artikel 2, eerste lid, Wet rechtspositie rechterlijke ambtenaren.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1B8B6" w14:textId="77777777" w:rsidR="00FA7BCD" w:rsidRDefault="00FE3E5E"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1B8BC" w14:textId="77777777" w:rsidR="00DA0CDA" w:rsidRDefault="00FE3E5E"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4D71B8BD" w14:textId="77777777" w:rsidR="00993C75" w:rsidRDefault="00FE3E5E">
    <w:pPr>
      <w:pStyle w:val="Koptekst"/>
    </w:pPr>
    <w:r>
      <w:rPr>
        <w:noProof/>
      </w:rPr>
      <w:drawing>
        <wp:anchor distT="0" distB="0" distL="114300" distR="114300" simplePos="0" relativeHeight="251658240" behindDoc="1" locked="0" layoutInCell="1" allowOverlap="1" wp14:anchorId="4D71B8C8" wp14:editId="4D71B8C9">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414"/>
    <w:rsid w:val="000024CB"/>
    <w:rsid w:val="00002A21"/>
    <w:rsid w:val="00002C12"/>
    <w:rsid w:val="000037DE"/>
    <w:rsid w:val="00005077"/>
    <w:rsid w:val="0001040C"/>
    <w:rsid w:val="00011370"/>
    <w:rsid w:val="000119F5"/>
    <w:rsid w:val="00012C49"/>
    <w:rsid w:val="00013C00"/>
    <w:rsid w:val="00017C54"/>
    <w:rsid w:val="000238A5"/>
    <w:rsid w:val="00025005"/>
    <w:rsid w:val="00026018"/>
    <w:rsid w:val="0002667F"/>
    <w:rsid w:val="00027B84"/>
    <w:rsid w:val="00030F0F"/>
    <w:rsid w:val="00033373"/>
    <w:rsid w:val="00035C9B"/>
    <w:rsid w:val="000473B1"/>
    <w:rsid w:val="000509CE"/>
    <w:rsid w:val="00051A54"/>
    <w:rsid w:val="0005410B"/>
    <w:rsid w:val="000548F7"/>
    <w:rsid w:val="00054A75"/>
    <w:rsid w:val="00055DCA"/>
    <w:rsid w:val="00057481"/>
    <w:rsid w:val="00057C44"/>
    <w:rsid w:val="000625EC"/>
    <w:rsid w:val="00065C43"/>
    <w:rsid w:val="00071014"/>
    <w:rsid w:val="00072DAE"/>
    <w:rsid w:val="0007352B"/>
    <w:rsid w:val="00073F3F"/>
    <w:rsid w:val="000775A5"/>
    <w:rsid w:val="000775AD"/>
    <w:rsid w:val="00082962"/>
    <w:rsid w:val="00083672"/>
    <w:rsid w:val="0009103D"/>
    <w:rsid w:val="000925C0"/>
    <w:rsid w:val="00093363"/>
    <w:rsid w:val="00093AFE"/>
    <w:rsid w:val="00094431"/>
    <w:rsid w:val="0009535A"/>
    <w:rsid w:val="00097480"/>
    <w:rsid w:val="000A1F7D"/>
    <w:rsid w:val="000A2E0F"/>
    <w:rsid w:val="000A6109"/>
    <w:rsid w:val="000B1594"/>
    <w:rsid w:val="000B2BAA"/>
    <w:rsid w:val="000B3300"/>
    <w:rsid w:val="000B3FE3"/>
    <w:rsid w:val="000B426C"/>
    <w:rsid w:val="000B5662"/>
    <w:rsid w:val="000B5F14"/>
    <w:rsid w:val="000B6E57"/>
    <w:rsid w:val="000B753D"/>
    <w:rsid w:val="000C0FF7"/>
    <w:rsid w:val="000D2B68"/>
    <w:rsid w:val="000D64B9"/>
    <w:rsid w:val="000D7414"/>
    <w:rsid w:val="000E101D"/>
    <w:rsid w:val="000E43B3"/>
    <w:rsid w:val="000E453A"/>
    <w:rsid w:val="000E639C"/>
    <w:rsid w:val="000E67B1"/>
    <w:rsid w:val="000E78E9"/>
    <w:rsid w:val="000F5518"/>
    <w:rsid w:val="000F576C"/>
    <w:rsid w:val="000F5946"/>
    <w:rsid w:val="000F6A36"/>
    <w:rsid w:val="00100515"/>
    <w:rsid w:val="00100DD0"/>
    <w:rsid w:val="00102536"/>
    <w:rsid w:val="00103F9C"/>
    <w:rsid w:val="001040EF"/>
    <w:rsid w:val="00107DA2"/>
    <w:rsid w:val="00112F3B"/>
    <w:rsid w:val="00113680"/>
    <w:rsid w:val="00114EB5"/>
    <w:rsid w:val="00115D65"/>
    <w:rsid w:val="00116038"/>
    <w:rsid w:val="00117EC8"/>
    <w:rsid w:val="00122B74"/>
    <w:rsid w:val="00136670"/>
    <w:rsid w:val="001416E2"/>
    <w:rsid w:val="001429BC"/>
    <w:rsid w:val="00143312"/>
    <w:rsid w:val="00144114"/>
    <w:rsid w:val="0014568E"/>
    <w:rsid w:val="0015281B"/>
    <w:rsid w:val="00152D9A"/>
    <w:rsid w:val="00154BAA"/>
    <w:rsid w:val="00156432"/>
    <w:rsid w:val="00160146"/>
    <w:rsid w:val="001609EB"/>
    <w:rsid w:val="00161B8B"/>
    <w:rsid w:val="00163ED3"/>
    <w:rsid w:val="00164A33"/>
    <w:rsid w:val="001653DA"/>
    <w:rsid w:val="00166AA6"/>
    <w:rsid w:val="00166FB7"/>
    <w:rsid w:val="00170572"/>
    <w:rsid w:val="00170679"/>
    <w:rsid w:val="001768DA"/>
    <w:rsid w:val="00176D72"/>
    <w:rsid w:val="0017781B"/>
    <w:rsid w:val="00180671"/>
    <w:rsid w:val="0018763D"/>
    <w:rsid w:val="00187CEA"/>
    <w:rsid w:val="00187DF6"/>
    <w:rsid w:val="00192D3C"/>
    <w:rsid w:val="00195EA2"/>
    <w:rsid w:val="00196A0D"/>
    <w:rsid w:val="001A0B36"/>
    <w:rsid w:val="001A2DF6"/>
    <w:rsid w:val="001A41B9"/>
    <w:rsid w:val="001A435B"/>
    <w:rsid w:val="001A48D8"/>
    <w:rsid w:val="001A4927"/>
    <w:rsid w:val="001A5D9D"/>
    <w:rsid w:val="001A5F69"/>
    <w:rsid w:val="001A6DB2"/>
    <w:rsid w:val="001B0E1D"/>
    <w:rsid w:val="001B279F"/>
    <w:rsid w:val="001B4538"/>
    <w:rsid w:val="001B4855"/>
    <w:rsid w:val="001B4AF2"/>
    <w:rsid w:val="001B6332"/>
    <w:rsid w:val="001B67AB"/>
    <w:rsid w:val="001C08C1"/>
    <w:rsid w:val="001C1E67"/>
    <w:rsid w:val="001C5194"/>
    <w:rsid w:val="001C547C"/>
    <w:rsid w:val="001C779A"/>
    <w:rsid w:val="001D228F"/>
    <w:rsid w:val="001D2FE6"/>
    <w:rsid w:val="001D4BD3"/>
    <w:rsid w:val="001D5E14"/>
    <w:rsid w:val="001E317D"/>
    <w:rsid w:val="001E52E9"/>
    <w:rsid w:val="001E63AC"/>
    <w:rsid w:val="001E77B5"/>
    <w:rsid w:val="001F2A79"/>
    <w:rsid w:val="001F3600"/>
    <w:rsid w:val="001F50A3"/>
    <w:rsid w:val="001F557B"/>
    <w:rsid w:val="001F5A54"/>
    <w:rsid w:val="001F6420"/>
    <w:rsid w:val="00200052"/>
    <w:rsid w:val="00201F8E"/>
    <w:rsid w:val="00202EDB"/>
    <w:rsid w:val="002037C8"/>
    <w:rsid w:val="002078FE"/>
    <w:rsid w:val="00212D38"/>
    <w:rsid w:val="0021562C"/>
    <w:rsid w:val="002174C1"/>
    <w:rsid w:val="0022017D"/>
    <w:rsid w:val="00231F47"/>
    <w:rsid w:val="00232584"/>
    <w:rsid w:val="00233EC3"/>
    <w:rsid w:val="00237A37"/>
    <w:rsid w:val="002402E9"/>
    <w:rsid w:val="00242B98"/>
    <w:rsid w:val="0024318D"/>
    <w:rsid w:val="002432D9"/>
    <w:rsid w:val="00246051"/>
    <w:rsid w:val="00257005"/>
    <w:rsid w:val="0026384A"/>
    <w:rsid w:val="002665CB"/>
    <w:rsid w:val="00275A69"/>
    <w:rsid w:val="00275F65"/>
    <w:rsid w:val="00280798"/>
    <w:rsid w:val="00281E10"/>
    <w:rsid w:val="00282BAE"/>
    <w:rsid w:val="00287AA9"/>
    <w:rsid w:val="002906C7"/>
    <w:rsid w:val="00294B32"/>
    <w:rsid w:val="00294DEF"/>
    <w:rsid w:val="00295A9E"/>
    <w:rsid w:val="00295C8C"/>
    <w:rsid w:val="002A24CE"/>
    <w:rsid w:val="002A2784"/>
    <w:rsid w:val="002A27C5"/>
    <w:rsid w:val="002B4141"/>
    <w:rsid w:val="002B5153"/>
    <w:rsid w:val="002B6EFC"/>
    <w:rsid w:val="002B786B"/>
    <w:rsid w:val="002C18C2"/>
    <w:rsid w:val="002C2D46"/>
    <w:rsid w:val="002C34F9"/>
    <w:rsid w:val="002C357D"/>
    <w:rsid w:val="002C3AB0"/>
    <w:rsid w:val="002C45B4"/>
    <w:rsid w:val="002C5C1F"/>
    <w:rsid w:val="002C71DF"/>
    <w:rsid w:val="002C7D86"/>
    <w:rsid w:val="002E0822"/>
    <w:rsid w:val="002E1443"/>
    <w:rsid w:val="002E1C29"/>
    <w:rsid w:val="002E21C9"/>
    <w:rsid w:val="002E34EB"/>
    <w:rsid w:val="002F2F4E"/>
    <w:rsid w:val="002F4140"/>
    <w:rsid w:val="002F4384"/>
    <w:rsid w:val="002F6629"/>
    <w:rsid w:val="00301167"/>
    <w:rsid w:val="00302791"/>
    <w:rsid w:val="00302F52"/>
    <w:rsid w:val="003049D2"/>
    <w:rsid w:val="00304CF1"/>
    <w:rsid w:val="00304F02"/>
    <w:rsid w:val="00312FD2"/>
    <w:rsid w:val="0031365C"/>
    <w:rsid w:val="003154FC"/>
    <w:rsid w:val="00315DD1"/>
    <w:rsid w:val="00316778"/>
    <w:rsid w:val="00316A3B"/>
    <w:rsid w:val="003203AD"/>
    <w:rsid w:val="00321656"/>
    <w:rsid w:val="0032232E"/>
    <w:rsid w:val="003266D0"/>
    <w:rsid w:val="003279B6"/>
    <w:rsid w:val="00336F34"/>
    <w:rsid w:val="003374CA"/>
    <w:rsid w:val="00340814"/>
    <w:rsid w:val="00340CC1"/>
    <w:rsid w:val="0034281D"/>
    <w:rsid w:val="00346A42"/>
    <w:rsid w:val="003500D1"/>
    <w:rsid w:val="003515D9"/>
    <w:rsid w:val="00354602"/>
    <w:rsid w:val="0035533C"/>
    <w:rsid w:val="00356FBA"/>
    <w:rsid w:val="003607C9"/>
    <w:rsid w:val="00361A9F"/>
    <w:rsid w:val="00361F28"/>
    <w:rsid w:val="00363CF1"/>
    <w:rsid w:val="00364896"/>
    <w:rsid w:val="0037226E"/>
    <w:rsid w:val="0037430F"/>
    <w:rsid w:val="00374AD9"/>
    <w:rsid w:val="003775A4"/>
    <w:rsid w:val="003776C5"/>
    <w:rsid w:val="003813BB"/>
    <w:rsid w:val="00382D2F"/>
    <w:rsid w:val="00382F66"/>
    <w:rsid w:val="0038389F"/>
    <w:rsid w:val="003861AF"/>
    <w:rsid w:val="00387047"/>
    <w:rsid w:val="003903A3"/>
    <w:rsid w:val="00391F1C"/>
    <w:rsid w:val="00391F2C"/>
    <w:rsid w:val="00395E3D"/>
    <w:rsid w:val="003970D9"/>
    <w:rsid w:val="003A3FC0"/>
    <w:rsid w:val="003A4D50"/>
    <w:rsid w:val="003A7DC9"/>
    <w:rsid w:val="003A7E47"/>
    <w:rsid w:val="003B34A3"/>
    <w:rsid w:val="003B46E3"/>
    <w:rsid w:val="003B553F"/>
    <w:rsid w:val="003B6609"/>
    <w:rsid w:val="003B765B"/>
    <w:rsid w:val="003C0AAB"/>
    <w:rsid w:val="003C4B15"/>
    <w:rsid w:val="003C56CE"/>
    <w:rsid w:val="003C5B7F"/>
    <w:rsid w:val="003D0152"/>
    <w:rsid w:val="003D139D"/>
    <w:rsid w:val="003D1BFB"/>
    <w:rsid w:val="003D1D83"/>
    <w:rsid w:val="003D44AA"/>
    <w:rsid w:val="003D47E8"/>
    <w:rsid w:val="003D4E8C"/>
    <w:rsid w:val="003D6991"/>
    <w:rsid w:val="003D7378"/>
    <w:rsid w:val="003D7860"/>
    <w:rsid w:val="003E2A35"/>
    <w:rsid w:val="003E4391"/>
    <w:rsid w:val="003E5171"/>
    <w:rsid w:val="003E54FC"/>
    <w:rsid w:val="003F0CEF"/>
    <w:rsid w:val="003F39DD"/>
    <w:rsid w:val="003F5A88"/>
    <w:rsid w:val="00400C81"/>
    <w:rsid w:val="00403AFD"/>
    <w:rsid w:val="00403F17"/>
    <w:rsid w:val="00404319"/>
    <w:rsid w:val="00406315"/>
    <w:rsid w:val="004124F9"/>
    <w:rsid w:val="00412D27"/>
    <w:rsid w:val="00417643"/>
    <w:rsid w:val="00425401"/>
    <w:rsid w:val="00425848"/>
    <w:rsid w:val="004304EB"/>
    <w:rsid w:val="004370BB"/>
    <w:rsid w:val="004401D2"/>
    <w:rsid w:val="00445920"/>
    <w:rsid w:val="00450E68"/>
    <w:rsid w:val="0045134A"/>
    <w:rsid w:val="0045290F"/>
    <w:rsid w:val="004545FA"/>
    <w:rsid w:val="00460270"/>
    <w:rsid w:val="004606AA"/>
    <w:rsid w:val="00460F7E"/>
    <w:rsid w:val="004612EB"/>
    <w:rsid w:val="00466791"/>
    <w:rsid w:val="004704EC"/>
    <w:rsid w:val="00473404"/>
    <w:rsid w:val="00475D99"/>
    <w:rsid w:val="00475D9E"/>
    <w:rsid w:val="00475FA2"/>
    <w:rsid w:val="004764EB"/>
    <w:rsid w:val="00476F2B"/>
    <w:rsid w:val="0048289D"/>
    <w:rsid w:val="00483441"/>
    <w:rsid w:val="00486DF9"/>
    <w:rsid w:val="00487F0B"/>
    <w:rsid w:val="004929FB"/>
    <w:rsid w:val="00492AFB"/>
    <w:rsid w:val="00492F47"/>
    <w:rsid w:val="00494AFB"/>
    <w:rsid w:val="004958B9"/>
    <w:rsid w:val="0049742F"/>
    <w:rsid w:val="00497A8D"/>
    <w:rsid w:val="004A432E"/>
    <w:rsid w:val="004A49A6"/>
    <w:rsid w:val="004A5833"/>
    <w:rsid w:val="004A5976"/>
    <w:rsid w:val="004A7F0F"/>
    <w:rsid w:val="004B0F01"/>
    <w:rsid w:val="004B1ED1"/>
    <w:rsid w:val="004B2682"/>
    <w:rsid w:val="004B308E"/>
    <w:rsid w:val="004B3167"/>
    <w:rsid w:val="004B406A"/>
    <w:rsid w:val="004B7701"/>
    <w:rsid w:val="004C0717"/>
    <w:rsid w:val="004C576D"/>
    <w:rsid w:val="004D0642"/>
    <w:rsid w:val="004D08B2"/>
    <w:rsid w:val="004D1774"/>
    <w:rsid w:val="004D2448"/>
    <w:rsid w:val="004D339E"/>
    <w:rsid w:val="004D7489"/>
    <w:rsid w:val="004E092D"/>
    <w:rsid w:val="004E350B"/>
    <w:rsid w:val="004E417D"/>
    <w:rsid w:val="004E4B91"/>
    <w:rsid w:val="004E69F6"/>
    <w:rsid w:val="004F1BE5"/>
    <w:rsid w:val="004F3ABF"/>
    <w:rsid w:val="004F77E9"/>
    <w:rsid w:val="004F7D80"/>
    <w:rsid w:val="0050132C"/>
    <w:rsid w:val="00501583"/>
    <w:rsid w:val="005035F1"/>
    <w:rsid w:val="005128F4"/>
    <w:rsid w:val="005133E0"/>
    <w:rsid w:val="00513472"/>
    <w:rsid w:val="00514326"/>
    <w:rsid w:val="00514496"/>
    <w:rsid w:val="00515489"/>
    <w:rsid w:val="00516587"/>
    <w:rsid w:val="00522418"/>
    <w:rsid w:val="00522767"/>
    <w:rsid w:val="005267F0"/>
    <w:rsid w:val="0053086D"/>
    <w:rsid w:val="005334B7"/>
    <w:rsid w:val="00533838"/>
    <w:rsid w:val="005352B4"/>
    <w:rsid w:val="00541FC4"/>
    <w:rsid w:val="00543332"/>
    <w:rsid w:val="005439FD"/>
    <w:rsid w:val="0054710B"/>
    <w:rsid w:val="005504EB"/>
    <w:rsid w:val="0055165B"/>
    <w:rsid w:val="00552AAE"/>
    <w:rsid w:val="0055417A"/>
    <w:rsid w:val="00557864"/>
    <w:rsid w:val="00557F03"/>
    <w:rsid w:val="00557FBD"/>
    <w:rsid w:val="0056142B"/>
    <w:rsid w:val="0056306F"/>
    <w:rsid w:val="005655CE"/>
    <w:rsid w:val="00565788"/>
    <w:rsid w:val="00575718"/>
    <w:rsid w:val="005766FF"/>
    <w:rsid w:val="00576BB2"/>
    <w:rsid w:val="0058166E"/>
    <w:rsid w:val="00583FFD"/>
    <w:rsid w:val="00587375"/>
    <w:rsid w:val="00587609"/>
    <w:rsid w:val="00590B53"/>
    <w:rsid w:val="00591575"/>
    <w:rsid w:val="00595B9B"/>
    <w:rsid w:val="005A0034"/>
    <w:rsid w:val="005A3B34"/>
    <w:rsid w:val="005A3EF4"/>
    <w:rsid w:val="005A4EBB"/>
    <w:rsid w:val="005A6DCF"/>
    <w:rsid w:val="005A6E13"/>
    <w:rsid w:val="005B06D0"/>
    <w:rsid w:val="005B0DBB"/>
    <w:rsid w:val="005B1C00"/>
    <w:rsid w:val="005C39F7"/>
    <w:rsid w:val="005C4F05"/>
    <w:rsid w:val="005C6C6B"/>
    <w:rsid w:val="005D19C2"/>
    <w:rsid w:val="005D2C72"/>
    <w:rsid w:val="005D5712"/>
    <w:rsid w:val="005D6466"/>
    <w:rsid w:val="005E4370"/>
    <w:rsid w:val="005E779A"/>
    <w:rsid w:val="005F4B31"/>
    <w:rsid w:val="005F6CFE"/>
    <w:rsid w:val="00600798"/>
    <w:rsid w:val="006016F4"/>
    <w:rsid w:val="0060392A"/>
    <w:rsid w:val="00603DE2"/>
    <w:rsid w:val="00604299"/>
    <w:rsid w:val="00607BE2"/>
    <w:rsid w:val="006123A8"/>
    <w:rsid w:val="00622E5A"/>
    <w:rsid w:val="0062591D"/>
    <w:rsid w:val="00631ADE"/>
    <w:rsid w:val="006321C1"/>
    <w:rsid w:val="006355F6"/>
    <w:rsid w:val="00635F37"/>
    <w:rsid w:val="00640D0F"/>
    <w:rsid w:val="006415BC"/>
    <w:rsid w:val="00641C19"/>
    <w:rsid w:val="00642AE6"/>
    <w:rsid w:val="00642CA2"/>
    <w:rsid w:val="0064300D"/>
    <w:rsid w:val="00644CCD"/>
    <w:rsid w:val="006450C6"/>
    <w:rsid w:val="00647F7B"/>
    <w:rsid w:val="00652105"/>
    <w:rsid w:val="006536DF"/>
    <w:rsid w:val="00653CF6"/>
    <w:rsid w:val="006547F2"/>
    <w:rsid w:val="00655253"/>
    <w:rsid w:val="00656D91"/>
    <w:rsid w:val="00656E77"/>
    <w:rsid w:val="00657AEE"/>
    <w:rsid w:val="006622BB"/>
    <w:rsid w:val="006650F0"/>
    <w:rsid w:val="006671FB"/>
    <w:rsid w:val="006704B0"/>
    <w:rsid w:val="0067262C"/>
    <w:rsid w:val="006744A7"/>
    <w:rsid w:val="00675837"/>
    <w:rsid w:val="00676EE3"/>
    <w:rsid w:val="00676F14"/>
    <w:rsid w:val="006819B8"/>
    <w:rsid w:val="00681AAE"/>
    <w:rsid w:val="0068292B"/>
    <w:rsid w:val="006842E8"/>
    <w:rsid w:val="0068587F"/>
    <w:rsid w:val="00685DE9"/>
    <w:rsid w:val="00691317"/>
    <w:rsid w:val="00692350"/>
    <w:rsid w:val="00693E40"/>
    <w:rsid w:val="006A498F"/>
    <w:rsid w:val="006A4D70"/>
    <w:rsid w:val="006A61A1"/>
    <w:rsid w:val="006A74FE"/>
    <w:rsid w:val="006B58D2"/>
    <w:rsid w:val="006B5EED"/>
    <w:rsid w:val="006B71C2"/>
    <w:rsid w:val="006B78F9"/>
    <w:rsid w:val="006C1196"/>
    <w:rsid w:val="006C5D7E"/>
    <w:rsid w:val="006C6FF2"/>
    <w:rsid w:val="006C72D6"/>
    <w:rsid w:val="006D0260"/>
    <w:rsid w:val="006D16CC"/>
    <w:rsid w:val="006D711A"/>
    <w:rsid w:val="006D7AA0"/>
    <w:rsid w:val="006E066A"/>
    <w:rsid w:val="006E1BA0"/>
    <w:rsid w:val="006E21F5"/>
    <w:rsid w:val="006E3E14"/>
    <w:rsid w:val="006E5F48"/>
    <w:rsid w:val="006F2230"/>
    <w:rsid w:val="006F2F91"/>
    <w:rsid w:val="006F355D"/>
    <w:rsid w:val="006F5196"/>
    <w:rsid w:val="006F6ED8"/>
    <w:rsid w:val="00703180"/>
    <w:rsid w:val="00707CE4"/>
    <w:rsid w:val="007131E3"/>
    <w:rsid w:val="007142E4"/>
    <w:rsid w:val="007143D9"/>
    <w:rsid w:val="00714C62"/>
    <w:rsid w:val="00722135"/>
    <w:rsid w:val="007240D3"/>
    <w:rsid w:val="00725220"/>
    <w:rsid w:val="007254D6"/>
    <w:rsid w:val="0072645F"/>
    <w:rsid w:val="007277B5"/>
    <w:rsid w:val="00727D67"/>
    <w:rsid w:val="00732792"/>
    <w:rsid w:val="0073553A"/>
    <w:rsid w:val="00737232"/>
    <w:rsid w:val="0073736F"/>
    <w:rsid w:val="00741EEC"/>
    <w:rsid w:val="00743042"/>
    <w:rsid w:val="00743C82"/>
    <w:rsid w:val="00744C57"/>
    <w:rsid w:val="00745F42"/>
    <w:rsid w:val="00745FB7"/>
    <w:rsid w:val="007468B5"/>
    <w:rsid w:val="007577F5"/>
    <w:rsid w:val="007602A1"/>
    <w:rsid w:val="00761AA1"/>
    <w:rsid w:val="00764DF2"/>
    <w:rsid w:val="00766E66"/>
    <w:rsid w:val="00770FD5"/>
    <w:rsid w:val="00781F35"/>
    <w:rsid w:val="00784062"/>
    <w:rsid w:val="0078474C"/>
    <w:rsid w:val="00785356"/>
    <w:rsid w:val="0078791F"/>
    <w:rsid w:val="00790391"/>
    <w:rsid w:val="00791EBC"/>
    <w:rsid w:val="00792343"/>
    <w:rsid w:val="00796104"/>
    <w:rsid w:val="00797BAE"/>
    <w:rsid w:val="007A1666"/>
    <w:rsid w:val="007A3139"/>
    <w:rsid w:val="007A50A2"/>
    <w:rsid w:val="007A6743"/>
    <w:rsid w:val="007A76DE"/>
    <w:rsid w:val="007B2959"/>
    <w:rsid w:val="007B3FE4"/>
    <w:rsid w:val="007B5F05"/>
    <w:rsid w:val="007B71C6"/>
    <w:rsid w:val="007B764D"/>
    <w:rsid w:val="007C4777"/>
    <w:rsid w:val="007D4268"/>
    <w:rsid w:val="007D5D7E"/>
    <w:rsid w:val="007D7874"/>
    <w:rsid w:val="007D7D92"/>
    <w:rsid w:val="007E0E50"/>
    <w:rsid w:val="007E10D6"/>
    <w:rsid w:val="007E30F0"/>
    <w:rsid w:val="007E39BB"/>
    <w:rsid w:val="007E6526"/>
    <w:rsid w:val="007F07C9"/>
    <w:rsid w:val="007F44AE"/>
    <w:rsid w:val="007F4504"/>
    <w:rsid w:val="007F45C7"/>
    <w:rsid w:val="0080149F"/>
    <w:rsid w:val="008020BE"/>
    <w:rsid w:val="00803C81"/>
    <w:rsid w:val="008048E0"/>
    <w:rsid w:val="00806F7F"/>
    <w:rsid w:val="00811B98"/>
    <w:rsid w:val="00812F14"/>
    <w:rsid w:val="00812FF6"/>
    <w:rsid w:val="0081364F"/>
    <w:rsid w:val="00814761"/>
    <w:rsid w:val="0081549B"/>
    <w:rsid w:val="008172D2"/>
    <w:rsid w:val="00817C2F"/>
    <w:rsid w:val="00824BEB"/>
    <w:rsid w:val="0083283A"/>
    <w:rsid w:val="00833B43"/>
    <w:rsid w:val="0084151D"/>
    <w:rsid w:val="00846569"/>
    <w:rsid w:val="0085182B"/>
    <w:rsid w:val="0085241A"/>
    <w:rsid w:val="0085509E"/>
    <w:rsid w:val="0085637E"/>
    <w:rsid w:val="00860EE6"/>
    <w:rsid w:val="00864652"/>
    <w:rsid w:val="008650D6"/>
    <w:rsid w:val="00865123"/>
    <w:rsid w:val="008654DC"/>
    <w:rsid w:val="0087391D"/>
    <w:rsid w:val="00881D8F"/>
    <w:rsid w:val="00882A3E"/>
    <w:rsid w:val="008835A8"/>
    <w:rsid w:val="00884E6D"/>
    <w:rsid w:val="008961C9"/>
    <w:rsid w:val="008A50AF"/>
    <w:rsid w:val="008A717D"/>
    <w:rsid w:val="008B0C67"/>
    <w:rsid w:val="008B0E8F"/>
    <w:rsid w:val="008B1E1D"/>
    <w:rsid w:val="008B4A72"/>
    <w:rsid w:val="008B5921"/>
    <w:rsid w:val="008C4C99"/>
    <w:rsid w:val="008D000A"/>
    <w:rsid w:val="008D087D"/>
    <w:rsid w:val="008D121A"/>
    <w:rsid w:val="008D3664"/>
    <w:rsid w:val="008D39CE"/>
    <w:rsid w:val="008D3E3A"/>
    <w:rsid w:val="008D6457"/>
    <w:rsid w:val="008E25C4"/>
    <w:rsid w:val="008E5D4B"/>
    <w:rsid w:val="008E5EA4"/>
    <w:rsid w:val="008E6E9E"/>
    <w:rsid w:val="008F1F37"/>
    <w:rsid w:val="008F3600"/>
    <w:rsid w:val="008F4DC5"/>
    <w:rsid w:val="009003AF"/>
    <w:rsid w:val="0090059B"/>
    <w:rsid w:val="009016CF"/>
    <w:rsid w:val="00902D94"/>
    <w:rsid w:val="00903490"/>
    <w:rsid w:val="009071C7"/>
    <w:rsid w:val="00914EDC"/>
    <w:rsid w:val="00915DDF"/>
    <w:rsid w:val="00925FA2"/>
    <w:rsid w:val="0092663D"/>
    <w:rsid w:val="00931984"/>
    <w:rsid w:val="0093250B"/>
    <w:rsid w:val="00932D73"/>
    <w:rsid w:val="0093543B"/>
    <w:rsid w:val="00937D7F"/>
    <w:rsid w:val="00940784"/>
    <w:rsid w:val="0094416C"/>
    <w:rsid w:val="0095144C"/>
    <w:rsid w:val="00952630"/>
    <w:rsid w:val="00954194"/>
    <w:rsid w:val="00955035"/>
    <w:rsid w:val="00956D1A"/>
    <w:rsid w:val="0095781A"/>
    <w:rsid w:val="00960C48"/>
    <w:rsid w:val="00962785"/>
    <w:rsid w:val="00965AD1"/>
    <w:rsid w:val="00965EC4"/>
    <w:rsid w:val="009719C4"/>
    <w:rsid w:val="00971F74"/>
    <w:rsid w:val="0097409F"/>
    <w:rsid w:val="00975786"/>
    <w:rsid w:val="00976324"/>
    <w:rsid w:val="00982AD0"/>
    <w:rsid w:val="00993C75"/>
    <w:rsid w:val="009944AE"/>
    <w:rsid w:val="0099482F"/>
    <w:rsid w:val="00994A10"/>
    <w:rsid w:val="009A1267"/>
    <w:rsid w:val="009A1A11"/>
    <w:rsid w:val="009A2B9B"/>
    <w:rsid w:val="009A3C72"/>
    <w:rsid w:val="009A51B5"/>
    <w:rsid w:val="009B2CF7"/>
    <w:rsid w:val="009B32D6"/>
    <w:rsid w:val="009B383E"/>
    <w:rsid w:val="009B4CAA"/>
    <w:rsid w:val="009C148F"/>
    <w:rsid w:val="009C4F54"/>
    <w:rsid w:val="009D7D57"/>
    <w:rsid w:val="009E0B8E"/>
    <w:rsid w:val="009E2A72"/>
    <w:rsid w:val="009E4782"/>
    <w:rsid w:val="009E5726"/>
    <w:rsid w:val="009E710A"/>
    <w:rsid w:val="009F2C08"/>
    <w:rsid w:val="009F4FD4"/>
    <w:rsid w:val="00A02CAA"/>
    <w:rsid w:val="00A02D99"/>
    <w:rsid w:val="00A03A0A"/>
    <w:rsid w:val="00A044C0"/>
    <w:rsid w:val="00A04AF2"/>
    <w:rsid w:val="00A06339"/>
    <w:rsid w:val="00A07A5A"/>
    <w:rsid w:val="00A106D4"/>
    <w:rsid w:val="00A10A97"/>
    <w:rsid w:val="00A11C71"/>
    <w:rsid w:val="00A13FDE"/>
    <w:rsid w:val="00A15F62"/>
    <w:rsid w:val="00A21F5B"/>
    <w:rsid w:val="00A231DE"/>
    <w:rsid w:val="00A24173"/>
    <w:rsid w:val="00A24293"/>
    <w:rsid w:val="00A25E24"/>
    <w:rsid w:val="00A27963"/>
    <w:rsid w:val="00A3075C"/>
    <w:rsid w:val="00A325BD"/>
    <w:rsid w:val="00A341AC"/>
    <w:rsid w:val="00A37036"/>
    <w:rsid w:val="00A37739"/>
    <w:rsid w:val="00A40192"/>
    <w:rsid w:val="00A40FCD"/>
    <w:rsid w:val="00A4332A"/>
    <w:rsid w:val="00A44C51"/>
    <w:rsid w:val="00A45968"/>
    <w:rsid w:val="00A45C4B"/>
    <w:rsid w:val="00A4749E"/>
    <w:rsid w:val="00A504DF"/>
    <w:rsid w:val="00A50708"/>
    <w:rsid w:val="00A52BCE"/>
    <w:rsid w:val="00A537C5"/>
    <w:rsid w:val="00A54CE4"/>
    <w:rsid w:val="00A56ED1"/>
    <w:rsid w:val="00A57A58"/>
    <w:rsid w:val="00A6058F"/>
    <w:rsid w:val="00A61377"/>
    <w:rsid w:val="00A7101B"/>
    <w:rsid w:val="00A73532"/>
    <w:rsid w:val="00A74E55"/>
    <w:rsid w:val="00A766C0"/>
    <w:rsid w:val="00A831DC"/>
    <w:rsid w:val="00A850A2"/>
    <w:rsid w:val="00A92C7D"/>
    <w:rsid w:val="00A95BE2"/>
    <w:rsid w:val="00A97A83"/>
    <w:rsid w:val="00AA1EC4"/>
    <w:rsid w:val="00AA5733"/>
    <w:rsid w:val="00AB0679"/>
    <w:rsid w:val="00AB6032"/>
    <w:rsid w:val="00AB7728"/>
    <w:rsid w:val="00AC08C7"/>
    <w:rsid w:val="00AC3A36"/>
    <w:rsid w:val="00AC50FA"/>
    <w:rsid w:val="00AD4299"/>
    <w:rsid w:val="00AD4881"/>
    <w:rsid w:val="00AE1CA9"/>
    <w:rsid w:val="00AE5E6B"/>
    <w:rsid w:val="00AF0BA2"/>
    <w:rsid w:val="00AF0E82"/>
    <w:rsid w:val="00AF184A"/>
    <w:rsid w:val="00AF2697"/>
    <w:rsid w:val="00AF4F67"/>
    <w:rsid w:val="00AF78D6"/>
    <w:rsid w:val="00B02F29"/>
    <w:rsid w:val="00B03247"/>
    <w:rsid w:val="00B036A6"/>
    <w:rsid w:val="00B03874"/>
    <w:rsid w:val="00B050F8"/>
    <w:rsid w:val="00B06A35"/>
    <w:rsid w:val="00B06AFA"/>
    <w:rsid w:val="00B11233"/>
    <w:rsid w:val="00B11F21"/>
    <w:rsid w:val="00B13AAE"/>
    <w:rsid w:val="00B14F37"/>
    <w:rsid w:val="00B156E9"/>
    <w:rsid w:val="00B158E7"/>
    <w:rsid w:val="00B17168"/>
    <w:rsid w:val="00B21E7A"/>
    <w:rsid w:val="00B22A96"/>
    <w:rsid w:val="00B37873"/>
    <w:rsid w:val="00B40747"/>
    <w:rsid w:val="00B40F81"/>
    <w:rsid w:val="00B45B0E"/>
    <w:rsid w:val="00B47F93"/>
    <w:rsid w:val="00B54172"/>
    <w:rsid w:val="00B569C2"/>
    <w:rsid w:val="00B56F79"/>
    <w:rsid w:val="00B674A1"/>
    <w:rsid w:val="00B678FD"/>
    <w:rsid w:val="00B7591C"/>
    <w:rsid w:val="00B77C9F"/>
    <w:rsid w:val="00B8216C"/>
    <w:rsid w:val="00B82738"/>
    <w:rsid w:val="00B83B12"/>
    <w:rsid w:val="00B879CD"/>
    <w:rsid w:val="00B91C6D"/>
    <w:rsid w:val="00B955D6"/>
    <w:rsid w:val="00B96263"/>
    <w:rsid w:val="00BA0F89"/>
    <w:rsid w:val="00BA10F7"/>
    <w:rsid w:val="00BB06F4"/>
    <w:rsid w:val="00BB1795"/>
    <w:rsid w:val="00BB2B61"/>
    <w:rsid w:val="00BB6496"/>
    <w:rsid w:val="00BC1BF5"/>
    <w:rsid w:val="00BC2A77"/>
    <w:rsid w:val="00BC45A6"/>
    <w:rsid w:val="00BC4963"/>
    <w:rsid w:val="00BC4C49"/>
    <w:rsid w:val="00BC4D21"/>
    <w:rsid w:val="00BC5DEC"/>
    <w:rsid w:val="00BD1ADA"/>
    <w:rsid w:val="00BD40C0"/>
    <w:rsid w:val="00BD53D0"/>
    <w:rsid w:val="00BD5E92"/>
    <w:rsid w:val="00BD65F4"/>
    <w:rsid w:val="00BD6C12"/>
    <w:rsid w:val="00BE0489"/>
    <w:rsid w:val="00BE0C7F"/>
    <w:rsid w:val="00BE48CF"/>
    <w:rsid w:val="00BE4A15"/>
    <w:rsid w:val="00BE639F"/>
    <w:rsid w:val="00BF00FC"/>
    <w:rsid w:val="00BF0D4C"/>
    <w:rsid w:val="00BF385C"/>
    <w:rsid w:val="00BF4CDB"/>
    <w:rsid w:val="00C01AB4"/>
    <w:rsid w:val="00C03B89"/>
    <w:rsid w:val="00C05768"/>
    <w:rsid w:val="00C05BF8"/>
    <w:rsid w:val="00C1045D"/>
    <w:rsid w:val="00C110BD"/>
    <w:rsid w:val="00C11E15"/>
    <w:rsid w:val="00C1431B"/>
    <w:rsid w:val="00C14AE6"/>
    <w:rsid w:val="00C169C4"/>
    <w:rsid w:val="00C327E4"/>
    <w:rsid w:val="00C34861"/>
    <w:rsid w:val="00C425AF"/>
    <w:rsid w:val="00C46586"/>
    <w:rsid w:val="00C47557"/>
    <w:rsid w:val="00C51EC8"/>
    <w:rsid w:val="00C528A9"/>
    <w:rsid w:val="00C54E90"/>
    <w:rsid w:val="00C62407"/>
    <w:rsid w:val="00C63494"/>
    <w:rsid w:val="00C63ADF"/>
    <w:rsid w:val="00C66EA0"/>
    <w:rsid w:val="00C71B4E"/>
    <w:rsid w:val="00C74526"/>
    <w:rsid w:val="00C75F04"/>
    <w:rsid w:val="00C7762E"/>
    <w:rsid w:val="00C80C63"/>
    <w:rsid w:val="00C80ED7"/>
    <w:rsid w:val="00C818A4"/>
    <w:rsid w:val="00C81CA1"/>
    <w:rsid w:val="00C81CC1"/>
    <w:rsid w:val="00C86486"/>
    <w:rsid w:val="00C907E1"/>
    <w:rsid w:val="00C936EF"/>
    <w:rsid w:val="00C93847"/>
    <w:rsid w:val="00CA1BB9"/>
    <w:rsid w:val="00CA2DF5"/>
    <w:rsid w:val="00CA4057"/>
    <w:rsid w:val="00CA406A"/>
    <w:rsid w:val="00CA5FD6"/>
    <w:rsid w:val="00CA64E3"/>
    <w:rsid w:val="00CB0E1C"/>
    <w:rsid w:val="00CB4B3C"/>
    <w:rsid w:val="00CB4F33"/>
    <w:rsid w:val="00CB74DC"/>
    <w:rsid w:val="00CC11C1"/>
    <w:rsid w:val="00CC3069"/>
    <w:rsid w:val="00CC4327"/>
    <w:rsid w:val="00CC6680"/>
    <w:rsid w:val="00CC7714"/>
    <w:rsid w:val="00CD07D2"/>
    <w:rsid w:val="00CD3D2D"/>
    <w:rsid w:val="00CD669D"/>
    <w:rsid w:val="00CD7689"/>
    <w:rsid w:val="00CE5038"/>
    <w:rsid w:val="00CE6B59"/>
    <w:rsid w:val="00CE7351"/>
    <w:rsid w:val="00CF180A"/>
    <w:rsid w:val="00CF4EE7"/>
    <w:rsid w:val="00CF5991"/>
    <w:rsid w:val="00CF6BF1"/>
    <w:rsid w:val="00CF7F08"/>
    <w:rsid w:val="00CF7FF3"/>
    <w:rsid w:val="00D01DAE"/>
    <w:rsid w:val="00D0353A"/>
    <w:rsid w:val="00D134B7"/>
    <w:rsid w:val="00D13F10"/>
    <w:rsid w:val="00D16BBD"/>
    <w:rsid w:val="00D21AB6"/>
    <w:rsid w:val="00D2288C"/>
    <w:rsid w:val="00D24774"/>
    <w:rsid w:val="00D25B0A"/>
    <w:rsid w:val="00D265C7"/>
    <w:rsid w:val="00D3164D"/>
    <w:rsid w:val="00D319E3"/>
    <w:rsid w:val="00D44268"/>
    <w:rsid w:val="00D4492E"/>
    <w:rsid w:val="00D5107A"/>
    <w:rsid w:val="00D5130B"/>
    <w:rsid w:val="00D5379F"/>
    <w:rsid w:val="00D54B86"/>
    <w:rsid w:val="00D55DF1"/>
    <w:rsid w:val="00D5667E"/>
    <w:rsid w:val="00D56784"/>
    <w:rsid w:val="00D57BF4"/>
    <w:rsid w:val="00D642A1"/>
    <w:rsid w:val="00D652B7"/>
    <w:rsid w:val="00D6558A"/>
    <w:rsid w:val="00D655BD"/>
    <w:rsid w:val="00D65678"/>
    <w:rsid w:val="00D67D62"/>
    <w:rsid w:val="00D73A33"/>
    <w:rsid w:val="00D74214"/>
    <w:rsid w:val="00D77897"/>
    <w:rsid w:val="00D86B69"/>
    <w:rsid w:val="00D870AC"/>
    <w:rsid w:val="00D90098"/>
    <w:rsid w:val="00D94F8D"/>
    <w:rsid w:val="00D9665C"/>
    <w:rsid w:val="00DA0CDA"/>
    <w:rsid w:val="00DA5ADE"/>
    <w:rsid w:val="00DA78F9"/>
    <w:rsid w:val="00DB7719"/>
    <w:rsid w:val="00DC0320"/>
    <w:rsid w:val="00DC266D"/>
    <w:rsid w:val="00DC3716"/>
    <w:rsid w:val="00DC43BB"/>
    <w:rsid w:val="00DC6F47"/>
    <w:rsid w:val="00DC7F8B"/>
    <w:rsid w:val="00DE1815"/>
    <w:rsid w:val="00DE3DAF"/>
    <w:rsid w:val="00DE563A"/>
    <w:rsid w:val="00DF23A9"/>
    <w:rsid w:val="00DF5A1B"/>
    <w:rsid w:val="00E011BC"/>
    <w:rsid w:val="00E049DB"/>
    <w:rsid w:val="00E06308"/>
    <w:rsid w:val="00E14572"/>
    <w:rsid w:val="00E1520F"/>
    <w:rsid w:val="00E16458"/>
    <w:rsid w:val="00E217F9"/>
    <w:rsid w:val="00E22F2A"/>
    <w:rsid w:val="00E236D3"/>
    <w:rsid w:val="00E251A3"/>
    <w:rsid w:val="00E30872"/>
    <w:rsid w:val="00E3330C"/>
    <w:rsid w:val="00E33557"/>
    <w:rsid w:val="00E36470"/>
    <w:rsid w:val="00E372D5"/>
    <w:rsid w:val="00E42458"/>
    <w:rsid w:val="00E43EF0"/>
    <w:rsid w:val="00E454FA"/>
    <w:rsid w:val="00E45C52"/>
    <w:rsid w:val="00E47B98"/>
    <w:rsid w:val="00E50F4D"/>
    <w:rsid w:val="00E5206A"/>
    <w:rsid w:val="00E6093C"/>
    <w:rsid w:val="00E61BCE"/>
    <w:rsid w:val="00E62622"/>
    <w:rsid w:val="00E71829"/>
    <w:rsid w:val="00E72A40"/>
    <w:rsid w:val="00E75E65"/>
    <w:rsid w:val="00E81A4D"/>
    <w:rsid w:val="00E842F6"/>
    <w:rsid w:val="00E91C73"/>
    <w:rsid w:val="00E926E0"/>
    <w:rsid w:val="00E9460A"/>
    <w:rsid w:val="00E95333"/>
    <w:rsid w:val="00E963F1"/>
    <w:rsid w:val="00EA23A7"/>
    <w:rsid w:val="00EA4E00"/>
    <w:rsid w:val="00EA5CD4"/>
    <w:rsid w:val="00EA7B85"/>
    <w:rsid w:val="00EB0DCA"/>
    <w:rsid w:val="00EB0F8A"/>
    <w:rsid w:val="00EB52CB"/>
    <w:rsid w:val="00EC0520"/>
    <w:rsid w:val="00EC1B7D"/>
    <w:rsid w:val="00EC3568"/>
    <w:rsid w:val="00EC71E6"/>
    <w:rsid w:val="00EC754A"/>
    <w:rsid w:val="00EC7738"/>
    <w:rsid w:val="00ED0E03"/>
    <w:rsid w:val="00ED3995"/>
    <w:rsid w:val="00ED7C49"/>
    <w:rsid w:val="00EF0429"/>
    <w:rsid w:val="00EF11E1"/>
    <w:rsid w:val="00EF68C8"/>
    <w:rsid w:val="00EF6B46"/>
    <w:rsid w:val="00F0381B"/>
    <w:rsid w:val="00F07090"/>
    <w:rsid w:val="00F07472"/>
    <w:rsid w:val="00F107CD"/>
    <w:rsid w:val="00F10A14"/>
    <w:rsid w:val="00F11F98"/>
    <w:rsid w:val="00F16926"/>
    <w:rsid w:val="00F20860"/>
    <w:rsid w:val="00F27DA7"/>
    <w:rsid w:val="00F318E8"/>
    <w:rsid w:val="00F32491"/>
    <w:rsid w:val="00F3313F"/>
    <w:rsid w:val="00F33B11"/>
    <w:rsid w:val="00F35B8F"/>
    <w:rsid w:val="00F4100E"/>
    <w:rsid w:val="00F45B6F"/>
    <w:rsid w:val="00F461D9"/>
    <w:rsid w:val="00F46A50"/>
    <w:rsid w:val="00F50F8A"/>
    <w:rsid w:val="00F577A3"/>
    <w:rsid w:val="00F62DFD"/>
    <w:rsid w:val="00F64656"/>
    <w:rsid w:val="00F71FC6"/>
    <w:rsid w:val="00F7273C"/>
    <w:rsid w:val="00F72E42"/>
    <w:rsid w:val="00F806FC"/>
    <w:rsid w:val="00F81B98"/>
    <w:rsid w:val="00F81C09"/>
    <w:rsid w:val="00F86919"/>
    <w:rsid w:val="00F870B1"/>
    <w:rsid w:val="00F8732B"/>
    <w:rsid w:val="00F87CC4"/>
    <w:rsid w:val="00F93C99"/>
    <w:rsid w:val="00FA075C"/>
    <w:rsid w:val="00FA1096"/>
    <w:rsid w:val="00FA1D4B"/>
    <w:rsid w:val="00FA441A"/>
    <w:rsid w:val="00FA4689"/>
    <w:rsid w:val="00FA5B96"/>
    <w:rsid w:val="00FA659C"/>
    <w:rsid w:val="00FA7388"/>
    <w:rsid w:val="00FA7BCD"/>
    <w:rsid w:val="00FB2438"/>
    <w:rsid w:val="00FB4BBE"/>
    <w:rsid w:val="00FB53E9"/>
    <w:rsid w:val="00FB6D94"/>
    <w:rsid w:val="00FB7490"/>
    <w:rsid w:val="00FC2EA2"/>
    <w:rsid w:val="00FD0E36"/>
    <w:rsid w:val="00FD3705"/>
    <w:rsid w:val="00FD3D2C"/>
    <w:rsid w:val="00FD7946"/>
    <w:rsid w:val="00FD7F9B"/>
    <w:rsid w:val="00FE1F45"/>
    <w:rsid w:val="00FE3E5E"/>
    <w:rsid w:val="00FF37A9"/>
    <w:rsid w:val="00FF4D95"/>
    <w:rsid w:val="00FF74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1B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A03A0A"/>
    <w:rPr>
      <w:color w:val="666666"/>
    </w:rPr>
  </w:style>
  <w:style w:type="paragraph" w:styleId="Revisie">
    <w:name w:val="Revision"/>
    <w:hidden/>
    <w:uiPriority w:val="99"/>
    <w:semiHidden/>
    <w:rsid w:val="00A03A0A"/>
    <w:rPr>
      <w:rFonts w:ascii="Univers" w:hAnsi="Univers"/>
      <w:sz w:val="22"/>
      <w:szCs w:val="24"/>
    </w:rPr>
  </w:style>
  <w:style w:type="paragraph" w:styleId="Voetnoottekst">
    <w:name w:val="footnote text"/>
    <w:basedOn w:val="Standaard"/>
    <w:link w:val="VoetnoottekstChar"/>
    <w:uiPriority w:val="99"/>
    <w:semiHidden/>
    <w:unhideWhenUsed/>
    <w:rsid w:val="003970D9"/>
    <w:rPr>
      <w:sz w:val="20"/>
      <w:szCs w:val="20"/>
    </w:rPr>
  </w:style>
  <w:style w:type="character" w:customStyle="1" w:styleId="VoetnoottekstChar">
    <w:name w:val="Voetnoottekst Char"/>
    <w:basedOn w:val="Standaardalinea-lettertype"/>
    <w:link w:val="Voetnoottekst"/>
    <w:uiPriority w:val="99"/>
    <w:semiHidden/>
    <w:rsid w:val="003970D9"/>
    <w:rPr>
      <w:rFonts w:ascii="Univers" w:hAnsi="Univers"/>
    </w:rPr>
  </w:style>
  <w:style w:type="character" w:styleId="Voetnootmarkering">
    <w:name w:val="footnote reference"/>
    <w:basedOn w:val="Standaardalinea-lettertype"/>
    <w:uiPriority w:val="99"/>
    <w:semiHidden/>
    <w:unhideWhenUsed/>
    <w:rsid w:val="003970D9"/>
    <w:rPr>
      <w:vertAlign w:val="superscript"/>
    </w:rPr>
  </w:style>
  <w:style w:type="paragraph" w:styleId="Lijstalinea">
    <w:name w:val="List Paragraph"/>
    <w:basedOn w:val="Standaard"/>
    <w:uiPriority w:val="34"/>
    <w:qFormat/>
    <w:rsid w:val="007A6743"/>
    <w:pPr>
      <w:ind w:left="720"/>
      <w:contextualSpacing/>
    </w:pPr>
  </w:style>
  <w:style w:type="character" w:styleId="Verwijzingopmerking">
    <w:name w:val="annotation reference"/>
    <w:basedOn w:val="Standaardalinea-lettertype"/>
    <w:uiPriority w:val="99"/>
    <w:semiHidden/>
    <w:unhideWhenUsed/>
    <w:rsid w:val="003861AF"/>
    <w:rPr>
      <w:sz w:val="16"/>
      <w:szCs w:val="16"/>
    </w:rPr>
  </w:style>
  <w:style w:type="paragraph" w:styleId="Tekstopmerking">
    <w:name w:val="annotation text"/>
    <w:basedOn w:val="Standaard"/>
    <w:link w:val="TekstopmerkingChar"/>
    <w:uiPriority w:val="99"/>
    <w:unhideWhenUsed/>
    <w:rsid w:val="003861AF"/>
    <w:rPr>
      <w:sz w:val="20"/>
      <w:szCs w:val="20"/>
    </w:rPr>
  </w:style>
  <w:style w:type="character" w:customStyle="1" w:styleId="TekstopmerkingChar">
    <w:name w:val="Tekst opmerking Char"/>
    <w:basedOn w:val="Standaardalinea-lettertype"/>
    <w:link w:val="Tekstopmerking"/>
    <w:uiPriority w:val="99"/>
    <w:rsid w:val="003861AF"/>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3861AF"/>
    <w:rPr>
      <w:b/>
      <w:bCs/>
    </w:rPr>
  </w:style>
  <w:style w:type="character" w:customStyle="1" w:styleId="OnderwerpvanopmerkingChar">
    <w:name w:val="Onderwerp van opmerking Char"/>
    <w:basedOn w:val="TekstopmerkingChar"/>
    <w:link w:val="Onderwerpvanopmerking"/>
    <w:uiPriority w:val="99"/>
    <w:semiHidden/>
    <w:rsid w:val="003861AF"/>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glossaryDocument" Target="glossary/document.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A94727E8-6DF7-486F-BDD3-E7640D31371D}"/>
      </w:docPartPr>
      <w:docPartBody>
        <w:p w:rsidR="007D4404" w:rsidRDefault="005760F8">
          <w:r w:rsidRPr="003523D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0F8"/>
    <w:rsid w:val="000B6DFB"/>
    <w:rsid w:val="00151EAE"/>
    <w:rsid w:val="00173DAE"/>
    <w:rsid w:val="001759E4"/>
    <w:rsid w:val="00195EA2"/>
    <w:rsid w:val="002078FE"/>
    <w:rsid w:val="00212D38"/>
    <w:rsid w:val="00223D6D"/>
    <w:rsid w:val="002931B3"/>
    <w:rsid w:val="002C2D46"/>
    <w:rsid w:val="002E292E"/>
    <w:rsid w:val="002E7C28"/>
    <w:rsid w:val="0035533C"/>
    <w:rsid w:val="003775A4"/>
    <w:rsid w:val="00382D2F"/>
    <w:rsid w:val="003D0152"/>
    <w:rsid w:val="003D3920"/>
    <w:rsid w:val="003D6156"/>
    <w:rsid w:val="004F7D80"/>
    <w:rsid w:val="005216B7"/>
    <w:rsid w:val="005760F8"/>
    <w:rsid w:val="005B24C0"/>
    <w:rsid w:val="00601ABB"/>
    <w:rsid w:val="006F5196"/>
    <w:rsid w:val="00737157"/>
    <w:rsid w:val="007D4404"/>
    <w:rsid w:val="008778DC"/>
    <w:rsid w:val="008C4C99"/>
    <w:rsid w:val="008D65A7"/>
    <w:rsid w:val="0092577E"/>
    <w:rsid w:val="00942EA3"/>
    <w:rsid w:val="00956D1A"/>
    <w:rsid w:val="00996ECE"/>
    <w:rsid w:val="009E0B8E"/>
    <w:rsid w:val="00A10A97"/>
    <w:rsid w:val="00A4749E"/>
    <w:rsid w:val="00B06A35"/>
    <w:rsid w:val="00B10977"/>
    <w:rsid w:val="00CE56EA"/>
    <w:rsid w:val="00D55DF1"/>
    <w:rsid w:val="00D703D0"/>
    <w:rsid w:val="00E75E65"/>
    <w:rsid w:val="00EB22B9"/>
    <w:rsid w:val="00F62DFD"/>
    <w:rsid w:val="00F87CC4"/>
    <w:rsid w:val="00FD3705"/>
    <w:rsid w:val="00FE37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760F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847</ap:Words>
  <ap:Characters>4895</ap:Characters>
  <ap:DocSecurity>0</ap:DocSecurity>
  <ap:Lines>40</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5731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2026-11-02T09:19:00.0000000Z</dcterms:created>
  <dcterms:modified xsi:type="dcterms:W3CDTF">2026-11-02T09:19:00.0000000Z</dcterms:modified>
  <dc:description>------------------------</dc:description>
  <version/>
  <category/>
</coreProperties>
</file>