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742837" w14:paraId="75CF5360" w14:textId="77777777"/>
    <w:p w:rsidRPr="00B62A5C" w:rsidR="00B62A5C" w:rsidP="00B62A5C" w14:paraId="2DBE92B2" w14:textId="77777777">
      <w:bookmarkStart w:name="_Hlk226973515" w:id="0"/>
      <w:r w:rsidRPr="00B62A5C">
        <w:t xml:space="preserve">Tijdens het tweeminutendebat Klokkenluiders van 21 januari 2025 heeft uw Kamer de motie van de leden Van Nispen en </w:t>
      </w:r>
      <w:r w:rsidRPr="00B62A5C">
        <w:t>Chakor</w:t>
      </w:r>
      <w:r>
        <w:rPr>
          <w:vertAlign w:val="superscript"/>
        </w:rPr>
        <w:footnoteReference w:id="2"/>
      </w:r>
      <w:r w:rsidRPr="00B62A5C">
        <w:t xml:space="preserve"> aangenomen</w:t>
      </w:r>
      <w:r w:rsidR="00312920">
        <w:t xml:space="preserve">. Deze motie </w:t>
      </w:r>
      <w:r w:rsidRPr="00B62A5C">
        <w:t>verzoekt de regering uitvoering te geven aan de in 2020 aangenomen motie-Van Nispen</w:t>
      </w:r>
      <w:r>
        <w:rPr>
          <w:vertAlign w:val="superscript"/>
        </w:rPr>
        <w:footnoteReference w:id="3"/>
      </w:r>
      <w:r w:rsidR="00CD462D">
        <w:t>. Deze motie verzocht</w:t>
      </w:r>
      <w:r w:rsidR="00723654">
        <w:t xml:space="preserve"> </w:t>
      </w:r>
      <w:r w:rsidRPr="00B62A5C">
        <w:t>bij het Huis voor Klokkenluiders (hierna: het Huis) een systeem van nummerherkenning toe te passen</w:t>
      </w:r>
      <w:r w:rsidR="00CD462D">
        <w:t xml:space="preserve">. Voor advocaten wordt een </w:t>
      </w:r>
      <w:r w:rsidR="00BE6C36">
        <w:t xml:space="preserve">vergelijkbaar </w:t>
      </w:r>
      <w:r w:rsidR="00312920">
        <w:t xml:space="preserve">systeem </w:t>
      </w:r>
      <w:r w:rsidR="00CD462D">
        <w:t xml:space="preserve">toegepast. </w:t>
      </w:r>
      <w:bookmarkStart w:name="_Hlk224885021" w:id="1"/>
      <w:r w:rsidRPr="00B62A5C">
        <w:t xml:space="preserve">Met deze brief informeer ik uw Kamer, mede namens de </w:t>
      </w:r>
      <w:r w:rsidR="00312920">
        <w:t>M</w:t>
      </w:r>
      <w:r w:rsidRPr="00B62A5C">
        <w:t xml:space="preserve">inister van Justitie en Veiligheid, </w:t>
      </w:r>
      <w:bookmarkEnd w:id="1"/>
      <w:r w:rsidRPr="00B62A5C">
        <w:t xml:space="preserve">dat ik deze motie niet zal uitvoeren. </w:t>
      </w:r>
    </w:p>
    <w:p w:rsidRPr="00B62A5C" w:rsidR="00B62A5C" w:rsidP="00B62A5C" w14:paraId="030E8438" w14:textId="77777777"/>
    <w:p w:rsidRPr="00B62A5C" w:rsidR="00B62A5C" w:rsidP="00B62A5C" w14:paraId="5EF30BBE" w14:textId="77777777">
      <w:r w:rsidRPr="00B62A5C">
        <w:t>Ik deel met uw Kamer dat klokkenluiders en hun onthullingen van groot maatschappelijk belang zijn. Door het aan het licht brengen of voorkomen van misstanden dragen zij bij aan het maatschappelijk welzijn. Het melden van een vermoeden van een misstand kan zwaar zijn en diep ingrijpen in het leven van een klokkenluider.</w:t>
      </w:r>
    </w:p>
    <w:p w:rsidRPr="00B62A5C" w:rsidR="00B62A5C" w:rsidP="00B62A5C" w14:paraId="2D166918" w14:textId="77777777"/>
    <w:p w:rsidRPr="00B62A5C" w:rsidR="00B62A5C" w:rsidP="00B62A5C" w14:paraId="4FCA8BDE" w14:textId="77777777">
      <w:r w:rsidRPr="00B62A5C">
        <w:t xml:space="preserve">Het Huis vervult een belangrijke taak richting (potentiële) melders. Het Huis adviseert en ondersteunt melders in het meldproces en onderzoekt misstanden. Hierbij is een belangrijke waarborg dat melders in vertrouwelijkheid contact met het Huis kunnen opnemen. </w:t>
      </w:r>
    </w:p>
    <w:p w:rsidRPr="00B62A5C" w:rsidR="00B62A5C" w:rsidP="00B62A5C" w14:paraId="2864AECC" w14:textId="77777777"/>
    <w:p w:rsidRPr="00B62A5C" w:rsidR="00B62A5C" w:rsidP="00B62A5C" w14:paraId="39929835" w14:textId="77777777">
      <w:r w:rsidRPr="00B62A5C">
        <w:t xml:space="preserve">Om, in het geval er telefoontaps zijn geplaatst in het kader van een strafrechtelijk onderzoek, vertrouwelijkheid bij telefoongesprekken </w:t>
      </w:r>
      <w:r w:rsidR="00312920">
        <w:t xml:space="preserve">desalniettemin </w:t>
      </w:r>
      <w:r w:rsidRPr="00B62A5C">
        <w:t xml:space="preserve">te borgen bestaat de reguliere </w:t>
      </w:r>
      <w:r w:rsidRPr="00B62A5C">
        <w:t>geheimhoudersprocedure</w:t>
      </w:r>
      <w:r>
        <w:rPr>
          <w:vertAlign w:val="superscript"/>
        </w:rPr>
        <w:footnoteReference w:id="4"/>
      </w:r>
      <w:r w:rsidRPr="00B62A5C">
        <w:t xml:space="preserve"> en </w:t>
      </w:r>
      <w:r w:rsidR="00312920">
        <w:t xml:space="preserve">als bijzondere uitwerking </w:t>
      </w:r>
      <w:r w:rsidR="0088256B">
        <w:t>hiervan</w:t>
      </w:r>
      <w:r w:rsidR="00312920">
        <w:t xml:space="preserve"> het </w:t>
      </w:r>
      <w:r w:rsidRPr="00B62A5C">
        <w:t xml:space="preserve">systeem van nummerherkenning. De motie vraagt om toepassing van het nummerherkenningssysteem voor het Huis. In uw Kamer zijn zorgen geuit dat er niet voldoende waarborgen zouden zijn om te borgen dat melders in hun contact met het Huis niet afgeluisterd kunnen worden. </w:t>
      </w:r>
    </w:p>
    <w:p w:rsidRPr="00B62A5C" w:rsidR="00B62A5C" w:rsidP="00B62A5C" w14:paraId="47E609C3" w14:textId="77777777"/>
    <w:p w:rsidRPr="00B62A5C" w:rsidR="00B62A5C" w:rsidP="00B62A5C" w14:paraId="5F1155E1" w14:textId="77777777">
      <w:r w:rsidRPr="00B62A5C">
        <w:t>Het verzoek in de motie leg ik zo uit dat het telefoonnummer van het Huis in het systeem van nummerherkenning van de politie, waarin de telefoonnummers van alle advocaten zijn opgenomen, wordt toegevoegd.</w:t>
      </w:r>
      <w:r>
        <w:rPr>
          <w:vertAlign w:val="superscript"/>
        </w:rPr>
        <w:footnoteReference w:id="5"/>
      </w:r>
      <w:r w:rsidRPr="00B62A5C">
        <w:t xml:space="preserve"> Dit zou betekenen dat op het moment dat een persoon die onder de tap staat telefonisch contact opneemt met het Huis, het gesprek automatisch niet kan worden meegeluisterd en opgenomen. </w:t>
      </w:r>
      <w:r w:rsidRPr="00B62A5C">
        <w:t>Deze telefoongesprekken blijven hierdoor buiten het bereik van opsporingsdiensten, waardoor deze</w:t>
      </w:r>
      <w:r w:rsidR="0088256B">
        <w:t xml:space="preserve"> </w:t>
      </w:r>
      <w:r w:rsidRPr="00B62A5C">
        <w:t xml:space="preserve">niet in een strafproces kunnen worden gebruikt. </w:t>
      </w:r>
    </w:p>
    <w:p w:rsidRPr="00B62A5C" w:rsidR="00B62A5C" w:rsidP="00B62A5C" w14:paraId="371882FD" w14:textId="77777777"/>
    <w:p w:rsidRPr="00B62A5C" w:rsidR="00B62A5C" w:rsidP="00B62A5C" w14:paraId="4265ED1E" w14:textId="77777777">
      <w:r w:rsidRPr="00B62A5C">
        <w:t xml:space="preserve">Ik heb </w:t>
      </w:r>
      <w:bookmarkStart w:name="_Hlk238465991" w:id="2"/>
      <w:r w:rsidRPr="00B62A5C">
        <w:t xml:space="preserve">gelet op de zorgen van uw Kamer </w:t>
      </w:r>
      <w:bookmarkEnd w:id="2"/>
      <w:r w:rsidRPr="00B62A5C">
        <w:t xml:space="preserve">onderzocht of de bestaande mogelijkheden om melders te beschermen afdoende en met voldoende waarborgen omkleed zijn. Bij de verkenning van de mogelijkheden ben ik bevestigd in mijn beeld dat de toepassing van de huidige </w:t>
      </w:r>
      <w:r w:rsidRPr="00B62A5C">
        <w:t>geheimhoudersprocedure</w:t>
      </w:r>
      <w:r w:rsidRPr="00B62A5C">
        <w:t xml:space="preserve"> voldoende waarborgen biedt voor vrij en vertrouwelijk telefonisch contact tussen melders en het Huis. Ook bestaan er andere contactmogelijkheden waar geen afluisterrisico bestaat tussen een melder en het Huis. Reeds hierom zie ik geen aanleiding om het nummerherkenningssysteem uit te breiden. Ik licht dat graag hieronder nader toe. </w:t>
      </w:r>
    </w:p>
    <w:p w:rsidRPr="00B62A5C" w:rsidR="00B62A5C" w:rsidP="00B62A5C" w14:paraId="5B465D21" w14:textId="77777777"/>
    <w:p w:rsidRPr="00B62A5C" w:rsidR="00B62A5C" w:rsidP="00B62A5C" w14:paraId="356FB4E6" w14:textId="77777777">
      <w:pPr>
        <w:rPr>
          <w:i/>
          <w:iCs/>
        </w:rPr>
      </w:pPr>
      <w:r w:rsidRPr="00B62A5C">
        <w:rPr>
          <w:i/>
          <w:iCs/>
        </w:rPr>
        <w:t xml:space="preserve">De </w:t>
      </w:r>
      <w:r w:rsidRPr="00B62A5C">
        <w:rPr>
          <w:i/>
          <w:iCs/>
        </w:rPr>
        <w:t>geheimhoudersprocedure</w:t>
      </w:r>
      <w:r w:rsidRPr="00B62A5C">
        <w:rPr>
          <w:i/>
          <w:iCs/>
        </w:rPr>
        <w:t xml:space="preserve"> </w:t>
      </w:r>
    </w:p>
    <w:p w:rsidRPr="00B62A5C" w:rsidR="00B62A5C" w:rsidP="00B62A5C" w14:paraId="197BA357" w14:textId="77777777">
      <w:r w:rsidRPr="00B62A5C">
        <w:t xml:space="preserve">Sinds 2023 wordt op de telefonische communicatie tussen melders en adviseurs van het Huis de reguliere </w:t>
      </w:r>
      <w:r w:rsidRPr="00B62A5C">
        <w:t>geheimhoudersprocedure</w:t>
      </w:r>
      <w:r w:rsidRPr="00B62A5C">
        <w:t xml:space="preserve"> toegepast.</w:t>
      </w:r>
      <w:r>
        <w:rPr>
          <w:vertAlign w:val="superscript"/>
        </w:rPr>
        <w:footnoteReference w:id="6"/>
      </w:r>
      <w:bookmarkStart w:name="_Hlk226016104" w:id="4"/>
      <w:r w:rsidRPr="00B62A5C">
        <w:t xml:space="preserve"> Deze </w:t>
      </w:r>
      <w:r w:rsidRPr="00B62A5C">
        <w:t>geheimhoudersprocedure</w:t>
      </w:r>
      <w:r w:rsidRPr="00B62A5C">
        <w:t xml:space="preserve"> wordt in beginsel alleen toegepast op beroepsgroepen die in de rechtspraak als verschoningsgerechtigden zijn aangewezen. Voorbeelden hiervan zijn artsen en notarissen. In 2023 is hierop een uitzondering gemaakt en wordt deze procedure ook toegepast op de afdeling Advies van het Huis, omdat het belang van vertrouwelijk telefonisch contact tussen (potentiële) melders en het Huis dermate belangrijk werd gevonden.</w:t>
      </w:r>
    </w:p>
    <w:p w:rsidRPr="00B62A5C" w:rsidR="00B62A5C" w:rsidP="00B62A5C" w14:paraId="3735F488" w14:textId="77777777"/>
    <w:p w:rsidRPr="00B62A5C" w:rsidR="00B62A5C" w:rsidP="00B62A5C" w14:paraId="2BF2DA87" w14:textId="77777777">
      <w:r w:rsidRPr="00B62A5C">
        <w:t xml:space="preserve">Voordat ik de </w:t>
      </w:r>
      <w:r w:rsidRPr="00B62A5C">
        <w:t>geheimhoudersprocedure</w:t>
      </w:r>
      <w:r w:rsidRPr="00B62A5C">
        <w:t xml:space="preserve"> nader toelicht is het belangrijk om te melden dat voordat een tap in het kader van een strafrechtelijk onderzoek kan worden ingezet, er sprake moet zijn van een verdenking van een ernstig strafbaar feit en een voorafgaande machtiging van een rechter-commissaris vereist is.</w:t>
      </w:r>
      <w:r>
        <w:rPr>
          <w:vertAlign w:val="superscript"/>
        </w:rPr>
        <w:footnoteReference w:id="7"/>
      </w:r>
      <w:r w:rsidRPr="00B62A5C">
        <w:t xml:space="preserve"> Een telefoontap kan dus niet zomaar worden ingezet. </w:t>
      </w:r>
    </w:p>
    <w:p w:rsidRPr="00B62A5C" w:rsidR="00B62A5C" w:rsidP="00B62A5C" w14:paraId="1EB62DB5" w14:textId="77777777"/>
    <w:p w:rsidRPr="00B62A5C" w:rsidR="00B62A5C" w:rsidP="00B62A5C" w14:paraId="4E04493A" w14:textId="77777777">
      <w:r w:rsidRPr="00B62A5C">
        <w:t xml:space="preserve">In het spaarzame geval dat iemand die onder de tap staat contact zou opnemen met het Huis, wordt ook dat gesprek opgenomen. Vervolgens wordt door een opsporingsambtenaar beoordeeld of mogelijk sprake is van een </w:t>
      </w:r>
      <w:r w:rsidRPr="00B62A5C">
        <w:t>geheimhoudersgesprek</w:t>
      </w:r>
      <w:r w:rsidRPr="00B62A5C">
        <w:t xml:space="preserve">. Indien dit wordt vermoed, wordt de opname afgeschermd en na een nadere beoordeling zo nodig vernietigd. Indien het gesprek overige informatie bevat die de officier van justitie wil gebruiken in het strafrechtelijk onderzoek, is daarvoor eerst een (nieuwe) machtiging van de rechter-commissaris nodig. Met deze onafhankelijke rechterlijke toets wordt voorkomen dat onterecht </w:t>
      </w:r>
      <w:r w:rsidRPr="00B62A5C">
        <w:t>geheimhoudersinformatie</w:t>
      </w:r>
      <w:r w:rsidRPr="00B62A5C">
        <w:t xml:space="preserve"> in strafdossiers terechtkomt. Daarmee wordt enerzijds een veilige en vertrouwelijke melding van een misstand en anderzijds de waarheidsvinding in het strafproces gewaarborgd.  </w:t>
      </w:r>
    </w:p>
    <w:p w:rsidRPr="00B62A5C" w:rsidR="00B62A5C" w:rsidP="00B62A5C" w14:paraId="157A130F" w14:textId="77777777">
      <w:pPr>
        <w:rPr>
          <w:b/>
          <w:bCs/>
        </w:rPr>
      </w:pPr>
      <w:r w:rsidRPr="00B62A5C">
        <w:rPr>
          <w:b/>
          <w:bCs/>
        </w:rPr>
        <w:t xml:space="preserve"> </w:t>
      </w:r>
    </w:p>
    <w:p w:rsidRPr="00B62A5C" w:rsidR="00B62A5C" w:rsidP="00B62A5C" w14:paraId="0739E9E3" w14:textId="77777777">
      <w:r w:rsidRPr="00B62A5C">
        <w:t xml:space="preserve">Het waarborgen van vertrouwelijk contact bij verschoningsgerechtigden alsmede het Huis wordt via deze </w:t>
      </w:r>
      <w:r w:rsidRPr="00B62A5C">
        <w:t>geheimhoudersprocedure</w:t>
      </w:r>
      <w:r w:rsidRPr="00B62A5C">
        <w:t xml:space="preserve"> geborgd. Deze procedure functioneert naar behoren in de praktijk.</w:t>
      </w:r>
    </w:p>
    <w:p w:rsidRPr="00B62A5C" w:rsidR="00B62A5C" w:rsidP="00B62A5C" w14:paraId="53CE6F39" w14:textId="77777777">
      <w:pPr>
        <w:rPr>
          <w:b/>
          <w:bCs/>
        </w:rPr>
      </w:pPr>
    </w:p>
    <w:p w:rsidRPr="00B62A5C" w:rsidR="00B62A5C" w:rsidP="00B62A5C" w14:paraId="318DBBAB" w14:textId="77777777">
      <w:r w:rsidRPr="00B62A5C">
        <w:t>Daarnaast bestaan er ruime mogelijkheden om met het Huis vrij en vertrouwelijk in contact te treden waarbij geen afluisterrisico bestaat voor melders. Om drempels weg te nemen kunnen (potentiële) melders in contact treden met het Huis door een gesprek op locatie, via een beveiligde link op de website van het Huis, anoniem via een vertrouwenspersoon of advocaat of per post. Dit wordt versterkt door de geheimhoudingsplicht die op medewerkers van het Huis rust.</w:t>
      </w:r>
      <w:r>
        <w:rPr>
          <w:vertAlign w:val="superscript"/>
        </w:rPr>
        <w:footnoteReference w:id="8"/>
      </w:r>
      <w:r w:rsidRPr="00B62A5C">
        <w:t xml:space="preserve"> Deze plicht ziet onder meer op de identiteit van de melder en informatie waaruit die identiteit kan worden afgeleid.</w:t>
      </w:r>
    </w:p>
    <w:p w:rsidRPr="00B62A5C" w:rsidR="00B62A5C" w:rsidP="00B62A5C" w14:paraId="2565606C" w14:textId="77777777"/>
    <w:p w:rsidRPr="00B62A5C" w:rsidR="00B62A5C" w:rsidP="00B62A5C" w14:paraId="3D30C5C8" w14:textId="77777777">
      <w:r w:rsidRPr="00B62A5C">
        <w:t xml:space="preserve">Tot slot is goed om te melden dat sinds het begin van de toepassing van de </w:t>
      </w:r>
    </w:p>
    <w:p w:rsidRPr="00B62A5C" w:rsidR="00B62A5C" w:rsidP="00B62A5C" w14:paraId="13206C7D" w14:textId="77777777">
      <w:r w:rsidRPr="00B62A5C">
        <w:t>geheimhoudersprocedure</w:t>
      </w:r>
      <w:r w:rsidRPr="00B62A5C">
        <w:t xml:space="preserve"> in 2023 er bij </w:t>
      </w:r>
      <w:r w:rsidRPr="0088256B" w:rsidR="0088256B">
        <w:rPr>
          <w:color w:val="auto"/>
        </w:rPr>
        <w:t xml:space="preserve">de liaison officier van justitie voor het Huis </w:t>
      </w:r>
      <w:r w:rsidRPr="000969C9">
        <w:rPr>
          <w:color w:val="auto"/>
        </w:rPr>
        <w:t xml:space="preserve">geen </w:t>
      </w:r>
      <w:r w:rsidRPr="00B62A5C">
        <w:t>zaken bekend zijn waarin een verdachte die onder de tap stond telefonisch contact met het Huis had. Het risico dat vertrouwelijke informatie in strafdossiers terechtkomt, is daarmee zeer beperkt.</w:t>
      </w:r>
    </w:p>
    <w:p w:rsidRPr="00B62A5C" w:rsidR="00B62A5C" w:rsidP="00B62A5C" w14:paraId="5DEEC14A" w14:textId="77777777"/>
    <w:p w:rsidRPr="00B62A5C" w:rsidR="00B62A5C" w:rsidP="00B62A5C" w14:paraId="2B7A1178" w14:textId="77777777">
      <w:r w:rsidRPr="00B62A5C">
        <w:t xml:space="preserve">Bovenstaande laat zien dat er reeds voldoende mogelijkheden en waarborgen bestaan voor melders </w:t>
      </w:r>
      <w:r w:rsidRPr="00B62A5C">
        <w:rPr>
          <w:color w:val="auto"/>
        </w:rPr>
        <w:t>om zich vrij en vertrouwelijk en zonder afluisterris</w:t>
      </w:r>
      <w:r w:rsidR="0088256B">
        <w:rPr>
          <w:color w:val="auto"/>
        </w:rPr>
        <w:t>i</w:t>
      </w:r>
      <w:r w:rsidRPr="00B62A5C">
        <w:rPr>
          <w:color w:val="auto"/>
        </w:rPr>
        <w:t xml:space="preserve">co tot het Huis te kunnen wenden. Om de melder te sterken om een misstand te melden wil ik wél inzetten op het vergroten van de kenbaarheid van de huidige mogelijkheden. </w:t>
      </w:r>
    </w:p>
    <w:p w:rsidRPr="00B62A5C" w:rsidR="00B62A5C" w:rsidP="00B62A5C" w14:paraId="04FCFD6B" w14:textId="77777777"/>
    <w:p w:rsidRPr="00B62A5C" w:rsidR="00B62A5C" w:rsidP="00B62A5C" w14:paraId="789296A8" w14:textId="77777777">
      <w:pPr>
        <w:rPr>
          <w:i/>
          <w:iCs/>
        </w:rPr>
      </w:pPr>
      <w:r w:rsidRPr="00B62A5C">
        <w:rPr>
          <w:i/>
          <w:iCs/>
        </w:rPr>
        <w:t xml:space="preserve">Het nummerherkenningssysteem </w:t>
      </w:r>
    </w:p>
    <w:p w:rsidRPr="00B62A5C" w:rsidR="00B62A5C" w:rsidP="00B62A5C" w14:paraId="2AAAB25A" w14:textId="77777777">
      <w:bookmarkStart w:name="_Hlk238466766" w:id="5"/>
      <w:bookmarkStart w:name="_Hlk226016111" w:id="6"/>
      <w:r w:rsidRPr="00B62A5C">
        <w:t xml:space="preserve">Over het nummerherkenningssysteem geef ik nog een verdere toelichting. </w:t>
      </w:r>
      <w:bookmarkEnd w:id="5"/>
      <w:r w:rsidRPr="00B62A5C">
        <w:t>Een ruimhartige toevoeging van telefoonnummers aan het systeem van nummerherkenning kan de waarheidsvinding ernstig belemmeren. Toepassing dient beperkt te blijven tot uitzonderingsgevallen. Toepassing is daarom alleen gerechtvaardigd indien de noodzaak is aangetoond en juridische waarborgen tegen misbruik aanwezig zijn, zoals bij advocaten het geval is. Ik ga daar hieronder verder op in.</w:t>
      </w:r>
    </w:p>
    <w:bookmarkEnd w:id="4"/>
    <w:p w:rsidRPr="00B62A5C" w:rsidR="00B62A5C" w:rsidP="00B62A5C" w14:paraId="71890254" w14:textId="77777777"/>
    <w:p w:rsidRPr="00B62A5C" w:rsidR="00B62A5C" w:rsidP="00B62A5C" w14:paraId="302B5657" w14:textId="77777777">
      <w:r w:rsidRPr="00B62A5C">
        <w:t>Het is een essentieel en fundamenteel beginsel van onze rechtsstaat en van het strafprocesrecht dat een verdachte vrij en vertrouwelijk met zijn advocaat over strafrechtelijk relevante informatie kan spreken. Gesprekken tussen personen die onder de tap staan en een advocaat komen in de praktijk vaak voor</w:t>
      </w:r>
      <w:r w:rsidR="00927953">
        <w:t>,</w:t>
      </w:r>
      <w:r w:rsidRPr="00B62A5C">
        <w:t xml:space="preserve"> aangezien (strafrecht)advocaten, uit de aard van hun werk, veelvuldig contact met verdachten in strafzaken onderhouden. In het verleden kwam het voor dat door administratieve fouten vertrouwelijke communicatie tussen advocaten en cliënten in strafdossiers terechtkwam, waardoor dit beginsel werd geschonden.</w:t>
      </w:r>
      <w:r>
        <w:rPr>
          <w:vertAlign w:val="superscript"/>
        </w:rPr>
        <w:footnoteReference w:id="9"/>
      </w:r>
      <w:r w:rsidRPr="00B62A5C">
        <w:t xml:space="preserve"> Invoering van het nummerherkenningssysteem was noodzakelijk om dit te voorkomen. Anders dan binnen de advocatuur is de kans dat een (potentiële) klokkenluider tevens een verdachte is, tegen wie het Openbaar Ministerie een verdenking heeft die het plaatsen van een tap rechtvaardigt, in de praktijk zeer klein. Zoals al aangegeven zijn er sinds de toepassing van de </w:t>
      </w:r>
      <w:r w:rsidRPr="00B62A5C">
        <w:t>geheimhoudersprocedure</w:t>
      </w:r>
      <w:r w:rsidRPr="00B62A5C">
        <w:t xml:space="preserve"> in 2023 geen zaken bekend waarin een verdachte die onder de tap stond telefonisch contact met het Huis had. De noodzaak tot toepassen bij het Huis ontbreekt daarom.  </w:t>
      </w:r>
    </w:p>
    <w:p w:rsidRPr="00B62A5C" w:rsidR="00B62A5C" w:rsidP="00B62A5C" w14:paraId="099C0AF8" w14:textId="77777777">
      <w:pPr>
        <w:rPr>
          <w:i/>
          <w:iCs/>
        </w:rPr>
      </w:pPr>
    </w:p>
    <w:p w:rsidRPr="00B62A5C" w:rsidR="00B62A5C" w:rsidP="00B62A5C" w14:paraId="425D8AE2" w14:textId="77777777">
      <w:r w:rsidRPr="00B62A5C">
        <w:t>Bovendien was het mogelijk om het systeem van nummerherkenning voor de advocatuur in te voeren omdat ten aanzien van deze beroepsgroep verschillende waarborgen ter voorkoming van misbruik van het systeem van nummerherkenning gelden. Zo gelden voor de advocatuur door de eigen beroepsorganisatie opgestelde gedragsregels en is er een wettelijk systeem van tuchtrecht om naleving van deze gedragsregels te handhaven. Deze waarborgen tegen misbruik van het systeem van nummerherkenning gelden niet ten aanzien van het Huis, terwijl dit wel noodzakelijk is om misbruik van het systeem van nummerherkenning te voorkomen. Het belang daarvan is groot, nu een fundamenteel uitgangspunt van het strafproces, namelijk de waarheidsvinding, in het geding is.</w:t>
      </w:r>
    </w:p>
    <w:p w:rsidRPr="00B62A5C" w:rsidR="00B62A5C" w:rsidP="00B62A5C" w14:paraId="19A5E22F" w14:textId="77777777"/>
    <w:p w:rsidR="00B62A5C" w:rsidP="00B62A5C" w14:paraId="0BE2F600" w14:textId="77777777">
      <w:bookmarkStart w:name="_Hlk226016578" w:id="7"/>
      <w:bookmarkEnd w:id="6"/>
      <w:r w:rsidRPr="00B62A5C">
        <w:t xml:space="preserve">Met de uitbreiding van het systeem van nummerherkenning, ontstaat ten slotte het risico van een glijdende schaal. Mogelijk zullen ook andere verschoningsgerechtigde beroepsgroepen, zoals artsen en notarissen, toepassing verlangen. Dit zou de waarheidsvinding in strafzaken extra belemmeren. </w:t>
      </w:r>
    </w:p>
    <w:p w:rsidRPr="00B62A5C" w:rsidR="00E027DE" w:rsidP="00B62A5C" w14:paraId="1D041812" w14:textId="77777777"/>
    <w:bookmarkEnd w:id="7"/>
    <w:p w:rsidRPr="00B62A5C" w:rsidR="00B62A5C" w:rsidP="00B62A5C" w14:paraId="411C3B9D" w14:textId="77777777">
      <w:r>
        <w:t xml:space="preserve">Alles afwegende </w:t>
      </w:r>
      <w:r w:rsidR="0024599E">
        <w:t>kies ik ervoor</w:t>
      </w:r>
      <w:r>
        <w:t xml:space="preserve"> om de motie niet </w:t>
      </w:r>
      <w:r w:rsidRPr="00B62A5C">
        <w:t>uit</w:t>
      </w:r>
      <w:r>
        <w:t xml:space="preserve"> te </w:t>
      </w:r>
      <w:r w:rsidRPr="00B62A5C">
        <w:t>voer</w:t>
      </w:r>
      <w:r>
        <w:t>en en niet over</w:t>
      </w:r>
      <w:r w:rsidRPr="00B62A5C">
        <w:t xml:space="preserve"> </w:t>
      </w:r>
      <w:r>
        <w:t xml:space="preserve">te gaan </w:t>
      </w:r>
      <w:r w:rsidRPr="00B62A5C">
        <w:t>tot toepassing van het nummerherkenningssysteem bij het Huis. Een ruimere toebedeling van het nummerherkenningssysteem kan de waarheidsvinding in het strafproces ernstig belemmeren en er zijn geen waarborgen ter voorkoming van misbruik (zoals bij advocaten). Bovendien laat voorgaande zien dat er diverse mogelijkheden en waarborgen voor melders zijn om zich vrij en vertrouwelijk en zonder afluisterrisico tot het Huis te kunnen wenden.</w:t>
      </w:r>
    </w:p>
    <w:p w:rsidR="00B62A5C" w:rsidP="00B62A5C" w14:paraId="7327BE0A" w14:textId="77777777"/>
    <w:p w:rsidR="0088256B" w:rsidP="00B62A5C" w14:paraId="56B274D3" w14:textId="77777777"/>
    <w:p w:rsidR="009652DE" w:rsidP="009652DE" w14:paraId="1738B1C6" w14:textId="77777777">
      <w:r w:rsidRPr="00B62A5C">
        <w:t>De minister van Binnenlandse Zaken en Koninkrijksrelaties,</w:t>
      </w:r>
    </w:p>
    <w:p w:rsidR="003E68B2" w:rsidP="009652DE" w14:paraId="7508BAB7" w14:textId="77777777"/>
    <w:p w:rsidR="003E68B2" w:rsidP="009652DE" w14:paraId="6AEFEAC0" w14:textId="77777777"/>
    <w:p w:rsidR="003E68B2" w:rsidP="009652DE" w14:paraId="110DB3BA" w14:textId="77777777"/>
    <w:p w:rsidR="003E68B2" w:rsidP="009652DE" w14:paraId="55B4904E" w14:textId="77777777"/>
    <w:p w:rsidR="003E68B2" w:rsidP="009652DE" w14:paraId="0B10E0D9" w14:textId="77777777"/>
    <w:p w:rsidRPr="00B62A5C" w:rsidR="003E68B2" w:rsidP="009652DE" w14:paraId="218E9683" w14:textId="77777777">
      <w:r>
        <w:t>Pieter Heerma</w:t>
      </w:r>
    </w:p>
    <w:p w:rsidRPr="00B62A5C" w:rsidR="00B62A5C" w:rsidP="00B62A5C" w14:paraId="7630E379" w14:textId="77777777"/>
    <w:p w:rsidR="00B62A5C" w:rsidP="00B62A5C" w14:paraId="4C938886" w14:textId="77777777"/>
    <w:p w:rsidR="009652DE" w:rsidP="00B62A5C" w14:paraId="52E9685A" w14:textId="77777777"/>
    <w:p w:rsidR="009652DE" w:rsidP="00B62A5C" w14:paraId="5F551F35" w14:textId="77777777"/>
    <w:p w:rsidRPr="00B62A5C" w:rsidR="00E027DE" w:rsidP="00B62A5C" w14:paraId="5F9B1E47" w14:textId="77777777"/>
    <w:bookmarkEnd w:id="0"/>
    <w:p w:rsidR="00742837" w14:paraId="5CE56474" w14:textId="77777777"/>
    <w:p w:rsidR="00742837" w14:paraId="674BAE19" w14:textId="77777777"/>
    <w:p w:rsidR="00742837" w14:paraId="5D62EDDD" w14:textId="77777777"/>
    <w:p w:rsidR="00742837" w14:paraId="374C2FFF" w14:textId="77777777"/>
    <w:p w:rsidR="004F365B" w:rsidP="00F44636" w14:paraId="00DA1505" w14:textId="77777777"/>
    <w:sectPr>
      <w:headerReference w:type="even" r:id="rId7"/>
      <w:headerReference w:type="default" r:id="rId8"/>
      <w:footerReference w:type="even" r:id="rId9"/>
      <w:footerReference w:type="default" r:id="rId10"/>
      <w:headerReference w:type="first" r:id="rId11"/>
      <w:footerReference w:type="first" r:id="rId12"/>
      <w:pgSz w:w="11905" w:h="16837"/>
      <w:pgMar w:top="3764" w:right="2777" w:bottom="1076" w:left="1587" w:header="0" w:footer="0" w:gutter="0"/>
      <w:cols w:space="708"/>
      <w:titlePg/>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jaVu Sans">
    <w:altName w:val="Arial"/>
    <w:charset w:val="00"/>
    <w:family w:val="swiss"/>
    <w:pitch w:val="variable"/>
    <w:sig w:usb0="00000000" w:usb1="5200FDFF" w:usb2="0A042021" w:usb3="00000000" w:csb0="000001BF" w:csb1="00000000"/>
  </w:font>
  <w:font w:name="Lohit Hindi">
    <w:altName w:val="Times New Roman"/>
    <w:charset w:val="00"/>
    <w:family w:val="auto"/>
    <w:pitch w:val="default"/>
  </w:font>
  <w:font w:name="Verdana">
    <w:panose1 w:val="020B0604030504040204"/>
    <w:charset w:val="00"/>
    <w:family w:val="swiss"/>
    <w:pitch w:val="variable"/>
    <w:sig w:usb0="A00006FF" w:usb1="4000205B" w:usb2="00000010" w:usb3="00000000" w:csb0="0000019F" w:csb1="00000000"/>
  </w:font>
  <w:font w:name="KIX Barcode">
    <w:panose1 w:val="020B7200000000000000"/>
    <w:charset w:val="00"/>
    <w:family w:val="swiss"/>
    <w:pitch w:val="variable"/>
    <w:sig w:usb0="8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70445" w14:paraId="52E9CB19"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42837" w14:paraId="1102E13A" w14:textId="77777777">
    <w:pPr>
      <w:spacing w:after="1077" w:line="14" w:lineRule="exac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70445" w14:paraId="14DC8921"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8F3A2A" w14:paraId="0A4482E5" w14:textId="77777777">
      <w:pPr>
        <w:pStyle w:val="FootnoteText"/>
      </w:pPr>
    </w:p>
  </w:footnote>
  <w:footnote w:type="continuationSeparator" w:id="1">
    <w:p w:rsidR="008F3A2A" w14:paraId="1ADB7229" w14:textId="77777777">
      <w:pPr>
        <w:pStyle w:val="FootnoteText"/>
      </w:pPr>
    </w:p>
  </w:footnote>
  <w:footnote w:id="2">
    <w:p w:rsidR="00B62A5C" w:rsidRPr="00F44636" w:rsidP="00B62A5C" w14:paraId="3862FBED" w14:textId="77777777">
      <w:pPr>
        <w:pStyle w:val="FootnoteText"/>
        <w:rPr>
          <w:sz w:val="16"/>
          <w:szCs w:val="16"/>
        </w:rPr>
      </w:pPr>
      <w:r w:rsidRPr="00F44636">
        <w:rPr>
          <w:rStyle w:val="FootnoteReference"/>
          <w:sz w:val="16"/>
          <w:szCs w:val="16"/>
        </w:rPr>
        <w:footnoteRef/>
      </w:r>
      <w:r w:rsidRPr="00F44636">
        <w:rPr>
          <w:sz w:val="16"/>
          <w:szCs w:val="16"/>
        </w:rPr>
        <w:t xml:space="preserve"> Kamerstukken II 2024-2025, 28362, nr. 69. </w:t>
      </w:r>
    </w:p>
  </w:footnote>
  <w:footnote w:id="3">
    <w:p w:rsidR="00B62A5C" w:rsidRPr="00F44636" w:rsidP="00B62A5C" w14:paraId="48677CE7" w14:textId="77777777">
      <w:pPr>
        <w:pStyle w:val="FootnoteText"/>
        <w:rPr>
          <w:sz w:val="16"/>
          <w:szCs w:val="16"/>
        </w:rPr>
      </w:pPr>
      <w:r w:rsidRPr="00F44636">
        <w:rPr>
          <w:rStyle w:val="FootnoteReference"/>
          <w:sz w:val="16"/>
          <w:szCs w:val="16"/>
        </w:rPr>
        <w:footnoteRef/>
      </w:r>
      <w:r w:rsidRPr="00F44636">
        <w:rPr>
          <w:sz w:val="16"/>
          <w:szCs w:val="16"/>
        </w:rPr>
        <w:t xml:space="preserve"> Kamerstuk 28844, nr. 206.</w:t>
      </w:r>
    </w:p>
  </w:footnote>
  <w:footnote w:id="4">
    <w:p w:rsidR="00B62A5C" w:rsidRPr="00F44636" w:rsidP="00B62A5C" w14:paraId="452F8089" w14:textId="77777777">
      <w:pPr>
        <w:pStyle w:val="FootnoteText"/>
      </w:pPr>
      <w:r w:rsidRPr="00F44636">
        <w:rPr>
          <w:rStyle w:val="FootnoteReference"/>
          <w:sz w:val="16"/>
          <w:szCs w:val="16"/>
        </w:rPr>
        <w:footnoteRef/>
      </w:r>
      <w:r w:rsidRPr="00F44636">
        <w:t xml:space="preserve"> </w:t>
      </w:r>
      <w:r w:rsidRPr="00F44636">
        <w:rPr>
          <w:sz w:val="16"/>
          <w:szCs w:val="16"/>
        </w:rPr>
        <w:t>Artikel 126aa van het Wetboek van Strafvordering.</w:t>
      </w:r>
    </w:p>
  </w:footnote>
  <w:footnote w:id="5">
    <w:p w:rsidR="00B62A5C" w:rsidRPr="0067637D" w:rsidP="00B62A5C" w14:paraId="4A62E0B6" w14:textId="77777777">
      <w:pPr>
        <w:pStyle w:val="FootnoteText"/>
        <w:rPr>
          <w:i/>
          <w:iCs/>
          <w:sz w:val="16"/>
          <w:szCs w:val="16"/>
        </w:rPr>
      </w:pPr>
      <w:r w:rsidRPr="00F44636">
        <w:rPr>
          <w:rStyle w:val="FootnoteReference"/>
          <w:sz w:val="16"/>
          <w:szCs w:val="16"/>
        </w:rPr>
        <w:footnoteRef/>
      </w:r>
      <w:r w:rsidRPr="00F44636">
        <w:rPr>
          <w:sz w:val="18"/>
          <w:szCs w:val="18"/>
        </w:rPr>
        <w:t xml:space="preserve"> </w:t>
      </w:r>
      <w:r w:rsidRPr="00F44636">
        <w:rPr>
          <w:sz w:val="16"/>
          <w:szCs w:val="16"/>
        </w:rPr>
        <w:t>N</w:t>
      </w:r>
      <w:r w:rsidRPr="00F44636" w:rsidR="00F44636">
        <w:rPr>
          <w:sz w:val="16"/>
          <w:szCs w:val="16"/>
        </w:rPr>
        <w:t>.b.</w:t>
      </w:r>
      <w:r w:rsidRPr="00F44636">
        <w:rPr>
          <w:sz w:val="16"/>
          <w:szCs w:val="16"/>
        </w:rPr>
        <w:t xml:space="preserve"> </w:t>
      </w:r>
      <w:r w:rsidRPr="00F44636" w:rsidR="00F44636">
        <w:rPr>
          <w:sz w:val="16"/>
          <w:szCs w:val="16"/>
        </w:rPr>
        <w:t>D</w:t>
      </w:r>
      <w:r w:rsidRPr="00F44636">
        <w:rPr>
          <w:sz w:val="16"/>
          <w:szCs w:val="16"/>
        </w:rPr>
        <w:t>e telefoonnummers van Meld Misdaad Anoniem en van Team Nationale Inlichtingen zijn ook in het nummerherkenningssysteem opgenomen. Beide staan ten dienste van de opsporing en zijn daarmee in deze context niet relevant.</w:t>
      </w:r>
    </w:p>
  </w:footnote>
  <w:footnote w:id="6">
    <w:p w:rsidR="00B62A5C" w:rsidRPr="00F44636" w:rsidP="00B62A5C" w14:paraId="4E5370E5" w14:textId="77777777">
      <w:pPr>
        <w:pStyle w:val="FootnoteText"/>
      </w:pPr>
      <w:r w:rsidRPr="00F44636">
        <w:rPr>
          <w:rStyle w:val="FootnoteReference"/>
          <w:sz w:val="16"/>
          <w:szCs w:val="16"/>
        </w:rPr>
        <w:footnoteRef/>
      </w:r>
      <w:r w:rsidRPr="00F44636">
        <w:t xml:space="preserve"> </w:t>
      </w:r>
      <w:bookmarkStart w:id="3" w:name="_Hlk232677996"/>
      <w:r w:rsidRPr="00F44636">
        <w:rPr>
          <w:sz w:val="16"/>
          <w:szCs w:val="16"/>
        </w:rPr>
        <w:t>Kamerstukken II 2022-2023, 28844, nr. 206.</w:t>
      </w:r>
      <w:r w:rsidRPr="00F44636">
        <w:t xml:space="preserve"> </w:t>
      </w:r>
    </w:p>
    <w:bookmarkEnd w:id="3"/>
  </w:footnote>
  <w:footnote w:id="7">
    <w:p w:rsidR="007A581E" w:rsidRPr="00A4012C" w:rsidP="007A581E" w14:paraId="721EE5AB" w14:textId="77777777">
      <w:pPr>
        <w:pStyle w:val="FootnoteText"/>
        <w:rPr>
          <w:sz w:val="16"/>
          <w:szCs w:val="16"/>
        </w:rPr>
      </w:pPr>
      <w:r w:rsidRPr="00F44636">
        <w:rPr>
          <w:rStyle w:val="FootnoteReference"/>
          <w:sz w:val="16"/>
          <w:szCs w:val="16"/>
        </w:rPr>
        <w:footnoteRef/>
      </w:r>
      <w:r w:rsidRPr="00F44636">
        <w:rPr>
          <w:sz w:val="16"/>
          <w:szCs w:val="16"/>
        </w:rPr>
        <w:t xml:space="preserve"> Artikel 126</w:t>
      </w:r>
      <w:r>
        <w:rPr>
          <w:sz w:val="16"/>
          <w:szCs w:val="16"/>
        </w:rPr>
        <w:t>m</w:t>
      </w:r>
      <w:r w:rsidRPr="00F44636">
        <w:rPr>
          <w:sz w:val="16"/>
          <w:szCs w:val="16"/>
        </w:rPr>
        <w:t xml:space="preserve"> van het Wetboek van Strafvordering.</w:t>
      </w:r>
      <w:r>
        <w:rPr>
          <w:sz w:val="16"/>
          <w:szCs w:val="16"/>
        </w:rPr>
        <w:t xml:space="preserve"> </w:t>
      </w:r>
    </w:p>
  </w:footnote>
  <w:footnote w:id="8">
    <w:p w:rsidR="00B62A5C" w:rsidRPr="00F44636" w:rsidP="00B62A5C" w14:paraId="265DC137" w14:textId="77777777">
      <w:pPr>
        <w:pStyle w:val="FootnoteText"/>
        <w:rPr>
          <w:sz w:val="16"/>
          <w:szCs w:val="16"/>
        </w:rPr>
      </w:pPr>
      <w:r w:rsidRPr="00F44636">
        <w:rPr>
          <w:rStyle w:val="FootnoteReference"/>
        </w:rPr>
        <w:footnoteRef/>
      </w:r>
      <w:r w:rsidRPr="00F44636">
        <w:t xml:space="preserve"> </w:t>
      </w:r>
      <w:r w:rsidRPr="00F44636">
        <w:rPr>
          <w:sz w:val="16"/>
          <w:szCs w:val="16"/>
        </w:rPr>
        <w:t>Artikel 1a Wet bescherming klokkenluiders.</w:t>
      </w:r>
    </w:p>
  </w:footnote>
  <w:footnote w:id="9">
    <w:p w:rsidR="00B62A5C" w:rsidP="00B62A5C" w14:paraId="75CA2AA0" w14:textId="77777777">
      <w:pPr>
        <w:pStyle w:val="FootnoteText"/>
      </w:pPr>
      <w:r w:rsidRPr="00F44636">
        <w:rPr>
          <w:rStyle w:val="FootnoteReference"/>
        </w:rPr>
        <w:footnoteRef/>
      </w:r>
      <w:r w:rsidRPr="00F44636">
        <w:t xml:space="preserve"> </w:t>
      </w:r>
      <w:r w:rsidRPr="00F44636">
        <w:rPr>
          <w:sz w:val="16"/>
          <w:szCs w:val="16"/>
        </w:rPr>
        <w:t>Kamerstukken 2008-09, nr. 30517, nr. 8,  p. 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70445" w14:paraId="00BB2AE6"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42837" w14:paraId="10E21098" w14:textId="77777777">
    <w:r>
      <w:rPr>
        <w:noProof/>
      </w:rPr>
      <mc:AlternateContent>
        <mc:Choice Requires="wps">
          <w:drawing>
            <wp:anchor distT="0" distB="0" distL="0" distR="0" simplePos="0" relativeHeight="251658240" behindDoc="0" locked="1" layoutInCell="1" allowOverlap="1">
              <wp:simplePos x="0" y="0"/>
              <wp:positionH relativeFrom="page">
                <wp:posOffset>1007744</wp:posOffset>
              </wp:positionH>
              <wp:positionV relativeFrom="paragraph">
                <wp:posOffset>1965325</wp:posOffset>
              </wp:positionV>
              <wp:extent cx="4787900" cy="161290"/>
              <wp:effectExtent l="0" t="0" r="0" b="0"/>
              <wp:wrapNone/>
              <wp:docPr id="1" name="46feee07-aa3c-11ea-a756-beb5f67e67be"/>
              <wp:cNvGraphicFramePr/>
              <a:graphic xmlns:a="http://schemas.openxmlformats.org/drawingml/2006/main">
                <a:graphicData uri="http://schemas.microsoft.com/office/word/2010/wordprocessingShape">
                  <wps:wsp xmlns:wps="http://schemas.microsoft.com/office/word/2010/wordprocessingShape">
                    <wps:cNvSpPr txBox="1"/>
                    <wps:spPr>
                      <a:xfrm>
                        <a:off x="0" y="0"/>
                        <a:ext cx="4787900" cy="161290"/>
                      </a:xfrm>
                      <a:prstGeom prst="rect">
                        <a:avLst/>
                      </a:prstGeom>
                      <a:noFill/>
                    </wps:spPr>
                    <wps:txbx>
                      <w:txbxContent>
                        <w:p w:rsidR="0097474B" w14:textId="77777777"/>
                      </w:txbxContent>
                    </wps:txbx>
                    <wps:bodyPr vert="horz" wrap="square" lIns="0" tIns="0" rIns="0" bIns="0" anchor="t" anchorCtr="0"/>
                  </wps:wsp>
                </a:graphicData>
              </a:graphic>
            </wp:anchor>
          </w:drawing>
        </mc:Choice>
        <mc:Fallback>
          <w:pict>
            <v:shapetype id="_x0000_t202" coordsize="21600,21600" o:spt="202" path="m,l,21600r21600,l21600,xe">
              <v:stroke joinstyle="miter"/>
              <v:path gradientshapeok="t" o:connecttype="rect"/>
            </v:shapetype>
            <v:shape id="46feee07-aa3c-11ea-a756-beb5f67e67be" o:spid="_x0000_s2049" type="#_x0000_t202" style="width:377pt;height:12.7pt;margin-top:154.75pt;margin-left:79.35pt;mso-position-horizontal-relative:page;mso-wrap-distance-bottom:0;mso-wrap-distance-left:0;mso-wrap-distance-right:0;mso-wrap-distance-top:0;mso-wrap-style:square;position:absolute;v-text-anchor:top;visibility:visible;z-index:251659264" filled="f" stroked="f">
              <v:textbox inset="0,0,0,0">
                <w:txbxContent>
                  <w:p w:rsidR="0097474B" w14:paraId="3CF577DE" w14:textId="77777777"/>
                </w:txbxContent>
              </v:textbox>
              <w10:anchorlock/>
            </v:shape>
          </w:pict>
        </mc:Fallback>
      </mc:AlternateContent>
    </w:r>
    <w:r>
      <w:rPr>
        <w:noProof/>
      </w:rPr>
      <mc:AlternateContent>
        <mc:Choice Requires="wps">
          <w:drawing>
            <wp:anchor distT="0" distB="0" distL="0" distR="0" simplePos="0" relativeHeight="251660288" behindDoc="0" locked="1" layoutInCell="1" allowOverlap="1">
              <wp:simplePos x="0" y="0"/>
              <wp:positionH relativeFrom="page">
                <wp:posOffset>5921375</wp:posOffset>
              </wp:positionH>
              <wp:positionV relativeFrom="paragraph">
                <wp:posOffset>1965325</wp:posOffset>
              </wp:positionV>
              <wp:extent cx="1277620" cy="8009890"/>
              <wp:effectExtent l="0" t="0" r="0" b="0"/>
              <wp:wrapNone/>
              <wp:docPr id="2" name="46fef022-aa3c-11ea-a756-beb5f67e67be" descr="Colofon"/>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7620" cy="8009890"/>
                      </a:xfrm>
                      <a:prstGeom prst="rect">
                        <a:avLst/>
                      </a:prstGeom>
                      <a:noFill/>
                    </wps:spPr>
                    <wps:txbx>
                      <w:txbxContent>
                        <w:p w:rsidR="00742837" w14:textId="77777777">
                          <w:pPr>
                            <w:pStyle w:val="WitregelW2"/>
                          </w:pPr>
                        </w:p>
                        <w:p w:rsidR="00B62A5C" w:rsidRPr="00B62A5C" w:rsidP="00B62A5C" w14:textId="77777777"/>
                        <w:p w:rsidR="00742837" w14:textId="77777777">
                          <w:pPr>
                            <w:pStyle w:val="WitregelW1"/>
                          </w:pPr>
                        </w:p>
                        <w:p w:rsidR="00742837" w14:textId="77777777">
                          <w:pPr>
                            <w:pStyle w:val="Referentiegegevensbold"/>
                          </w:pPr>
                          <w:r>
                            <w:t>Onze referentie</w:t>
                          </w:r>
                        </w:p>
                        <w:p w:rsidR="00675B7E" w14:textId="375C931B">
                          <w:pPr>
                            <w:pStyle w:val="Referentiegegevens"/>
                          </w:pPr>
                          <w:r w:rsidRPr="00ED3868">
                            <w:t>2026-0000530011</w:t>
                          </w:r>
                        </w:p>
                      </w:txbxContent>
                    </wps:txbx>
                    <wps:bodyPr vert="horz" wrap="square" lIns="0" tIns="0" rIns="0" bIns="0" anchor="t" anchorCtr="0"/>
                  </wps:wsp>
                </a:graphicData>
              </a:graphic>
            </wp:anchor>
          </w:drawing>
        </mc:Choice>
        <mc:Fallback>
          <w:pict>
            <v:shape id="46fef022-aa3c-11ea-a756-beb5f67e67be" o:spid="_x0000_s2050" type="#_x0000_t202" alt="Colofon" style="width:100.6pt;height:630.7pt;margin-top:154.75pt;margin-left:466.25pt;mso-position-horizontal-relative:page;mso-wrap-distance-bottom:0;mso-wrap-distance-left:0;mso-wrap-distance-right:0;mso-wrap-distance-top:0;mso-wrap-style:square;position:absolute;v-text-anchor:top;visibility:visible;z-index:251661312" filled="f" stroked="f">
              <v:textbox inset="0,0,0,0">
                <w:txbxContent>
                  <w:p w:rsidR="00742837" w14:paraId="315A288D" w14:textId="77777777">
                    <w:pPr>
                      <w:pStyle w:val="WitregelW2"/>
                    </w:pPr>
                  </w:p>
                  <w:p w:rsidR="00B62A5C" w:rsidRPr="00B62A5C" w:rsidP="00B62A5C" w14:paraId="254BF8E8" w14:textId="77777777"/>
                  <w:p w:rsidR="00742837" w14:paraId="6E989872" w14:textId="77777777">
                    <w:pPr>
                      <w:pStyle w:val="WitregelW1"/>
                    </w:pPr>
                  </w:p>
                  <w:p w:rsidR="00742837" w14:paraId="6F1D4825" w14:textId="77777777">
                    <w:pPr>
                      <w:pStyle w:val="Referentiegegevensbold"/>
                    </w:pPr>
                    <w:r>
                      <w:t>Onze referentie</w:t>
                    </w:r>
                  </w:p>
                  <w:p w:rsidR="00675B7E" w14:paraId="5165A1A9" w14:textId="375C931B">
                    <w:pPr>
                      <w:pStyle w:val="Referentiegegevens"/>
                    </w:pPr>
                    <w:r w:rsidRPr="00ED3868">
                      <w:t>2026-0000530011</w:t>
                    </w:r>
                  </w:p>
                </w:txbxContent>
              </v:textbox>
              <w10:anchorlock/>
            </v:shape>
          </w:pict>
        </mc:Fallback>
      </mc:AlternateContent>
    </w:r>
    <w:r>
      <w:rPr>
        <w:noProof/>
      </w:rPr>
      <mc:AlternateContent>
        <mc:Choice Requires="wps">
          <w:drawing>
            <wp:anchor distT="0" distB="0" distL="0" distR="0" simplePos="0" relativeHeight="251662336" behindDoc="0" locked="1" layoutInCell="1" allowOverlap="1">
              <wp:simplePos x="0" y="0"/>
              <wp:positionH relativeFrom="page">
                <wp:posOffset>1007744</wp:posOffset>
              </wp:positionH>
              <wp:positionV relativeFrom="paragraph">
                <wp:posOffset>10194925</wp:posOffset>
              </wp:positionV>
              <wp:extent cx="4787900" cy="161925"/>
              <wp:effectExtent l="0" t="0" r="0" b="0"/>
              <wp:wrapNone/>
              <wp:docPr id="3" name="46fef0b8-aa3c-11ea-a756-beb5f67e67be" descr="Voettekst"/>
              <wp:cNvGraphicFramePr/>
              <a:graphic xmlns:a="http://schemas.openxmlformats.org/drawingml/2006/main">
                <a:graphicData uri="http://schemas.microsoft.com/office/word/2010/wordprocessingShape">
                  <wps:wsp xmlns:wps="http://schemas.microsoft.com/office/word/2010/wordprocessingShape">
                    <wps:cNvSpPr txBox="1"/>
                    <wps:spPr>
                      <a:xfrm>
                        <a:off x="0" y="0"/>
                        <a:ext cx="4787900" cy="161925"/>
                      </a:xfrm>
                      <a:prstGeom prst="rect">
                        <a:avLst/>
                      </a:prstGeom>
                      <a:noFill/>
                    </wps:spPr>
                    <wps:txbx>
                      <w:txbxContent>
                        <w:p w:rsidR="0097474B" w14:textId="77777777"/>
                      </w:txbxContent>
                    </wps:txbx>
                    <wps:bodyPr vert="horz" wrap="square" lIns="0" tIns="0" rIns="0" bIns="0" anchor="t" anchorCtr="0"/>
                  </wps:wsp>
                </a:graphicData>
              </a:graphic>
            </wp:anchor>
          </w:drawing>
        </mc:Choice>
        <mc:Fallback>
          <w:pict>
            <v:shape id="46fef0b8-aa3c-11ea-a756-beb5f67e67be" o:spid="_x0000_s2051" type="#_x0000_t202" alt="Voettekst" style="width:377pt;height:12.75pt;margin-top:802.75pt;margin-left:79.35pt;mso-position-horizontal-relative:page;mso-wrap-distance-bottom:0;mso-wrap-distance-left:0;mso-wrap-distance-right:0;mso-wrap-distance-top:0;mso-wrap-style:square;position:absolute;v-text-anchor:top;visibility:visible;z-index:251663360" filled="f" stroked="f">
              <v:textbox inset="0,0,0,0">
                <w:txbxContent>
                  <w:p w:rsidR="0097474B" w14:paraId="336A048A" w14:textId="77777777"/>
                </w:txbxContent>
              </v:textbox>
              <w10:anchorlock/>
            </v:shape>
          </w:pict>
        </mc:Fallback>
      </mc:AlternateContent>
    </w:r>
    <w:r>
      <w:rPr>
        <w:noProof/>
      </w:rPr>
      <mc:AlternateContent>
        <mc:Choice Requires="wps">
          <w:drawing>
            <wp:anchor distT="0" distB="0" distL="0" distR="0" simplePos="0" relativeHeight="251664384" behindDoc="0" locked="1" layoutInCell="1" allowOverlap="1">
              <wp:simplePos x="0" y="0"/>
              <wp:positionH relativeFrom="page">
                <wp:posOffset>5921375</wp:posOffset>
              </wp:positionH>
              <wp:positionV relativeFrom="paragraph">
                <wp:posOffset>10194925</wp:posOffset>
              </wp:positionV>
              <wp:extent cx="1285875" cy="161925"/>
              <wp:effectExtent l="0" t="0" r="0" b="0"/>
              <wp:wrapNone/>
              <wp:docPr id="4" name="46fef06f-aa3c-11ea-a756-beb5f67e67be" descr="Paginanummering"/>
              <wp:cNvGraphicFramePr/>
              <a:graphic xmlns:a="http://schemas.openxmlformats.org/drawingml/2006/main">
                <a:graphicData uri="http://schemas.microsoft.com/office/word/2010/wordprocessingShape">
                  <wps:wsp xmlns:wps="http://schemas.microsoft.com/office/word/2010/wordprocessingShape">
                    <wps:cNvSpPr txBox="1"/>
                    <wps:spPr>
                      <a:xfrm>
                        <a:off x="0" y="0"/>
                        <a:ext cx="1285875" cy="161925"/>
                      </a:xfrm>
                      <a:prstGeom prst="rect">
                        <a:avLst/>
                      </a:prstGeom>
                      <a:noFill/>
                    </wps:spPr>
                    <wps:txbx>
                      <w:txbxContent>
                        <w:p w:rsidR="00C43D6B" w14:textId="77777777">
                          <w:pPr>
                            <w:pStyle w:val="Referentiegegevens"/>
                          </w:pPr>
                          <w:r>
                            <w:t xml:space="preserve">Pagina </w:t>
                          </w:r>
                          <w:r>
                            <w:fldChar w:fldCharType="begin"/>
                          </w:r>
                          <w:r>
                            <w:instrText>PAGE</w:instrText>
                          </w:r>
                          <w:r>
                            <w:fldChar w:fldCharType="separate"/>
                          </w:r>
                          <w:r>
                            <w:t>1</w:t>
                          </w:r>
                          <w:r>
                            <w:fldChar w:fldCharType="end"/>
                          </w:r>
                          <w:r>
                            <w:t xml:space="preserve"> van </w:t>
                          </w:r>
                          <w:r>
                            <w:fldChar w:fldCharType="begin"/>
                          </w:r>
                          <w:r>
                            <w:instrText>NUMPAGES</w:instrText>
                          </w:r>
                          <w:r>
                            <w:fldChar w:fldCharType="separate"/>
                          </w:r>
                          <w:r>
                            <w:t>1</w:t>
                          </w:r>
                          <w:r>
                            <w:fldChar w:fldCharType="end"/>
                          </w:r>
                        </w:p>
                      </w:txbxContent>
                    </wps:txbx>
                    <wps:bodyPr vert="horz" wrap="square" lIns="0" tIns="0" rIns="0" bIns="0" anchor="t" anchorCtr="0"/>
                  </wps:wsp>
                </a:graphicData>
              </a:graphic>
            </wp:anchor>
          </w:drawing>
        </mc:Choice>
        <mc:Fallback>
          <w:pict>
            <v:shape id="46fef06f-aa3c-11ea-a756-beb5f67e67be" o:spid="_x0000_s2052" type="#_x0000_t202" alt="Paginanummering" style="width:101.25pt;height:12.75pt;margin-top:802.75pt;margin-left:466.25pt;mso-position-horizontal-relative:page;mso-wrap-distance-bottom:0;mso-wrap-distance-left:0;mso-wrap-distance-right:0;mso-wrap-distance-top:0;mso-wrap-style:square;position:absolute;v-text-anchor:top;visibility:visible;z-index:251665408" filled="f" stroked="f">
              <v:textbox inset="0,0,0,0">
                <w:txbxContent>
                  <w:p w:rsidR="00C43D6B" w14:paraId="0B45C30D" w14:textId="77777777">
                    <w:pPr>
                      <w:pStyle w:val="Referentiegegevens"/>
                    </w:pPr>
                    <w:r>
                      <w:t xml:space="preserve">Pagina </w:t>
                    </w:r>
                    <w:r>
                      <w:fldChar w:fldCharType="begin"/>
                    </w:r>
                    <w:r>
                      <w:instrText>PAGE</w:instrText>
                    </w:r>
                    <w:r>
                      <w:fldChar w:fldCharType="separate"/>
                    </w:r>
                    <w:r>
                      <w:t>1</w:t>
                    </w:r>
                    <w:r>
                      <w:fldChar w:fldCharType="end"/>
                    </w:r>
                    <w:r>
                      <w:t xml:space="preserve"> van </w:t>
                    </w:r>
                    <w:r>
                      <w:fldChar w:fldCharType="begin"/>
                    </w:r>
                    <w:r>
                      <w:instrText>NUMPAGES</w:instrText>
                    </w:r>
                    <w:r>
                      <w:fldChar w:fldCharType="separate"/>
                    </w:r>
                    <w:r>
                      <w:t>1</w:t>
                    </w:r>
                    <w:r>
                      <w:fldChar w:fldCharType="end"/>
                    </w:r>
                  </w:p>
                </w:txbxContent>
              </v:textbox>
              <w10:anchorlock/>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42837" w14:paraId="7B357179" w14:textId="77777777">
    <w:pPr>
      <w:spacing w:after="6377" w:line="14" w:lineRule="exact"/>
    </w:pPr>
    <w:r>
      <w:rPr>
        <w:noProof/>
      </w:rPr>
      <mc:AlternateContent>
        <mc:Choice Requires="wps">
          <w:drawing>
            <wp:anchor distT="0" distB="0" distL="0" distR="0" simplePos="0" relativeHeight="251666432" behindDoc="0" locked="1" layoutInCell="1" allowOverlap="1">
              <wp:simplePos x="0" y="0"/>
              <wp:positionH relativeFrom="page">
                <wp:posOffset>3545840</wp:posOffset>
              </wp:positionH>
              <wp:positionV relativeFrom="paragraph">
                <wp:posOffset>0</wp:posOffset>
              </wp:positionV>
              <wp:extent cx="467995" cy="1583055"/>
              <wp:effectExtent l="0" t="0" r="0" b="0"/>
              <wp:wrapNone/>
              <wp:docPr id="5" name="8cd303e7-05ab-474b-9412-44e5272a8f7f" descr="Container voor beeldmerk"/>
              <wp:cNvGraphicFramePr/>
              <a:graphic xmlns:a="http://schemas.openxmlformats.org/drawingml/2006/main">
                <a:graphicData uri="http://schemas.microsoft.com/office/word/2010/wordprocessingShape">
                  <wps:wsp xmlns:wps="http://schemas.microsoft.com/office/word/2010/wordprocessingShape">
                    <wps:cNvSpPr txBox="1"/>
                    <wps:spPr>
                      <a:xfrm>
                        <a:off x="0" y="0"/>
                        <a:ext cx="467995" cy="1583055"/>
                      </a:xfrm>
                      <a:prstGeom prst="rect">
                        <a:avLst/>
                      </a:prstGeom>
                      <a:noFill/>
                    </wps:spPr>
                    <wps:txbx>
                      <w:txbxContent>
                        <w:p w:rsidR="00742837" w14:textId="77777777">
                          <w:pPr>
                            <w:spacing w:line="240" w:lineRule="auto"/>
                          </w:pPr>
                          <w:r>
                            <w:rPr>
                              <w:noProof/>
                            </w:rPr>
                            <w:drawing>
                              <wp:inline distT="0" distB="0" distL="0" distR="0">
                                <wp:extent cx="467995" cy="1583865"/>
                                <wp:effectExtent l="0" t="0" r="0" b="0"/>
                                <wp:docPr id="341915580" name="Logo" descr="Rijkslint, logo van de Rijksoverheid (blauw)"/>
                                <wp:cNvGraphicFramePr/>
                                <a:graphic xmlns:a="http://schemas.openxmlformats.org/drawingml/2006/main">
                                  <a:graphicData uri="http://schemas.openxmlformats.org/drawingml/2006/picture">
                                    <pic:pic xmlns:pic="http://schemas.openxmlformats.org/drawingml/2006/picture">
                                      <pic:nvPicPr>
                                        <pic:cNvPr id="341915580" name="Logo"/>
                                        <pic:cNvPicPr/>
                                      </pic:nvPicPr>
                                      <pic:blipFill>
                                        <a:blip xmlns:r="http://schemas.openxmlformats.org/officeDocument/2006/relationships" r:embed="rId1"/>
                                        <a:stretch>
                                          <a:fillRect/>
                                        </a:stretch>
                                      </pic:blipFill>
                                      <pic:spPr bwMode="auto">
                                        <a:xfrm>
                                          <a:off x="0" y="0"/>
                                          <a:ext cx="467995" cy="1583865"/>
                                        </a:xfrm>
                                        <a:prstGeom prst="rect">
                                          <a:avLst/>
                                        </a:prstGeom>
                                      </pic:spPr>
                                    </pic:pic>
                                  </a:graphicData>
                                </a:graphic>
                              </wp:inline>
                            </w:drawing>
                          </w:r>
                        </w:p>
                      </w:txbxContent>
                    </wps:txbx>
                    <wps:bodyPr vert="horz" wrap="square" lIns="0" tIns="0" rIns="0" bIns="0" anchor="t" anchorCtr="0"/>
                  </wps:wsp>
                </a:graphicData>
              </a:graphic>
            </wp:anchor>
          </w:drawing>
        </mc:Choice>
        <mc:Fallback>
          <w:pict>
            <v:shapetype id="_x0000_t202" coordsize="21600,21600" o:spt="202" path="m,l,21600r21600,l21600,xe">
              <v:stroke joinstyle="miter"/>
              <v:path gradientshapeok="t" o:connecttype="rect"/>
            </v:shapetype>
            <v:shape id="8cd303e7-05ab-474b-9412-44e5272a8f7f" o:spid="_x0000_s2053" type="#_x0000_t202" alt="Container voor beeldmerk" style="width:36.85pt;height:124.65pt;margin-top:0;margin-left:279.2pt;mso-position-horizontal-relative:page;mso-wrap-distance-bottom:0;mso-wrap-distance-left:0;mso-wrap-distance-right:0;mso-wrap-distance-top:0;mso-wrap-style:square;position:absolute;v-text-anchor:top;visibility:visible;z-index:251667456" filled="f" stroked="f">
              <v:textbox inset="0,0,0,0">
                <w:txbxContent>
                  <w:p w:rsidR="00742837" w14:paraId="7662C131" w14:textId="77777777">
                    <w:pPr>
                      <w:spacing w:line="240" w:lineRule="auto"/>
                    </w:pPr>
                    <w:drawing>
                      <wp:inline distT="0" distB="0" distL="0" distR="0">
                        <wp:extent cx="467995" cy="1583865"/>
                        <wp:effectExtent l="0" t="0" r="0" b="0"/>
                        <wp:docPr id="6" name="Logo" descr="Rijkslint, logo van de Rijksoverheid (blauw)"/>
                        <wp:cNvGraphicFramePr/>
                        <a:graphic xmlns:a="http://schemas.openxmlformats.org/drawingml/2006/main">
                          <a:graphicData uri="http://schemas.openxmlformats.org/drawingml/2006/picture">
                            <pic:pic xmlns:pic="http://schemas.openxmlformats.org/drawingml/2006/picture">
                              <pic:nvPicPr>
                                <pic:cNvPr id="6" name="Logo"/>
                                <pic:cNvPicPr/>
                              </pic:nvPicPr>
                              <pic:blipFill>
                                <a:blip xmlns:r="http://schemas.openxmlformats.org/officeDocument/2006/relationships" r:embed="rId1"/>
                                <a:stretch>
                                  <a:fillRect/>
                                </a:stretch>
                              </pic:blipFill>
                              <pic:spPr bwMode="auto">
                                <a:xfrm>
                                  <a:off x="0" y="0"/>
                                  <a:ext cx="467995" cy="1583865"/>
                                </a:xfrm>
                                <a:prstGeom prst="rect">
                                  <a:avLst/>
                                </a:prstGeom>
                              </pic:spPr>
                            </pic:pic>
                          </a:graphicData>
                        </a:graphic>
                      </wp:inline>
                    </w:drawing>
                  </w:p>
                </w:txbxContent>
              </v:textbox>
              <w10:anchorlock/>
            </v:shape>
          </w:pict>
        </mc:Fallback>
      </mc:AlternateContent>
    </w:r>
    <w:r>
      <w:rPr>
        <w:noProof/>
      </w:rPr>
      <mc:AlternateContent>
        <mc:Choice Requires="wps">
          <w:drawing>
            <wp:anchor distT="0" distB="0" distL="0" distR="0" simplePos="0" relativeHeight="251668480" behindDoc="0" locked="1" layoutInCell="1" allowOverlap="1">
              <wp:simplePos x="0" y="0"/>
              <wp:positionH relativeFrom="page">
                <wp:posOffset>3995420</wp:posOffset>
              </wp:positionH>
              <wp:positionV relativeFrom="paragraph">
                <wp:posOffset>0</wp:posOffset>
              </wp:positionV>
              <wp:extent cx="2339975" cy="1583690"/>
              <wp:effectExtent l="0" t="0" r="0" b="0"/>
              <wp:wrapNone/>
              <wp:docPr id="7" name="583cb846-a587-474e-9efc-17a024d629a0" descr="Container voor woordmerk"/>
              <wp:cNvGraphicFramePr/>
              <a:graphic xmlns:a="http://schemas.openxmlformats.org/drawingml/2006/main">
                <a:graphicData uri="http://schemas.microsoft.com/office/word/2010/wordprocessingShape">
                  <wps:wsp xmlns:wps="http://schemas.microsoft.com/office/word/2010/wordprocessingShape">
                    <wps:cNvSpPr txBox="1"/>
                    <wps:spPr>
                      <a:xfrm>
                        <a:off x="0" y="0"/>
                        <a:ext cx="2339975" cy="1583690"/>
                      </a:xfrm>
                      <a:prstGeom prst="rect">
                        <a:avLst/>
                      </a:prstGeom>
                      <a:noFill/>
                    </wps:spPr>
                    <wps:txbx>
                      <w:txbxContent>
                        <w:p w:rsidR="00742837" w14:textId="77777777">
                          <w:pPr>
                            <w:spacing w:line="240" w:lineRule="auto"/>
                          </w:pPr>
                          <w:r>
                            <w:rPr>
                              <w:noProof/>
                            </w:rPr>
                            <w:drawing>
                              <wp:inline distT="0" distB="0" distL="0" distR="0">
                                <wp:extent cx="2339975" cy="1582834"/>
                                <wp:effectExtent l="0" t="0" r="0" b="0"/>
                                <wp:docPr id="1936722124" name="Logotype" descr="Ministerie van Binnenlandse Zaken en Koninkrijksrelaties"/>
                                <wp:cNvGraphicFramePr/>
                                <a:graphic xmlns:a="http://schemas.openxmlformats.org/drawingml/2006/main">
                                  <a:graphicData uri="http://schemas.openxmlformats.org/drawingml/2006/picture">
                                    <pic:pic xmlns:pic="http://schemas.openxmlformats.org/drawingml/2006/picture">
                                      <pic:nvPicPr>
                                        <pic:cNvPr id="1936722124" name="Logotype"/>
                                        <pic:cNvPicPr/>
                                      </pic:nvPicPr>
                                      <pic:blipFill>
                                        <a:blip xmlns:r="http://schemas.openxmlformats.org/officeDocument/2006/relationships" r:embed="rId2"/>
                                        <a:stretch>
                                          <a:fillRect/>
                                        </a:stretch>
                                      </pic:blipFill>
                                      <pic:spPr bwMode="auto">
                                        <a:xfrm>
                                          <a:off x="0" y="0"/>
                                          <a:ext cx="2339975" cy="1582834"/>
                                        </a:xfrm>
                                        <a:prstGeom prst="rect">
                                          <a:avLst/>
                                        </a:prstGeom>
                                      </pic:spPr>
                                    </pic:pic>
                                  </a:graphicData>
                                </a:graphic>
                              </wp:inline>
                            </w:drawing>
                          </w:r>
                        </w:p>
                      </w:txbxContent>
                    </wps:txbx>
                    <wps:bodyPr vert="horz" wrap="square" lIns="0" tIns="0" rIns="0" bIns="0" anchor="t" anchorCtr="0"/>
                  </wps:wsp>
                </a:graphicData>
              </a:graphic>
            </wp:anchor>
          </w:drawing>
        </mc:Choice>
        <mc:Fallback>
          <w:pict>
            <v:shape id="583cb846-a587-474e-9efc-17a024d629a0" o:spid="_x0000_s2054" type="#_x0000_t202" alt="Container voor woordmerk" style="width:184.25pt;height:124.7pt;margin-top:0;margin-left:314.6pt;mso-position-horizontal-relative:page;mso-wrap-distance-bottom:0;mso-wrap-distance-left:0;mso-wrap-distance-right:0;mso-wrap-distance-top:0;mso-wrap-style:square;position:absolute;v-text-anchor:top;visibility:visible;z-index:251669504" filled="f" stroked="f">
              <v:textbox inset="0,0,0,0">
                <w:txbxContent>
                  <w:p w:rsidR="00742837" w14:paraId="51E934B6" w14:textId="77777777">
                    <w:pPr>
                      <w:spacing w:line="240" w:lineRule="auto"/>
                    </w:pPr>
                    <w:drawing>
                      <wp:inline distT="0" distB="0" distL="0" distR="0">
                        <wp:extent cx="2339975" cy="1582834"/>
                        <wp:effectExtent l="0" t="0" r="0" b="0"/>
                        <wp:docPr id="8" name="Logotype" descr="Ministerie van Binnenlandse Zaken en Koninkrijksrelaties"/>
                        <wp:cNvGraphicFramePr/>
                        <a:graphic xmlns:a="http://schemas.openxmlformats.org/drawingml/2006/main">
                          <a:graphicData uri="http://schemas.openxmlformats.org/drawingml/2006/picture">
                            <pic:pic xmlns:pic="http://schemas.openxmlformats.org/drawingml/2006/picture">
                              <pic:nvPicPr>
                                <pic:cNvPr id="8" name="Logotype"/>
                                <pic:cNvPicPr/>
                              </pic:nvPicPr>
                              <pic:blipFill>
                                <a:blip xmlns:r="http://schemas.openxmlformats.org/officeDocument/2006/relationships" r:embed="rId2"/>
                                <a:stretch>
                                  <a:fillRect/>
                                </a:stretch>
                              </pic:blipFill>
                              <pic:spPr bwMode="auto">
                                <a:xfrm>
                                  <a:off x="0" y="0"/>
                                  <a:ext cx="2339975" cy="1582834"/>
                                </a:xfrm>
                                <a:prstGeom prst="rect">
                                  <a:avLst/>
                                </a:prstGeom>
                              </pic:spPr>
                            </pic:pic>
                          </a:graphicData>
                        </a:graphic>
                      </wp:inline>
                    </w:drawing>
                  </w:p>
                </w:txbxContent>
              </v:textbox>
              <w10:anchorlock/>
            </v:shape>
          </w:pict>
        </mc:Fallback>
      </mc:AlternateContent>
    </w:r>
    <w:r>
      <w:rPr>
        <w:noProof/>
      </w:rPr>
      <mc:AlternateContent>
        <mc:Choice Requires="wps">
          <w:drawing>
            <wp:anchor distT="0" distB="0" distL="0" distR="0" simplePos="0" relativeHeight="251670528" behindDoc="0" locked="1" layoutInCell="1" allowOverlap="1">
              <wp:simplePos x="0" y="0"/>
              <wp:positionH relativeFrom="page">
                <wp:posOffset>1010919</wp:posOffset>
              </wp:positionH>
              <wp:positionV relativeFrom="paragraph">
                <wp:posOffset>1720214</wp:posOffset>
              </wp:positionV>
              <wp:extent cx="4787900" cy="161925"/>
              <wp:effectExtent l="0" t="0" r="0" b="0"/>
              <wp:wrapNone/>
              <wp:docPr id="9" name="f053fe88-db2b-430b-bcc5-fbb915a19314"/>
              <wp:cNvGraphicFramePr/>
              <a:graphic xmlns:a="http://schemas.openxmlformats.org/drawingml/2006/main">
                <a:graphicData uri="http://schemas.microsoft.com/office/word/2010/wordprocessingShape">
                  <wps:wsp xmlns:wps="http://schemas.microsoft.com/office/word/2010/wordprocessingShape">
                    <wps:cNvSpPr txBox="1"/>
                    <wps:spPr>
                      <a:xfrm>
                        <a:off x="0" y="0"/>
                        <a:ext cx="4787900" cy="161925"/>
                      </a:xfrm>
                      <a:prstGeom prst="rect">
                        <a:avLst/>
                      </a:prstGeom>
                      <a:noFill/>
                    </wps:spPr>
                    <wps:txbx>
                      <w:txbxContent>
                        <w:p w:rsidR="00742837" w14:textId="77777777">
                          <w:pPr>
                            <w:pStyle w:val="Referentiegegevens"/>
                          </w:pPr>
                          <w:r>
                            <w:t>&gt; Retouradres Postbus 20011 2500 EA  Den Haag</w:t>
                          </w:r>
                        </w:p>
                      </w:txbxContent>
                    </wps:txbx>
                    <wps:bodyPr vert="horz" wrap="square" lIns="0" tIns="0" rIns="0" bIns="0" anchor="t" anchorCtr="0"/>
                  </wps:wsp>
                </a:graphicData>
              </a:graphic>
            </wp:anchor>
          </w:drawing>
        </mc:Choice>
        <mc:Fallback>
          <w:pict>
            <v:shape id="f053fe88-db2b-430b-bcc5-fbb915a19314" o:spid="_x0000_s2055" type="#_x0000_t202" style="width:377pt;height:12.75pt;margin-top:135.45pt;margin-left:79.6pt;mso-position-horizontal-relative:page;mso-wrap-distance-bottom:0;mso-wrap-distance-left:0;mso-wrap-distance-right:0;mso-wrap-distance-top:0;mso-wrap-style:square;position:absolute;v-text-anchor:top;visibility:visible;z-index:251671552" filled="f" stroked="f">
              <v:textbox inset="0,0,0,0">
                <w:txbxContent>
                  <w:p w:rsidR="00742837" w14:paraId="37D65D68" w14:textId="77777777">
                    <w:pPr>
                      <w:pStyle w:val="Referentiegegevens"/>
                    </w:pPr>
                    <w:r>
                      <w:t>&gt; Retouradres Postbus 20011 2500 EA  Den Haag</w:t>
                    </w:r>
                  </w:p>
                </w:txbxContent>
              </v:textbox>
              <w10:anchorlock/>
            </v:shape>
          </w:pict>
        </mc:Fallback>
      </mc:AlternateContent>
    </w:r>
    <w:r>
      <w:rPr>
        <w:noProof/>
      </w:rPr>
      <mc:AlternateContent>
        <mc:Choice Requires="wps">
          <w:drawing>
            <wp:anchor distT="0" distB="0" distL="0" distR="0" simplePos="0" relativeHeight="251672576" behindDoc="0" locked="1" layoutInCell="1" allowOverlap="1">
              <wp:simplePos x="0" y="0"/>
              <wp:positionH relativeFrom="page">
                <wp:posOffset>1007744</wp:posOffset>
              </wp:positionH>
              <wp:positionV relativeFrom="paragraph">
                <wp:posOffset>1954530</wp:posOffset>
              </wp:positionV>
              <wp:extent cx="4787900" cy="1115695"/>
              <wp:effectExtent l="0" t="0" r="0" b="0"/>
              <wp:wrapNone/>
              <wp:docPr id="10" name="d302f2a1-bb28-4417-9701-e3b1450e5fb6" descr="Adresvak"/>
              <wp:cNvGraphicFramePr/>
              <a:graphic xmlns:a="http://schemas.openxmlformats.org/drawingml/2006/main">
                <a:graphicData uri="http://schemas.microsoft.com/office/word/2010/wordprocessingShape">
                  <wps:wsp xmlns:wps="http://schemas.microsoft.com/office/word/2010/wordprocessingShape">
                    <wps:cNvSpPr txBox="1"/>
                    <wps:spPr>
                      <a:xfrm>
                        <a:off x="0" y="0"/>
                        <a:ext cx="4787900" cy="1115695"/>
                      </a:xfrm>
                      <a:prstGeom prst="rect">
                        <a:avLst/>
                      </a:prstGeom>
                      <a:noFill/>
                    </wps:spPr>
                    <wps:txbx>
                      <w:txbxContent>
                        <w:p w:rsidR="0097474B" w14:textId="77777777">
                          <w:r>
                            <w:t xml:space="preserve">Aan de Voorzitter van de Tweede Kamer der Staten-Generaal </w:t>
                          </w:r>
                        </w:p>
                        <w:p w:rsidR="00B62A5C" w14:textId="77777777">
                          <w:r>
                            <w:t xml:space="preserve">Postbus 20018 </w:t>
                          </w:r>
                        </w:p>
                        <w:p w:rsidR="00B62A5C" w14:textId="77777777">
                          <w:r>
                            <w:t xml:space="preserve">2500 EA Den Haag </w:t>
                          </w:r>
                        </w:p>
                      </w:txbxContent>
                    </wps:txbx>
                    <wps:bodyPr vert="horz" wrap="square" lIns="0" tIns="0" rIns="0" bIns="0" anchor="t" anchorCtr="0"/>
                  </wps:wsp>
                </a:graphicData>
              </a:graphic>
            </wp:anchor>
          </w:drawing>
        </mc:Choice>
        <mc:Fallback>
          <w:pict>
            <v:shape id="d302f2a1-bb28-4417-9701-e3b1450e5fb6" o:spid="_x0000_s2056" type="#_x0000_t202" alt="Adresvak" style="width:377pt;height:87.85pt;margin-top:153.9pt;margin-left:79.35pt;mso-position-horizontal-relative:page;mso-wrap-distance-bottom:0;mso-wrap-distance-left:0;mso-wrap-distance-right:0;mso-wrap-distance-top:0;mso-wrap-style:square;position:absolute;v-text-anchor:top;visibility:visible;z-index:251673600" filled="f" stroked="f">
              <v:textbox inset="0,0,0,0">
                <w:txbxContent>
                  <w:p w:rsidR="0097474B" w14:paraId="272D9CFE" w14:textId="77777777">
                    <w:r>
                      <w:t xml:space="preserve">Aan de Voorzitter van de Tweede Kamer der Staten-Generaal </w:t>
                    </w:r>
                  </w:p>
                  <w:p w:rsidR="00B62A5C" w14:paraId="1BEC7765" w14:textId="77777777">
                    <w:r>
                      <w:t xml:space="preserve">Postbus 20018 </w:t>
                    </w:r>
                  </w:p>
                  <w:p w:rsidR="00B62A5C" w14:paraId="59AD1D3B" w14:textId="77777777">
                    <w:r>
                      <w:t xml:space="preserve">2500 EA Den Haag </w:t>
                    </w:r>
                  </w:p>
                </w:txbxContent>
              </v:textbox>
              <w10:anchorlock/>
            </v:shape>
          </w:pict>
        </mc:Fallback>
      </mc:AlternateContent>
    </w:r>
    <w:r>
      <w:rPr>
        <w:noProof/>
      </w:rPr>
      <mc:AlternateContent>
        <mc:Choice Requires="wps">
          <w:drawing>
            <wp:anchor distT="0" distB="0" distL="0" distR="0" simplePos="0" relativeHeight="251674624" behindDoc="0" locked="1" layoutInCell="1" allowOverlap="1">
              <wp:simplePos x="0" y="0"/>
              <wp:positionH relativeFrom="margin">
                <wp:align>left</wp:align>
              </wp:positionH>
              <wp:positionV relativeFrom="paragraph">
                <wp:posOffset>3352800</wp:posOffset>
              </wp:positionV>
              <wp:extent cx="4810125" cy="638175"/>
              <wp:effectExtent l="0" t="0" r="0" b="0"/>
              <wp:wrapNone/>
              <wp:docPr id="11" name="1670fa0c-13cb-45ec-92be-ef1f34d237c5"/>
              <wp:cNvGraphicFramePr/>
              <a:graphic xmlns:a="http://schemas.openxmlformats.org/drawingml/2006/main">
                <a:graphicData uri="http://schemas.microsoft.com/office/word/2010/wordprocessingShape">
                  <wps:wsp xmlns:wps="http://schemas.microsoft.com/office/word/2010/wordprocessingShape">
                    <wps:cNvSpPr txBox="1"/>
                    <wps:spPr>
                      <a:xfrm>
                        <a:off x="0" y="0"/>
                        <a:ext cx="4810125" cy="638175"/>
                      </a:xfrm>
                      <a:prstGeom prst="rect">
                        <a:avLst/>
                      </a:prstGeom>
                      <a:noFill/>
                    </wps:spPr>
                    <wps:txbx>
                      <w:txbxContent>
                        <w:tbl>
                          <w:tblPr>
                            <w:tblW w:w="0" w:type="auto"/>
                            <w:tblLayout w:type="fixed"/>
                            <w:tblLook w:val="0740"/>
                          </w:tblPr>
                          <w:tblGrid>
                            <w:gridCol w:w="1140"/>
                            <w:gridCol w:w="5918"/>
                          </w:tblGrid>
                          <w:tr w14:paraId="668F1237" w14:textId="77777777">
                            <w:tblPrEx>
                              <w:tblW w:w="0" w:type="auto"/>
                              <w:tblLayout w:type="fixed"/>
                              <w:tblLook w:val="0740"/>
                            </w:tblPrEx>
                            <w:trPr>
                              <w:trHeight w:val="240"/>
                            </w:trPr>
                            <w:tc>
                              <w:tcPr>
                                <w:tcW w:w="1140" w:type="dxa"/>
                              </w:tcPr>
                              <w:p w:rsidR="00742837" w14:textId="77777777">
                                <w:r>
                                  <w:t>Datum</w:t>
                                </w:r>
                              </w:p>
                            </w:tc>
                            <w:tc>
                              <w:tcPr>
                                <w:tcW w:w="5918" w:type="dxa"/>
                              </w:tcPr>
                              <w:p w:rsidR="00742837" w14:textId="5BD9CE11">
                                <w:r>
                                  <w:t>2 november 2026</w:t>
                                </w:r>
                              </w:p>
                            </w:tc>
                          </w:tr>
                          <w:tr w14:paraId="4ACA9B8E" w14:textId="77777777">
                            <w:tblPrEx>
                              <w:tblW w:w="0" w:type="auto"/>
                              <w:tblLayout w:type="fixed"/>
                              <w:tblLook w:val="0740"/>
                            </w:tblPrEx>
                            <w:trPr>
                              <w:trHeight w:val="240"/>
                            </w:trPr>
                            <w:tc>
                              <w:tcPr>
                                <w:tcW w:w="1140" w:type="dxa"/>
                              </w:tcPr>
                              <w:p w:rsidR="00742837" w14:textId="77777777">
                                <w:r>
                                  <w:t>Betreft</w:t>
                                </w:r>
                              </w:p>
                            </w:tc>
                            <w:tc>
                              <w:tcPr>
                                <w:tcW w:w="5918" w:type="dxa"/>
                              </w:tcPr>
                              <w:p w:rsidR="00C43D6B" w14:textId="0BC87663">
                                <w:r>
                                  <w:fldChar w:fldCharType="begin"/>
                                </w:r>
                                <w:r>
                                  <w:instrText xml:space="preserve"> DOCPROPERTY  "Onderwerp"  \* MERGEFORMAT </w:instrText>
                                </w:r>
                                <w:r>
                                  <w:fldChar w:fldCharType="separate"/>
                                </w:r>
                                <w:r w:rsidR="00703D5E">
                                  <w:t xml:space="preserve">Motie van de leden Van Nispen en </w:t>
                                </w:r>
                                <w:r w:rsidR="00703D5E">
                                  <w:t>Chakor</w:t>
                                </w:r>
                                <w:r w:rsidR="00703D5E">
                                  <w:t xml:space="preserve"> inzake toepassing van het nummerherkenningssysteem bij het Huis voor Klokkenluiders</w:t>
                                </w:r>
                                <w:r>
                                  <w:fldChar w:fldCharType="end"/>
                                </w:r>
                              </w:p>
                            </w:tc>
                          </w:tr>
                        </w:tbl>
                        <w:p w:rsidR="0097474B" w14:textId="77777777"/>
                      </w:txbxContent>
                    </wps:txbx>
                    <wps:bodyPr vert="horz" wrap="square" lIns="0" tIns="0" rIns="0" bIns="0" anchor="t" anchorCtr="0"/>
                  </wps:wsp>
                </a:graphicData>
              </a:graphic>
              <wp14:sizeRelH relativeFrom="margin">
                <wp14:pctWidth>0</wp14:pctWidth>
              </wp14:sizeRelH>
              <wp14:sizeRelV relativeFrom="margin">
                <wp14:pctHeight>0</wp14:pctHeight>
              </wp14:sizeRelV>
            </wp:anchor>
          </w:drawing>
        </mc:Choice>
        <mc:Fallback>
          <w:pict>
            <v:shape id="1670fa0c-13cb-45ec-92be-ef1f34d237c5" o:spid="_x0000_s2057" type="#_x0000_t202" style="width:378.75pt;height:50.25pt;margin-top:264pt;margin-left:0;mso-height-percent:0;mso-height-relative:margin;mso-position-horizontal:left;mso-position-horizontal-relative:margin;mso-width-percent:0;mso-width-relative:margin;mso-wrap-distance-bottom:0;mso-wrap-distance-left:0;mso-wrap-distance-right:0;mso-wrap-distance-top:0;mso-wrap-style:square;position:absolute;v-text-anchor:top;visibility:visible;z-index:251675648" filled="f" stroked="f">
              <v:textbox inset="0,0,0,0">
                <w:txbxContent>
                  <w:tbl>
                    <w:tblPr>
                      <w:tblW w:w="0" w:type="auto"/>
                      <w:tblLayout w:type="fixed"/>
                      <w:tblLook w:val="0740"/>
                    </w:tblPr>
                    <w:tblGrid>
                      <w:gridCol w:w="1140"/>
                      <w:gridCol w:w="5918"/>
                    </w:tblGrid>
                    <w:tr w14:paraId="668F1236" w14:textId="77777777">
                      <w:tblPrEx>
                        <w:tblW w:w="0" w:type="auto"/>
                        <w:tblLayout w:type="fixed"/>
                        <w:tblLook w:val="0740"/>
                      </w:tblPrEx>
                      <w:trPr>
                        <w:trHeight w:val="240"/>
                      </w:trPr>
                      <w:tc>
                        <w:tcPr>
                          <w:tcW w:w="1140" w:type="dxa"/>
                        </w:tcPr>
                        <w:p w:rsidR="00742837" w14:paraId="04C15F09" w14:textId="77777777">
                          <w:r>
                            <w:t>Datum</w:t>
                          </w:r>
                        </w:p>
                      </w:tc>
                      <w:tc>
                        <w:tcPr>
                          <w:tcW w:w="5918" w:type="dxa"/>
                        </w:tcPr>
                        <w:p w:rsidR="00742837" w14:paraId="09679A17" w14:textId="5BD9CE11">
                          <w:r>
                            <w:t>2 november 2026</w:t>
                          </w:r>
                        </w:p>
                      </w:tc>
                    </w:tr>
                    <w:tr w14:paraId="4ACA9B8D" w14:textId="77777777">
                      <w:tblPrEx>
                        <w:tblW w:w="0" w:type="auto"/>
                        <w:tblLayout w:type="fixed"/>
                        <w:tblLook w:val="0740"/>
                      </w:tblPrEx>
                      <w:trPr>
                        <w:trHeight w:val="240"/>
                      </w:trPr>
                      <w:tc>
                        <w:tcPr>
                          <w:tcW w:w="1140" w:type="dxa"/>
                        </w:tcPr>
                        <w:p w:rsidR="00742837" w14:paraId="19BA81C1" w14:textId="77777777">
                          <w:r>
                            <w:t>Betreft</w:t>
                          </w:r>
                        </w:p>
                      </w:tc>
                      <w:tc>
                        <w:tcPr>
                          <w:tcW w:w="5918" w:type="dxa"/>
                        </w:tcPr>
                        <w:p w:rsidR="00C43D6B" w14:paraId="23107E51" w14:textId="0BC87663">
                          <w:r>
                            <w:fldChar w:fldCharType="begin"/>
                          </w:r>
                          <w:r>
                            <w:instrText xml:space="preserve"> DOCPROPERTY  "Onderwerp"  \* MERGEFORMAT </w:instrText>
                          </w:r>
                          <w:r>
                            <w:fldChar w:fldCharType="separate"/>
                          </w:r>
                          <w:r w:rsidR="00703D5E">
                            <w:t xml:space="preserve">Motie van de leden Van Nispen en </w:t>
                          </w:r>
                          <w:r w:rsidR="00703D5E">
                            <w:t>Chakor</w:t>
                          </w:r>
                          <w:r w:rsidR="00703D5E">
                            <w:t xml:space="preserve"> inzake toepassing van het nummerherkenningssysteem bij het Huis voor Klokkenluiders</w:t>
                          </w:r>
                          <w:r>
                            <w:fldChar w:fldCharType="end"/>
                          </w:r>
                        </w:p>
                      </w:tc>
                    </w:tr>
                  </w:tbl>
                  <w:p w:rsidR="0097474B" w14:paraId="59BE5DEB" w14:textId="77777777"/>
                </w:txbxContent>
              </v:textbox>
              <w10:wrap anchorx="margin"/>
              <w10:anchorlock/>
            </v:shape>
          </w:pict>
        </mc:Fallback>
      </mc:AlternateContent>
    </w:r>
    <w:r>
      <w:rPr>
        <w:noProof/>
      </w:rPr>
      <mc:AlternateContent>
        <mc:Choice Requires="wps">
          <w:drawing>
            <wp:anchor distT="0" distB="0" distL="0" distR="0" simplePos="0" relativeHeight="251677696" behindDoc="0" locked="1" layoutInCell="1" allowOverlap="1">
              <wp:simplePos x="0" y="0"/>
              <wp:positionH relativeFrom="page">
                <wp:posOffset>5921375</wp:posOffset>
              </wp:positionH>
              <wp:positionV relativeFrom="paragraph">
                <wp:posOffset>1965325</wp:posOffset>
              </wp:positionV>
              <wp:extent cx="1277620" cy="8009890"/>
              <wp:effectExtent l="0" t="0" r="0" b="0"/>
              <wp:wrapNone/>
              <wp:docPr id="12" name="aa29ef58-fa5a-4ef1-bc47-43f659f7c670" descr="Colofon"/>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7620" cy="8009890"/>
                      </a:xfrm>
                      <a:prstGeom prst="rect">
                        <a:avLst/>
                      </a:prstGeom>
                      <a:noFill/>
                    </wps:spPr>
                    <wps:txbx>
                      <w:txbxContent>
                        <w:p w:rsidR="00742837" w14:textId="77777777">
                          <w:pPr>
                            <w:pStyle w:val="WitregelW1"/>
                          </w:pPr>
                        </w:p>
                        <w:p w:rsidR="00742837" w:rsidRPr="00B62A5C" w14:textId="77777777">
                          <w:pPr>
                            <w:pStyle w:val="Referentiegegevens"/>
                            <w:rPr>
                              <w:lang w:val="de-DE"/>
                            </w:rPr>
                          </w:pPr>
                          <w:r w:rsidRPr="00B62A5C">
                            <w:rPr>
                              <w:lang w:val="de-DE"/>
                            </w:rPr>
                            <w:t>Turfmarkt</w:t>
                          </w:r>
                          <w:r w:rsidRPr="00B62A5C">
                            <w:rPr>
                              <w:lang w:val="de-DE"/>
                            </w:rPr>
                            <w:t xml:space="preserve"> 147</w:t>
                          </w:r>
                        </w:p>
                        <w:p w:rsidR="00742837" w:rsidRPr="00B62A5C" w14:textId="77777777">
                          <w:pPr>
                            <w:pStyle w:val="Referentiegegevens"/>
                            <w:rPr>
                              <w:lang w:val="de-DE"/>
                            </w:rPr>
                          </w:pPr>
                          <w:r w:rsidRPr="00B62A5C">
                            <w:rPr>
                              <w:lang w:val="de-DE"/>
                            </w:rPr>
                            <w:t>2511 DP  Den Haag</w:t>
                          </w:r>
                        </w:p>
                        <w:p w:rsidR="00742837" w:rsidRPr="00B62A5C" w14:textId="77777777">
                          <w:pPr>
                            <w:pStyle w:val="Referentiegegevens"/>
                            <w:rPr>
                              <w:lang w:val="de-DE"/>
                            </w:rPr>
                          </w:pPr>
                          <w:r w:rsidRPr="00B62A5C">
                            <w:rPr>
                              <w:lang w:val="de-DE"/>
                            </w:rPr>
                            <w:t>Postbus 20011</w:t>
                          </w:r>
                        </w:p>
                        <w:p w:rsidR="00742837" w:rsidRPr="00B62A5C" w14:textId="77777777">
                          <w:pPr>
                            <w:pStyle w:val="Referentiegegevens"/>
                            <w:rPr>
                              <w:lang w:val="de-DE"/>
                            </w:rPr>
                          </w:pPr>
                          <w:r w:rsidRPr="00B62A5C">
                            <w:rPr>
                              <w:lang w:val="de-DE"/>
                            </w:rPr>
                            <w:t>2500 EA  Den Haag</w:t>
                          </w:r>
                        </w:p>
                        <w:p w:rsidR="00742837" w:rsidRPr="00B62A5C" w14:textId="77777777">
                          <w:pPr>
                            <w:pStyle w:val="Referentiegegevens"/>
                            <w:rPr>
                              <w:lang w:val="de-DE"/>
                            </w:rPr>
                          </w:pPr>
                          <w:r w:rsidRPr="00B62A5C">
                            <w:rPr>
                              <w:lang w:val="de-DE"/>
                            </w:rPr>
                            <w:t>www.rijksoverheid.nl</w:t>
                          </w:r>
                        </w:p>
                        <w:p w:rsidR="00742837" w:rsidRPr="00B62A5C" w14:textId="77777777">
                          <w:pPr>
                            <w:pStyle w:val="WitregelW1"/>
                            <w:rPr>
                              <w:lang w:val="de-DE"/>
                            </w:rPr>
                          </w:pPr>
                        </w:p>
                        <w:p w:rsidR="00742837" w:rsidRPr="00D1563D" w14:textId="77777777">
                          <w:pPr>
                            <w:pStyle w:val="WitregelW2"/>
                            <w:rPr>
                              <w:lang w:val="de-DE"/>
                            </w:rPr>
                          </w:pPr>
                        </w:p>
                        <w:p w:rsidR="00742837" w14:textId="77777777">
                          <w:pPr>
                            <w:pStyle w:val="Referentiegegevensbold"/>
                          </w:pPr>
                          <w:r>
                            <w:t>Onze referentie</w:t>
                          </w:r>
                        </w:p>
                        <w:p w:rsidR="00675B7E" w14:textId="384CF2A6">
                          <w:pPr>
                            <w:pStyle w:val="Referentiegegevens"/>
                          </w:pPr>
                          <w:r w:rsidRPr="00ED3868">
                            <w:t>2026-0000530011</w:t>
                          </w:r>
                        </w:p>
                      </w:txbxContent>
                    </wps:txbx>
                    <wps:bodyPr vert="horz" wrap="square" lIns="0" tIns="0" rIns="0" bIns="0" anchor="t" anchorCtr="0"/>
                  </wps:wsp>
                </a:graphicData>
              </a:graphic>
            </wp:anchor>
          </w:drawing>
        </mc:Choice>
        <mc:Fallback>
          <w:pict>
            <v:shape id="aa29ef58-fa5a-4ef1-bc47-43f659f7c670" o:spid="_x0000_s2058" type="#_x0000_t202" alt="Colofon" style="width:100.6pt;height:630.7pt;margin-top:154.75pt;margin-left:466.25pt;mso-position-horizontal-relative:page;mso-wrap-distance-bottom:0;mso-wrap-distance-left:0;mso-wrap-distance-right:0;mso-wrap-distance-top:0;position:absolute;v-text-anchor:top;z-index:251676672" filled="f" fillcolor="this">
              <v:textbox inset="0,0,0,0">
                <w:txbxContent>
                  <w:p w:rsidR="00742837" w14:paraId="01BE2077" w14:textId="77777777">
                    <w:pPr>
                      <w:pStyle w:val="WitregelW1"/>
                    </w:pPr>
                  </w:p>
                  <w:p w:rsidR="00742837" w:rsidRPr="00B62A5C" w14:paraId="75F033CB" w14:textId="77777777">
                    <w:pPr>
                      <w:pStyle w:val="Referentiegegevens"/>
                      <w:rPr>
                        <w:lang w:val="de-DE"/>
                      </w:rPr>
                    </w:pPr>
                    <w:r w:rsidRPr="00B62A5C">
                      <w:rPr>
                        <w:lang w:val="de-DE"/>
                      </w:rPr>
                      <w:t>Turfmarkt</w:t>
                    </w:r>
                    <w:r w:rsidRPr="00B62A5C">
                      <w:rPr>
                        <w:lang w:val="de-DE"/>
                      </w:rPr>
                      <w:t xml:space="preserve"> 147</w:t>
                    </w:r>
                  </w:p>
                  <w:p w:rsidR="00742837" w:rsidRPr="00B62A5C" w14:paraId="1AFFE64A" w14:textId="77777777">
                    <w:pPr>
                      <w:pStyle w:val="Referentiegegevens"/>
                      <w:rPr>
                        <w:lang w:val="de-DE"/>
                      </w:rPr>
                    </w:pPr>
                    <w:r w:rsidRPr="00B62A5C">
                      <w:rPr>
                        <w:lang w:val="de-DE"/>
                      </w:rPr>
                      <w:t>2511 DP  Den Haag</w:t>
                    </w:r>
                  </w:p>
                  <w:p w:rsidR="00742837" w:rsidRPr="00B62A5C" w14:paraId="663272E2" w14:textId="77777777">
                    <w:pPr>
                      <w:pStyle w:val="Referentiegegevens"/>
                      <w:rPr>
                        <w:lang w:val="de-DE"/>
                      </w:rPr>
                    </w:pPr>
                    <w:r w:rsidRPr="00B62A5C">
                      <w:rPr>
                        <w:lang w:val="de-DE"/>
                      </w:rPr>
                      <w:t>Postbus 20011</w:t>
                    </w:r>
                  </w:p>
                  <w:p w:rsidR="00742837" w:rsidRPr="00B62A5C" w14:paraId="386E2550" w14:textId="77777777">
                    <w:pPr>
                      <w:pStyle w:val="Referentiegegevens"/>
                      <w:rPr>
                        <w:lang w:val="de-DE"/>
                      </w:rPr>
                    </w:pPr>
                    <w:r w:rsidRPr="00B62A5C">
                      <w:rPr>
                        <w:lang w:val="de-DE"/>
                      </w:rPr>
                      <w:t>2500 EA  Den Haag</w:t>
                    </w:r>
                  </w:p>
                  <w:p w:rsidR="00742837" w:rsidRPr="00B62A5C" w14:paraId="749A4666" w14:textId="77777777">
                    <w:pPr>
                      <w:pStyle w:val="Referentiegegevens"/>
                      <w:rPr>
                        <w:lang w:val="de-DE"/>
                      </w:rPr>
                    </w:pPr>
                    <w:r w:rsidRPr="00B62A5C">
                      <w:rPr>
                        <w:lang w:val="de-DE"/>
                      </w:rPr>
                      <w:t>www.rijksoverheid.nl</w:t>
                    </w:r>
                  </w:p>
                  <w:p w:rsidR="00742837" w:rsidRPr="00B62A5C" w14:paraId="5D8BBD2D" w14:textId="77777777">
                    <w:pPr>
                      <w:pStyle w:val="WitregelW1"/>
                      <w:rPr>
                        <w:lang w:val="de-DE"/>
                      </w:rPr>
                    </w:pPr>
                  </w:p>
                  <w:p w:rsidR="00742837" w:rsidRPr="00D1563D" w14:paraId="54E54695" w14:textId="77777777">
                    <w:pPr>
                      <w:pStyle w:val="WitregelW2"/>
                      <w:rPr>
                        <w:lang w:val="de-DE"/>
                      </w:rPr>
                    </w:pPr>
                  </w:p>
                  <w:p w:rsidR="00742837" w14:paraId="7AD196CB" w14:textId="77777777">
                    <w:pPr>
                      <w:pStyle w:val="Referentiegegevensbold"/>
                    </w:pPr>
                    <w:r>
                      <w:t>Onze referentie</w:t>
                    </w:r>
                  </w:p>
                  <w:p w:rsidR="00675B7E" w14:paraId="5592F3B0" w14:textId="384CF2A6">
                    <w:pPr>
                      <w:pStyle w:val="Referentiegegevens"/>
                    </w:pPr>
                    <w:r w:rsidRPr="00ED3868">
                      <w:t>2026-0000530011</w:t>
                    </w:r>
                  </w:p>
                </w:txbxContent>
              </v:textbox>
              <w10:anchorlock/>
            </v:shape>
          </w:pict>
        </mc:Fallback>
      </mc:AlternateContent>
    </w:r>
    <w:r>
      <w:rPr>
        <w:noProof/>
      </w:rPr>
      <mc:AlternateContent>
        <mc:Choice Requires="wps">
          <w:drawing>
            <wp:anchor distT="0" distB="0" distL="0" distR="0" simplePos="0" relativeHeight="251678720" behindDoc="0" locked="1" layoutInCell="1" allowOverlap="1">
              <wp:simplePos x="0" y="0"/>
              <wp:positionH relativeFrom="page">
                <wp:posOffset>5921375</wp:posOffset>
              </wp:positionH>
              <wp:positionV relativeFrom="paragraph">
                <wp:posOffset>10194925</wp:posOffset>
              </wp:positionV>
              <wp:extent cx="1285875" cy="161290"/>
              <wp:effectExtent l="0" t="0" r="0" b="0"/>
              <wp:wrapNone/>
              <wp:docPr id="13" name="fc795519-edb4-40fa-b772-922592680a29" descr="Paginanummering"/>
              <wp:cNvGraphicFramePr/>
              <a:graphic xmlns:a="http://schemas.openxmlformats.org/drawingml/2006/main">
                <a:graphicData uri="http://schemas.microsoft.com/office/word/2010/wordprocessingShape">
                  <wps:wsp xmlns:wps="http://schemas.microsoft.com/office/word/2010/wordprocessingShape">
                    <wps:cNvSpPr txBox="1"/>
                    <wps:spPr>
                      <a:xfrm>
                        <a:off x="0" y="0"/>
                        <a:ext cx="1285875" cy="161290"/>
                      </a:xfrm>
                      <a:prstGeom prst="rect">
                        <a:avLst/>
                      </a:prstGeom>
                      <a:noFill/>
                    </wps:spPr>
                    <wps:txbx>
                      <w:txbxContent>
                        <w:p w:rsidR="00C43D6B" w14:textId="77777777">
                          <w:pPr>
                            <w:pStyle w:val="Referentiegegevens"/>
                          </w:pPr>
                          <w:r>
                            <w:t xml:space="preserve">Pagina </w:t>
                          </w:r>
                          <w:r>
                            <w:fldChar w:fldCharType="begin"/>
                          </w:r>
                          <w:r>
                            <w:instrText>PAGE</w:instrText>
                          </w:r>
                          <w:r>
                            <w:fldChar w:fldCharType="separate"/>
                          </w:r>
                          <w:r>
                            <w:t>1</w:t>
                          </w:r>
                          <w:r>
                            <w:fldChar w:fldCharType="end"/>
                          </w:r>
                          <w:r>
                            <w:t xml:space="preserve"> van </w:t>
                          </w:r>
                          <w:r>
                            <w:fldChar w:fldCharType="begin"/>
                          </w:r>
                          <w:r>
                            <w:instrText>NUMPAGES</w:instrText>
                          </w:r>
                          <w:r>
                            <w:fldChar w:fldCharType="separate"/>
                          </w:r>
                          <w:r>
                            <w:t>1</w:t>
                          </w:r>
                          <w:r>
                            <w:fldChar w:fldCharType="end"/>
                          </w:r>
                        </w:p>
                      </w:txbxContent>
                    </wps:txbx>
                    <wps:bodyPr vert="horz" wrap="square" lIns="0" tIns="0" rIns="0" bIns="0" anchor="t" anchorCtr="0"/>
                  </wps:wsp>
                </a:graphicData>
              </a:graphic>
            </wp:anchor>
          </w:drawing>
        </mc:Choice>
        <mc:Fallback>
          <w:pict>
            <v:shape id="fc795519-edb4-40fa-b772-922592680a29" o:spid="_x0000_s2059" type="#_x0000_t202" alt="Paginanummering" style="width:101.25pt;height:12.7pt;margin-top:802.75pt;margin-left:466.25pt;mso-position-horizontal-relative:page;mso-wrap-distance-bottom:0;mso-wrap-distance-left:0;mso-wrap-distance-right:0;mso-wrap-distance-top:0;mso-wrap-style:square;position:absolute;v-text-anchor:top;visibility:visible;z-index:251679744" filled="f" stroked="f">
              <v:textbox inset="0,0,0,0">
                <w:txbxContent>
                  <w:p w:rsidR="00C43D6B" w14:paraId="47F84953" w14:textId="77777777">
                    <w:pPr>
                      <w:pStyle w:val="Referentiegegevens"/>
                    </w:pPr>
                    <w:r>
                      <w:t xml:space="preserve">Pagina </w:t>
                    </w:r>
                    <w:r>
                      <w:fldChar w:fldCharType="begin"/>
                    </w:r>
                    <w:r>
                      <w:instrText>PAGE</w:instrText>
                    </w:r>
                    <w:r>
                      <w:fldChar w:fldCharType="separate"/>
                    </w:r>
                    <w:r>
                      <w:t>1</w:t>
                    </w:r>
                    <w:r>
                      <w:fldChar w:fldCharType="end"/>
                    </w:r>
                    <w:r>
                      <w:t xml:space="preserve"> van </w:t>
                    </w:r>
                    <w:r>
                      <w:fldChar w:fldCharType="begin"/>
                    </w:r>
                    <w:r>
                      <w:instrText>NUMPAGES</w:instrText>
                    </w:r>
                    <w:r>
                      <w:fldChar w:fldCharType="separate"/>
                    </w:r>
                    <w:r>
                      <w:t>1</w:t>
                    </w:r>
                    <w:r>
                      <w:fldChar w:fldCharType="end"/>
                    </w:r>
                  </w:p>
                </w:txbxContent>
              </v:textbox>
              <w10:anchorlock/>
            </v:shape>
          </w:pict>
        </mc:Fallback>
      </mc:AlternateContent>
    </w:r>
    <w:r>
      <w:rPr>
        <w:noProof/>
      </w:rPr>
      <mc:AlternateContent>
        <mc:Choice Requires="wps">
          <w:drawing>
            <wp:anchor distT="0" distB="0" distL="0" distR="0" simplePos="0" relativeHeight="251680768" behindDoc="0" locked="1" layoutInCell="1" allowOverlap="1">
              <wp:simplePos x="0" y="0"/>
              <wp:positionH relativeFrom="page">
                <wp:posOffset>998219</wp:posOffset>
              </wp:positionH>
              <wp:positionV relativeFrom="paragraph">
                <wp:posOffset>10197465</wp:posOffset>
              </wp:positionV>
              <wp:extent cx="4787900" cy="161925"/>
              <wp:effectExtent l="0" t="0" r="0" b="0"/>
              <wp:wrapNone/>
              <wp:docPr id="14" name="ea113d41-b39a-4e3b-9a6a-dce66e72abe4" descr="Voettekst"/>
              <wp:cNvGraphicFramePr/>
              <a:graphic xmlns:a="http://schemas.openxmlformats.org/drawingml/2006/main">
                <a:graphicData uri="http://schemas.microsoft.com/office/word/2010/wordprocessingShape">
                  <wps:wsp xmlns:wps="http://schemas.microsoft.com/office/word/2010/wordprocessingShape">
                    <wps:cNvSpPr txBox="1"/>
                    <wps:spPr>
                      <a:xfrm>
                        <a:off x="0" y="0"/>
                        <a:ext cx="4787900" cy="161925"/>
                      </a:xfrm>
                      <a:prstGeom prst="rect">
                        <a:avLst/>
                      </a:prstGeom>
                      <a:noFill/>
                    </wps:spPr>
                    <wps:txbx>
                      <w:txbxContent>
                        <w:p w:rsidR="0097474B" w14:textId="77777777"/>
                      </w:txbxContent>
                    </wps:txbx>
                    <wps:bodyPr vert="horz" wrap="square" lIns="0" tIns="0" rIns="0" bIns="0" anchor="t" anchorCtr="0"/>
                  </wps:wsp>
                </a:graphicData>
              </a:graphic>
            </wp:anchor>
          </w:drawing>
        </mc:Choice>
        <mc:Fallback>
          <w:pict>
            <v:shape id="ea113d41-b39a-4e3b-9a6a-dce66e72abe4" o:spid="_x0000_s2060" type="#_x0000_t202" alt="Voettekst" style="width:377pt;height:12.75pt;margin-top:802.95pt;margin-left:78.6pt;mso-position-horizontal-relative:page;mso-wrap-distance-bottom:0;mso-wrap-distance-left:0;mso-wrap-distance-right:0;mso-wrap-distance-top:0;mso-wrap-style:square;position:absolute;v-text-anchor:top;visibility:visible;z-index:251681792" filled="f" stroked="f">
              <v:textbox inset="0,0,0,0">
                <w:txbxContent>
                  <w:p w:rsidR="0097474B" w14:paraId="7A3FCCB8" w14:textId="77777777"/>
                </w:txbxContent>
              </v:textbox>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D165ACEE"/>
    <w:multiLevelType w:val="multilevel"/>
    <w:tmpl w:val="79AE3227"/>
    <w:name w:val="Comparitienummering"/>
    <w:lvl w:ilvl="0">
      <w:start w:val="1"/>
      <w:numFmt w:val="decimal"/>
      <w:pStyle w:val="Comparitienummer"/>
      <w:lvlText w:val="%1."/>
      <w:lvlJc w:val="left"/>
      <w:pPr>
        <w:ind w:left="425" w:hanging="425"/>
      </w:pPr>
    </w:lvl>
    <w:lvl w:ilvl="1">
      <w:start w:val="1"/>
      <w:numFmt w:val="decimal"/>
      <w:lvlText w:val="%1.%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1">
    <w:nsid w:val="EA06254A"/>
    <w:multiLevelType w:val="multilevel"/>
    <w:tmpl w:val="5D4EBC5F"/>
    <w:name w:val="Genummerde lijst"/>
    <w:styleLink w:val="Genummerdelijst"/>
    <w:lvl w:ilvl="0">
      <w:start w:val="1"/>
      <w:numFmt w:val="decimal"/>
      <w:pStyle w:val="Nummering"/>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abstractNum w:abstractNumId="2">
    <w:nsid w:val="084E24EF"/>
    <w:multiLevelType w:val="multilevel"/>
    <w:tmpl w:val="F03073CA"/>
    <w:name w:val="Lijst met opsommingstekens"/>
    <w:styleLink w:val="Lijstmetopsommingstekens"/>
    <w:lvl w:ilvl="0">
      <w:start w:val="1"/>
      <w:numFmt w:val="bullet"/>
      <w:pStyle w:val="Opsomming"/>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3">
    <w:nsid w:val="454C48B5"/>
    <w:multiLevelType w:val="multilevel"/>
    <w:tmpl w:val="6F9A7B91"/>
    <w:name w:val="Artikelnummering"/>
    <w:lvl w:ilvl="0">
      <w:start w:val="1"/>
      <w:numFmt w:val="decimal"/>
      <w:pStyle w:val="Artikelnummer"/>
      <w:lvlText w:val="Artikel %1."/>
      <w:lvlJc w:val="left"/>
      <w:pPr>
        <w:ind w:left="1130" w:hanging="1130"/>
      </w:pPr>
    </w:lvl>
    <w:lvl w:ilvl="1">
      <w:start w:val="1"/>
      <w:numFmt w:val="decimal"/>
      <w:pStyle w:val="Lidnummer"/>
      <w:lvlText w:val="%2."/>
      <w:lvlJc w:val="left"/>
      <w:pPr>
        <w:ind w:left="425" w:hanging="425"/>
      </w:pPr>
    </w:lvl>
    <w:lvl w:ilvl="2">
      <w:start w:val="1"/>
      <w:numFmt w:val="lowerLetter"/>
      <w:pStyle w:val="Lidnummerabc"/>
      <w:lvlText w:val="%3."/>
      <w:lvlJc w:val="left"/>
      <w:pPr>
        <w:ind w:left="827" w:hanging="419"/>
      </w:pPr>
    </w:lvl>
    <w:lvl w:ilvl="3">
      <w:start w:val="1"/>
      <w:numFmt w:val="none"/>
      <w:pStyle w:val="Artikelstreepje"/>
      <w:lvlText w:val="-"/>
      <w:lvlJc w:val="left"/>
      <w:pPr>
        <w:ind w:left="357" w:hanging="357"/>
      </w:pPr>
    </w:lvl>
    <w:lvl w:ilvl="4">
      <w:start w:val="1"/>
      <w:numFmt w:val="none"/>
      <w:pStyle w:val="Artikelstreepjeinspringen"/>
      <w:lvlText w:val="-"/>
      <w:lvlJc w:val="left"/>
      <w:pPr>
        <w:ind w:left="827" w:hanging="419"/>
      </w:pPr>
    </w:lvl>
    <w:lvl w:ilvl="5">
      <w:start w:val="1"/>
      <w:numFmt w:val="none"/>
      <w:lvlJc w:val="left"/>
      <w:pPr>
        <w:ind w:left="0" w:firstLine="0"/>
      </w:pPr>
    </w:lvl>
    <w:lvl w:ilvl="6">
      <w:start w:val="1"/>
      <w:numFmt w:val="none"/>
      <w:lvlJc w:val="left"/>
      <w:pPr>
        <w:ind w:left="0" w:firstLine="0"/>
      </w:pPr>
    </w:lvl>
    <w:lvl w:ilvl="7">
      <w:start w:val="1"/>
      <w:numFmt w:val="none"/>
      <w:lvlJc w:val="left"/>
      <w:pPr>
        <w:ind w:left="0" w:firstLine="0"/>
      </w:pPr>
    </w:lvl>
    <w:lvl w:ilvl="8">
      <w:start w:val="1"/>
      <w:numFmt w:val="none"/>
      <w:lvlJc w:val="left"/>
      <w:pPr>
        <w:ind w:left="0" w:firstLine="0"/>
      </w:pPr>
    </w:lvl>
  </w:abstractNum>
  <w:abstractNum w:abstractNumId="4">
    <w:nsid w:val="506B695D"/>
    <w:multiLevelType w:val="hybridMultilevel"/>
    <w:tmpl w:val="D26C275C"/>
    <w:lvl w:ilvl="0">
      <w:start w:val="1"/>
      <w:numFmt w:val="decimal"/>
      <w:lvlText w:val="%1."/>
      <w:lvlJc w:val="left"/>
      <w:pPr>
        <w:ind w:left="1020" w:hanging="360"/>
      </w:pPr>
    </w:lvl>
    <w:lvl w:ilvl="1">
      <w:start w:val="1"/>
      <w:numFmt w:val="decimal"/>
      <w:lvlText w:val="%2."/>
      <w:lvlJc w:val="left"/>
      <w:pPr>
        <w:ind w:left="1020" w:hanging="360"/>
      </w:pPr>
    </w:lvl>
    <w:lvl w:ilvl="2">
      <w:start w:val="1"/>
      <w:numFmt w:val="decimal"/>
      <w:lvlText w:val="%3."/>
      <w:lvlJc w:val="left"/>
      <w:pPr>
        <w:ind w:left="1020" w:hanging="360"/>
      </w:pPr>
    </w:lvl>
    <w:lvl w:ilvl="3">
      <w:start w:val="1"/>
      <w:numFmt w:val="decimal"/>
      <w:lvlText w:val="%4."/>
      <w:lvlJc w:val="left"/>
      <w:pPr>
        <w:ind w:left="1020" w:hanging="360"/>
      </w:pPr>
    </w:lvl>
    <w:lvl w:ilvl="4">
      <w:start w:val="1"/>
      <w:numFmt w:val="decimal"/>
      <w:lvlText w:val="%5."/>
      <w:lvlJc w:val="left"/>
      <w:pPr>
        <w:ind w:left="1020" w:hanging="360"/>
      </w:pPr>
    </w:lvl>
    <w:lvl w:ilvl="5">
      <w:start w:val="1"/>
      <w:numFmt w:val="decimal"/>
      <w:lvlText w:val="%6."/>
      <w:lvlJc w:val="left"/>
      <w:pPr>
        <w:ind w:left="1020" w:hanging="360"/>
      </w:pPr>
    </w:lvl>
    <w:lvl w:ilvl="6">
      <w:start w:val="1"/>
      <w:numFmt w:val="decimal"/>
      <w:lvlText w:val="%7."/>
      <w:lvlJc w:val="left"/>
      <w:pPr>
        <w:ind w:left="1020" w:hanging="360"/>
      </w:pPr>
    </w:lvl>
    <w:lvl w:ilvl="7">
      <w:start w:val="1"/>
      <w:numFmt w:val="decimal"/>
      <w:lvlText w:val="%8."/>
      <w:lvlJc w:val="left"/>
      <w:pPr>
        <w:ind w:left="1020" w:hanging="360"/>
      </w:pPr>
    </w:lvl>
    <w:lvl w:ilvl="8">
      <w:start w:val="1"/>
      <w:numFmt w:val="decimal"/>
      <w:lvlText w:val="%9."/>
      <w:lvlJc w:val="left"/>
      <w:pPr>
        <w:ind w:left="1020" w:hanging="360"/>
      </w:pPr>
    </w:lvl>
  </w:abstractNum>
  <w:num w:numId="1" w16cid:durableId="541870393">
    <w:abstractNumId w:val="3"/>
  </w:num>
  <w:num w:numId="2" w16cid:durableId="1270166497">
    <w:abstractNumId w:val="0"/>
  </w:num>
  <w:num w:numId="3" w16cid:durableId="1423528242">
    <w:abstractNumId w:val="1"/>
  </w:num>
  <w:num w:numId="4" w16cid:durableId="752312402">
    <w:abstractNumId w:val="2"/>
  </w:num>
  <w:num w:numId="5" w16cid:durableId="148191901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defaultTableStyle w:val="TableNormal"/>
  <w:hyphenationZone w:val="425"/>
  <w:characterSpacingControl w:val="doNotCompress"/>
  <w:footnotePr>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42837"/>
    <w:rsid w:val="00001143"/>
    <w:rsid w:val="00013F1B"/>
    <w:rsid w:val="00094BDA"/>
    <w:rsid w:val="000969C9"/>
    <w:rsid w:val="0016434D"/>
    <w:rsid w:val="001729CA"/>
    <w:rsid w:val="001847E4"/>
    <w:rsid w:val="001A3AD5"/>
    <w:rsid w:val="001B427C"/>
    <w:rsid w:val="002458EA"/>
    <w:rsid w:val="0024599E"/>
    <w:rsid w:val="00284637"/>
    <w:rsid w:val="00300082"/>
    <w:rsid w:val="00312920"/>
    <w:rsid w:val="003307F0"/>
    <w:rsid w:val="003613A4"/>
    <w:rsid w:val="003808C7"/>
    <w:rsid w:val="003C1D4C"/>
    <w:rsid w:val="003E5294"/>
    <w:rsid w:val="003E68B2"/>
    <w:rsid w:val="00410B73"/>
    <w:rsid w:val="004A38BC"/>
    <w:rsid w:val="004F365B"/>
    <w:rsid w:val="0060000B"/>
    <w:rsid w:val="006164A9"/>
    <w:rsid w:val="00620D6B"/>
    <w:rsid w:val="0062685F"/>
    <w:rsid w:val="00673F23"/>
    <w:rsid w:val="00675B7E"/>
    <w:rsid w:val="0067637D"/>
    <w:rsid w:val="00682497"/>
    <w:rsid w:val="006D0E53"/>
    <w:rsid w:val="00703D5E"/>
    <w:rsid w:val="00723654"/>
    <w:rsid w:val="00737D96"/>
    <w:rsid w:val="00742837"/>
    <w:rsid w:val="0074507E"/>
    <w:rsid w:val="00756DAB"/>
    <w:rsid w:val="00757D47"/>
    <w:rsid w:val="00797004"/>
    <w:rsid w:val="007A581E"/>
    <w:rsid w:val="007B1028"/>
    <w:rsid w:val="007D19E9"/>
    <w:rsid w:val="007F5DF8"/>
    <w:rsid w:val="00807C01"/>
    <w:rsid w:val="00811C78"/>
    <w:rsid w:val="00865773"/>
    <w:rsid w:val="0088256B"/>
    <w:rsid w:val="008D2B89"/>
    <w:rsid w:val="008F3A2A"/>
    <w:rsid w:val="008F7A6A"/>
    <w:rsid w:val="00927953"/>
    <w:rsid w:val="009652DE"/>
    <w:rsid w:val="0097474B"/>
    <w:rsid w:val="009F5F3D"/>
    <w:rsid w:val="00A03674"/>
    <w:rsid w:val="00A4012C"/>
    <w:rsid w:val="00A61D8D"/>
    <w:rsid w:val="00A72582"/>
    <w:rsid w:val="00B3097B"/>
    <w:rsid w:val="00B40B08"/>
    <w:rsid w:val="00B62A5C"/>
    <w:rsid w:val="00B74167"/>
    <w:rsid w:val="00B87A38"/>
    <w:rsid w:val="00BC0F7C"/>
    <w:rsid w:val="00BC184D"/>
    <w:rsid w:val="00BC7BAA"/>
    <w:rsid w:val="00BE6C36"/>
    <w:rsid w:val="00C2775A"/>
    <w:rsid w:val="00C43D6B"/>
    <w:rsid w:val="00C5410B"/>
    <w:rsid w:val="00C614BD"/>
    <w:rsid w:val="00C624A4"/>
    <w:rsid w:val="00C66F6C"/>
    <w:rsid w:val="00C70445"/>
    <w:rsid w:val="00CD462D"/>
    <w:rsid w:val="00CF1B9D"/>
    <w:rsid w:val="00CF5960"/>
    <w:rsid w:val="00D1563D"/>
    <w:rsid w:val="00D33813"/>
    <w:rsid w:val="00DC1E34"/>
    <w:rsid w:val="00DC69F4"/>
    <w:rsid w:val="00DF667E"/>
    <w:rsid w:val="00E027DE"/>
    <w:rsid w:val="00E220A9"/>
    <w:rsid w:val="00E62952"/>
    <w:rsid w:val="00ED3868"/>
    <w:rsid w:val="00EE4444"/>
    <w:rsid w:val="00EF5718"/>
    <w:rsid w:val="00F2126E"/>
    <w:rsid w:val="00F42955"/>
    <w:rsid w:val="00F44636"/>
    <w:rsid w:val="00F533A8"/>
    <w:rsid w:val="00F62E55"/>
    <w:rsid w:val="00FD6C13"/>
    <w:rsid w:val="00FE27A9"/>
    <w:rsid w:val="00FE7B2E"/>
  </w:rsids>
  <m:mathPr>
    <m:mathFont m:val="Cambria Math"/>
  </m:mathPr>
  <w:themeFontLang w:val="nl-NL"/>
  <w:clrSchemeMapping w:bg1="light1" w:t1="dark1" w:bg2="light2" w:t2="dark2" w:accent1="accent1" w:accent2="accent2" w:accent3="accent3" w:accent4="accent4" w:accent5="accent5" w:accent6="accent6" w:hyperlink="hyperlink" w:followedHyperlink="followedHyperlink"/>
  <w14:docId w14:val="737F2AB9"/>
  <w15:docId w15:val="{3DCBEA69-5DD5-45AE-AFD3-F6BA05128D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DejaVu Sans" w:hAnsi="Times New Roman" w:cs="Lohit Hindi"/>
        <w:lang w:val="nl-NL" w:eastAsia="nl-NL" w:bidi="ar-SA"/>
      </w:rPr>
    </w:rPrDefault>
    <w:pPrDefault>
      <w:pPr>
        <w:autoSpaceDN w:val="0"/>
        <w:textAlignment w:val="baseline"/>
      </w:pPr>
    </w:pPrDefault>
  </w:docDefaults>
  <w:latentStyles w:defLockedState="0" w:defUIPriority="99" w:defSemiHidden="0" w:defUnhideWhenUsed="0" w:defQFormat="0" w:count="376">
    <w:lsdException w:name="heading 1" w:semiHidden="1"/>
    <w:lsdException w:name="heading 2" w:semiHidden="1" w:uiPriority="9"/>
    <w:lsdException w:name="heading 3" w:semiHidden="1" w:uiPriority="9"/>
    <w:lsdException w:name="heading 4" w:semiHidden="1" w:uiPriority="9"/>
    <w:lsdException w:name="heading 5" w:semiHidden="1" w:uiPriority="9"/>
    <w:lsdException w:name="heading 6" w:semiHidden="1" w:uiPriority="9"/>
    <w:lsdException w:name="heading 7" w:semiHidden="1" w:uiPriority="9"/>
    <w:lsdException w:name="heading 8" w:semiHidden="1" w:uiPriority="9"/>
    <w:lsdException w:name="heading 9" w:semiHidden="1"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pacing w:line="240" w:lineRule="atLeast"/>
    </w:pPr>
    <w:rPr>
      <w:rFonts w:ascii="Verdana" w:hAnsi="Verdana"/>
      <w:color w:val="000000"/>
      <w:sz w:val="18"/>
      <w:szCs w:val="18"/>
    </w:rPr>
  </w:style>
  <w:style w:type="paragraph" w:styleId="Heading1">
    <w:name w:val="heading 1"/>
    <w:basedOn w:val="Normal"/>
    <w:next w:val="Normal"/>
    <w:uiPriority w:val="1"/>
    <w:qFormat/>
    <w:pPr>
      <w:tabs>
        <w:tab w:val="left" w:pos="0"/>
      </w:tabs>
      <w:spacing w:before="240"/>
      <w:outlineLvl w:val="0"/>
    </w:pPr>
    <w:rPr>
      <w:b/>
    </w:rPr>
  </w:style>
  <w:style w:type="paragraph" w:styleId="Heading2">
    <w:name w:val="heading 2"/>
    <w:basedOn w:val="Normal"/>
    <w:next w:val="Normal"/>
    <w:uiPriority w:val="2"/>
    <w:qFormat/>
    <w:pPr>
      <w:tabs>
        <w:tab w:val="left" w:pos="0"/>
      </w:tabs>
      <w:spacing w:before="240" w:line="240" w:lineRule="exact"/>
      <w:outlineLvl w:val="1"/>
    </w:pPr>
    <w:rPr>
      <w:i/>
    </w:rPr>
  </w:style>
  <w:style w:type="paragraph" w:styleId="Heading3">
    <w:name w:val="heading 3"/>
    <w:basedOn w:val="Normal"/>
    <w:next w:val="Normal"/>
    <w:pPr>
      <w:tabs>
        <w:tab w:val="left" w:pos="0"/>
      </w:tabs>
      <w:spacing w:before="240" w:line="240" w:lineRule="exact"/>
      <w:ind w:left="-1120"/>
      <w:outlineLvl w:val="2"/>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31B78"/>
    <w:rPr>
      <w:color w:val="467886" w:themeColor="hyperlink"/>
      <w:u w:val="single"/>
    </w:rPr>
  </w:style>
  <w:style w:type="paragraph" w:customStyle="1" w:styleId="Artikelstreepje">
    <w:name w:val="Artikel streepje"/>
    <w:basedOn w:val="Normal"/>
    <w:next w:val="Normal"/>
    <w:pPr>
      <w:numPr>
        <w:ilvl w:val="3"/>
        <w:numId w:val="1"/>
      </w:numPr>
    </w:pPr>
  </w:style>
  <w:style w:type="paragraph" w:customStyle="1" w:styleId="Artikelstreepjeinspringen">
    <w:name w:val="Artikel streepje inspringen"/>
    <w:basedOn w:val="Normal"/>
    <w:next w:val="Normal"/>
    <w:pPr>
      <w:numPr>
        <w:ilvl w:val="4"/>
        <w:numId w:val="1"/>
      </w:numPr>
    </w:pPr>
  </w:style>
  <w:style w:type="paragraph" w:customStyle="1" w:styleId="Artikelnummer">
    <w:name w:val="Artikelnummer"/>
    <w:basedOn w:val="Normal"/>
    <w:pPr>
      <w:numPr>
        <w:numId w:val="1"/>
      </w:numPr>
      <w:spacing w:before="360"/>
    </w:pPr>
    <w:rPr>
      <w:b/>
    </w:rPr>
  </w:style>
  <w:style w:type="paragraph" w:customStyle="1" w:styleId="Comparitienummer">
    <w:name w:val="Comparitienummer"/>
    <w:basedOn w:val="Normal"/>
    <w:next w:val="Normal"/>
    <w:pPr>
      <w:numPr>
        <w:numId w:val="2"/>
      </w:numPr>
    </w:pPr>
  </w:style>
  <w:style w:type="numbering" w:customStyle="1" w:styleId="Genummerdelijst">
    <w:name w:val="Genummerde lijst"/>
    <w:pPr>
      <w:numPr>
        <w:numId w:val="3"/>
      </w:numPr>
    </w:pPr>
  </w:style>
  <w:style w:type="paragraph" w:styleId="TOC1">
    <w:name w:val="toc 1"/>
    <w:basedOn w:val="Normal"/>
    <w:next w:val="Normal"/>
  </w:style>
  <w:style w:type="paragraph" w:styleId="TOC2">
    <w:name w:val="toc 2"/>
    <w:basedOn w:val="TOC1"/>
    <w:next w:val="Normal"/>
    <w:pPr>
      <w:spacing w:line="240" w:lineRule="exact"/>
    </w:pPr>
  </w:style>
  <w:style w:type="paragraph" w:styleId="TOC3">
    <w:name w:val="toc 3"/>
    <w:basedOn w:val="TOC2"/>
    <w:next w:val="Normal"/>
  </w:style>
  <w:style w:type="paragraph" w:styleId="TOC4">
    <w:name w:val="toc 4"/>
    <w:basedOn w:val="TOC3"/>
    <w:next w:val="Normal"/>
  </w:style>
  <w:style w:type="paragraph" w:styleId="TOC5">
    <w:name w:val="toc 5"/>
    <w:basedOn w:val="TOC4"/>
    <w:next w:val="Normal"/>
  </w:style>
  <w:style w:type="paragraph" w:styleId="TOC6">
    <w:name w:val="toc 6"/>
    <w:basedOn w:val="TOC5"/>
    <w:next w:val="Normal"/>
  </w:style>
  <w:style w:type="paragraph" w:styleId="TOC7">
    <w:name w:val="toc 7"/>
    <w:basedOn w:val="TOC6"/>
    <w:next w:val="Normal"/>
  </w:style>
  <w:style w:type="paragraph" w:styleId="TOC8">
    <w:name w:val="toc 8"/>
    <w:basedOn w:val="TOC7"/>
    <w:next w:val="Normal"/>
  </w:style>
  <w:style w:type="paragraph" w:styleId="TOC9">
    <w:name w:val="toc 9"/>
    <w:basedOn w:val="TOC8"/>
    <w:next w:val="Normal"/>
  </w:style>
  <w:style w:type="paragraph" w:customStyle="1" w:styleId="KixBarcode">
    <w:name w:val="Kix Barcode"/>
    <w:basedOn w:val="Normal"/>
    <w:next w:val="Normal"/>
    <w:pPr>
      <w:spacing w:before="120"/>
    </w:pPr>
    <w:rPr>
      <w:rFonts w:ascii="KIX Barcode" w:hAnsi="KIX Barcode"/>
      <w:sz w:val="20"/>
      <w:szCs w:val="20"/>
    </w:rPr>
  </w:style>
  <w:style w:type="paragraph" w:customStyle="1" w:styleId="Lidnummer">
    <w:name w:val="Lidnummer"/>
    <w:basedOn w:val="Normal"/>
    <w:pPr>
      <w:numPr>
        <w:ilvl w:val="1"/>
        <w:numId w:val="1"/>
      </w:numPr>
      <w:tabs>
        <w:tab w:val="left" w:pos="419"/>
      </w:tabs>
    </w:pPr>
  </w:style>
  <w:style w:type="paragraph" w:customStyle="1" w:styleId="Lidnummerabc">
    <w:name w:val="Lidnummer abc"/>
    <w:basedOn w:val="Normal"/>
    <w:pPr>
      <w:numPr>
        <w:ilvl w:val="2"/>
        <w:numId w:val="1"/>
      </w:numPr>
      <w:tabs>
        <w:tab w:val="left" w:pos="402"/>
      </w:tabs>
    </w:pPr>
  </w:style>
  <w:style w:type="numbering" w:customStyle="1" w:styleId="Lijstmetopsommingstekens">
    <w:name w:val="Lijst met opsommingstekens"/>
    <w:pPr>
      <w:numPr>
        <w:numId w:val="4"/>
      </w:numPr>
    </w:pPr>
  </w:style>
  <w:style w:type="paragraph" w:customStyle="1" w:styleId="Nummering">
    <w:name w:val="Nummering"/>
    <w:basedOn w:val="Normal"/>
    <w:uiPriority w:val="3"/>
    <w:qFormat/>
    <w:pPr>
      <w:numPr>
        <w:numId w:val="3"/>
      </w:numPr>
    </w:pPr>
  </w:style>
  <w:style w:type="paragraph" w:styleId="Subtitle">
    <w:name w:val="Subtitle"/>
    <w:basedOn w:val="Normal"/>
    <w:next w:val="Normal"/>
    <w:pPr>
      <w:spacing w:line="320" w:lineRule="atLeast"/>
    </w:pPr>
    <w:rPr>
      <w:sz w:val="24"/>
      <w:szCs w:val="24"/>
    </w:rPr>
  </w:style>
  <w:style w:type="paragraph" w:customStyle="1" w:styleId="Opsomming">
    <w:name w:val="Opsomming"/>
    <w:basedOn w:val="Normal"/>
    <w:uiPriority w:val="3"/>
    <w:qFormat/>
    <w:pPr>
      <w:numPr>
        <w:numId w:val="4"/>
      </w:numPr>
    </w:pPr>
  </w:style>
  <w:style w:type="paragraph" w:customStyle="1" w:styleId="Pagina-eindeKop1">
    <w:name w:val="Pagina-einde Kop 1"/>
    <w:basedOn w:val="Normal"/>
    <w:next w:val="Normal"/>
    <w:pPr>
      <w:pageBreakBefore/>
      <w:spacing w:line="240" w:lineRule="exact"/>
      <w:outlineLvl w:val="0"/>
    </w:pPr>
    <w:rPr>
      <w:b/>
    </w:rPr>
  </w:style>
  <w:style w:type="paragraph" w:customStyle="1" w:styleId="Referentiegegevens">
    <w:name w:val="Referentiegegevens"/>
    <w:basedOn w:val="Normal"/>
    <w:next w:val="Normal"/>
    <w:pPr>
      <w:spacing w:line="180" w:lineRule="exact"/>
      <w:outlineLvl w:val="4"/>
    </w:pPr>
    <w:rPr>
      <w:sz w:val="13"/>
      <w:szCs w:val="13"/>
    </w:rPr>
  </w:style>
  <w:style w:type="paragraph" w:customStyle="1" w:styleId="Referentiegegevensbold">
    <w:name w:val="Referentiegegevens bold"/>
    <w:basedOn w:val="Normal"/>
    <w:next w:val="Normal"/>
    <w:pPr>
      <w:spacing w:line="180" w:lineRule="exact"/>
      <w:outlineLvl w:val="4"/>
    </w:pPr>
    <w:rPr>
      <w:b/>
      <w:sz w:val="13"/>
      <w:szCs w:val="13"/>
    </w:rPr>
  </w:style>
  <w:style w:type="paragraph" w:customStyle="1" w:styleId="Referentiegegevenscursief">
    <w:name w:val="Referentiegegevens cursief"/>
    <w:basedOn w:val="Normal"/>
    <w:next w:val="Normal"/>
    <w:pPr>
      <w:spacing w:line="180" w:lineRule="exact"/>
      <w:outlineLvl w:val="4"/>
    </w:pPr>
    <w:rPr>
      <w:i/>
      <w:sz w:val="13"/>
      <w:szCs w:val="13"/>
    </w:rPr>
  </w:style>
  <w:style w:type="paragraph" w:customStyle="1" w:styleId="Referentiegegevensrechtsuitgelijnd">
    <w:name w:val="Referentiegegevens rechts uitgelijnd"/>
    <w:basedOn w:val="Normal"/>
    <w:next w:val="Normal"/>
    <w:pPr>
      <w:spacing w:line="180" w:lineRule="exact"/>
      <w:jc w:val="right"/>
      <w:outlineLvl w:val="4"/>
    </w:pPr>
    <w:rPr>
      <w:sz w:val="13"/>
      <w:szCs w:val="13"/>
    </w:rPr>
  </w:style>
  <w:style w:type="paragraph" w:customStyle="1" w:styleId="Rubricering">
    <w:name w:val="Rubricering"/>
    <w:basedOn w:val="Normal"/>
    <w:next w:val="Normal"/>
    <w:pPr>
      <w:spacing w:line="180" w:lineRule="exact"/>
    </w:pPr>
    <w:rPr>
      <w:b/>
      <w:caps/>
      <w:sz w:val="13"/>
      <w:szCs w:val="13"/>
    </w:rPr>
  </w:style>
  <w:style w:type="paragraph" w:customStyle="1" w:styleId="Standaardcursief">
    <w:name w:val="Standaard cursief"/>
    <w:basedOn w:val="Normal"/>
    <w:next w:val="Normal"/>
    <w:qFormat/>
    <w:pPr>
      <w:spacing w:line="240" w:lineRule="exact"/>
    </w:pPr>
    <w:rPr>
      <w:i/>
    </w:rPr>
  </w:style>
  <w:style w:type="paragraph" w:customStyle="1" w:styleId="StandaarddeDE">
    <w:name w:val="Standaard de_DE"/>
    <w:basedOn w:val="Normal"/>
    <w:next w:val="Normal"/>
    <w:rPr>
      <w:lang w:val="de-DE"/>
    </w:rPr>
  </w:style>
  <w:style w:type="paragraph" w:customStyle="1" w:styleId="StandaardenGB">
    <w:name w:val="Standaard en_GB"/>
    <w:basedOn w:val="Normal"/>
    <w:next w:val="Normal"/>
    <w:rPr>
      <w:lang w:val="en-GB"/>
    </w:rPr>
  </w:style>
  <w:style w:type="paragraph" w:customStyle="1" w:styleId="StandaardesES">
    <w:name w:val="Standaard es_ES"/>
    <w:basedOn w:val="Normal"/>
    <w:next w:val="Normal"/>
    <w:rPr>
      <w:lang w:val="es-ES"/>
    </w:rPr>
  </w:style>
  <w:style w:type="paragraph" w:customStyle="1" w:styleId="StandaardfrFR">
    <w:name w:val="Standaard fr_FR"/>
    <w:basedOn w:val="Normal"/>
    <w:next w:val="Normal"/>
    <w:rPr>
      <w:lang w:val="fr-FR"/>
    </w:rPr>
  </w:style>
  <w:style w:type="paragraph" w:customStyle="1" w:styleId="Standaardvet">
    <w:name w:val="Standaard vet"/>
    <w:basedOn w:val="Normal"/>
    <w:next w:val="Normal"/>
    <w:qFormat/>
    <w:pPr>
      <w:spacing w:line="240" w:lineRule="exact"/>
    </w:pPr>
    <w:rPr>
      <w:b/>
    </w:rPr>
  </w:style>
  <w:style w:type="table" w:customStyle="1" w:styleId="TabelRijkshuisstijl">
    <w:name w:val="Tabel Rijkshuisstijl"/>
    <w:rPr>
      <w:rFonts w:ascii="Verdana" w:hAnsi="Verdana"/>
      <w:sz w:val="18"/>
      <w:szCs w:val="18"/>
    </w:rPr>
    <w:tblPr>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top w:w="100" w:type="dxa"/>
        <w:left w:w="56" w:type="dxa"/>
        <w:bottom w:w="100" w:type="dxa"/>
        <w:right w:w="0" w:type="dxa"/>
      </w:tblCellMar>
    </w:tblPr>
    <w:tblStylePr w:type="firstRow">
      <w:rPr>
        <w:b/>
      </w:rPr>
    </w:tblStylePr>
  </w:style>
  <w:style w:type="table" w:customStyle="1" w:styleId="Tabelzonderranden">
    <w:name w:val="Tabel zonder randen"/>
    <w:rPr>
      <w:rFonts w:ascii="Verdana" w:hAnsi="Verdana"/>
      <w:color w:val="000000"/>
      <w:sz w:val="24"/>
      <w:szCs w:val="24"/>
    </w:rPr>
    <w:tblPr>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CellMar>
        <w:top w:w="0" w:type="dxa"/>
        <w:left w:w="0" w:type="dxa"/>
        <w:bottom w:w="0" w:type="dxa"/>
        <w:right w:w="0" w:type="dxa"/>
      </w:tblCellMar>
    </w:tblPr>
  </w:style>
  <w:style w:type="table" w:styleId="TableGrid">
    <w:name w:val="Table Grid"/>
    <w:rPr>
      <w:rFonts w:ascii="Verdana" w:hAnsi="Verdana"/>
      <w:color w:val="000000"/>
      <w:sz w:val="18"/>
      <w:szCs w:val="1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style>
  <w:style w:type="paragraph" w:styleId="Title">
    <w:name w:val="Title"/>
    <w:basedOn w:val="Normal"/>
    <w:next w:val="Normal"/>
    <w:pPr>
      <w:spacing w:line="320" w:lineRule="atLeast"/>
    </w:pPr>
    <w:rPr>
      <w:b/>
      <w:sz w:val="24"/>
      <w:szCs w:val="24"/>
    </w:rPr>
  </w:style>
  <w:style w:type="character" w:customStyle="1" w:styleId="Voetnootreferentie">
    <w:name w:val="Voetnootreferentie"/>
    <w:rPr>
      <w:rFonts w:ascii="Verdana" w:hAnsi="Verdana"/>
      <w:sz w:val="13"/>
      <w:szCs w:val="13"/>
      <w:vertAlign w:val="baseline"/>
      <w:lang w:val="nl-NL"/>
    </w:rPr>
  </w:style>
  <w:style w:type="paragraph" w:styleId="FootnoteText">
    <w:name w:val="footnote text"/>
    <w:pPr>
      <w:spacing w:line="180" w:lineRule="exact"/>
    </w:pPr>
    <w:rPr>
      <w:rFonts w:ascii="Verdana" w:hAnsi="Verdana"/>
      <w:sz w:val="13"/>
      <w:szCs w:val="13"/>
    </w:rPr>
  </w:style>
  <w:style w:type="character" w:customStyle="1" w:styleId="Voetnoottekstverwijzing">
    <w:name w:val="Voetnoottekstverwijzing"/>
    <w:rPr>
      <w:rFonts w:ascii="Verdana" w:hAnsi="Verdana"/>
      <w:sz w:val="24"/>
      <w:szCs w:val="24"/>
      <w:vertAlign w:val="superscript"/>
      <w:lang w:val="nl-NL"/>
    </w:rPr>
  </w:style>
  <w:style w:type="paragraph" w:customStyle="1" w:styleId="WitregelW1">
    <w:name w:val="Witregel W1"/>
    <w:basedOn w:val="Normal"/>
    <w:next w:val="Normal"/>
    <w:pPr>
      <w:spacing w:line="90" w:lineRule="exact"/>
    </w:pPr>
    <w:rPr>
      <w:sz w:val="9"/>
      <w:szCs w:val="9"/>
    </w:rPr>
  </w:style>
  <w:style w:type="paragraph" w:customStyle="1" w:styleId="WitregelW1bodytekst">
    <w:name w:val="Witregel W1 (bodytekst)"/>
    <w:basedOn w:val="Normal"/>
    <w:next w:val="Normal"/>
    <w:pPr>
      <w:spacing w:line="240" w:lineRule="exact"/>
    </w:pPr>
  </w:style>
  <w:style w:type="paragraph" w:customStyle="1" w:styleId="WitregelW2">
    <w:name w:val="Witregel W2"/>
    <w:basedOn w:val="Normal"/>
    <w:next w:val="Normal"/>
    <w:pPr>
      <w:spacing w:line="270" w:lineRule="exact"/>
    </w:pPr>
    <w:rPr>
      <w:sz w:val="27"/>
      <w:szCs w:val="27"/>
    </w:rPr>
  </w:style>
  <w:style w:type="paragraph" w:styleId="Header">
    <w:name w:val="header"/>
    <w:basedOn w:val="Normal"/>
    <w:link w:val="KoptekstChar"/>
    <w:uiPriority w:val="99"/>
    <w:unhideWhenUsed/>
    <w:rsid w:val="00B62A5C"/>
    <w:pPr>
      <w:tabs>
        <w:tab w:val="center" w:pos="4536"/>
        <w:tab w:val="right" w:pos="9072"/>
      </w:tabs>
      <w:spacing w:line="240" w:lineRule="auto"/>
    </w:pPr>
  </w:style>
  <w:style w:type="character" w:customStyle="1" w:styleId="KoptekstChar">
    <w:name w:val="Koptekst Char"/>
    <w:basedOn w:val="DefaultParagraphFont"/>
    <w:link w:val="Header"/>
    <w:uiPriority w:val="99"/>
    <w:rsid w:val="00B62A5C"/>
    <w:rPr>
      <w:rFonts w:ascii="Verdana" w:hAnsi="Verdana"/>
      <w:color w:val="000000"/>
      <w:sz w:val="18"/>
      <w:szCs w:val="18"/>
    </w:rPr>
  </w:style>
  <w:style w:type="paragraph" w:styleId="Footer">
    <w:name w:val="footer"/>
    <w:basedOn w:val="Normal"/>
    <w:link w:val="VoettekstChar"/>
    <w:uiPriority w:val="99"/>
    <w:unhideWhenUsed/>
    <w:rsid w:val="00B62A5C"/>
    <w:pPr>
      <w:tabs>
        <w:tab w:val="center" w:pos="4536"/>
        <w:tab w:val="right" w:pos="9072"/>
      </w:tabs>
      <w:spacing w:line="240" w:lineRule="auto"/>
    </w:pPr>
  </w:style>
  <w:style w:type="character" w:customStyle="1" w:styleId="VoettekstChar">
    <w:name w:val="Voettekst Char"/>
    <w:basedOn w:val="DefaultParagraphFont"/>
    <w:link w:val="Footer"/>
    <w:uiPriority w:val="99"/>
    <w:rsid w:val="00B62A5C"/>
    <w:rPr>
      <w:rFonts w:ascii="Verdana" w:hAnsi="Verdana"/>
      <w:color w:val="000000"/>
      <w:sz w:val="18"/>
      <w:szCs w:val="18"/>
    </w:rPr>
  </w:style>
  <w:style w:type="character" w:styleId="FootnoteReference">
    <w:name w:val="footnote reference"/>
    <w:basedOn w:val="DefaultParagraphFont"/>
    <w:uiPriority w:val="99"/>
    <w:semiHidden/>
    <w:unhideWhenUsed/>
    <w:rsid w:val="00B62A5C"/>
    <w:rPr>
      <w:vertAlign w:val="superscript"/>
    </w:rPr>
  </w:style>
  <w:style w:type="character" w:styleId="CommentReference">
    <w:name w:val="annotation reference"/>
    <w:basedOn w:val="DefaultParagraphFont"/>
    <w:uiPriority w:val="99"/>
    <w:semiHidden/>
    <w:unhideWhenUsed/>
    <w:rsid w:val="00EF5718"/>
    <w:rPr>
      <w:sz w:val="16"/>
      <w:szCs w:val="16"/>
    </w:rPr>
  </w:style>
  <w:style w:type="paragraph" w:styleId="CommentText">
    <w:name w:val="annotation text"/>
    <w:basedOn w:val="Normal"/>
    <w:link w:val="TekstopmerkingChar"/>
    <w:uiPriority w:val="99"/>
    <w:unhideWhenUsed/>
    <w:rsid w:val="00EF5718"/>
    <w:pPr>
      <w:spacing w:line="240" w:lineRule="auto"/>
    </w:pPr>
    <w:rPr>
      <w:sz w:val="20"/>
      <w:szCs w:val="20"/>
    </w:rPr>
  </w:style>
  <w:style w:type="character" w:customStyle="1" w:styleId="TekstopmerkingChar">
    <w:name w:val="Tekst opmerking Char"/>
    <w:basedOn w:val="DefaultParagraphFont"/>
    <w:link w:val="CommentText"/>
    <w:uiPriority w:val="99"/>
    <w:rsid w:val="00EF5718"/>
    <w:rPr>
      <w:rFonts w:ascii="Verdana" w:hAnsi="Verdana"/>
      <w:color w:val="000000"/>
    </w:rPr>
  </w:style>
  <w:style w:type="paragraph" w:styleId="CommentSubject">
    <w:name w:val="annotation subject"/>
    <w:basedOn w:val="CommentText"/>
    <w:next w:val="CommentText"/>
    <w:link w:val="OnderwerpvanopmerkingChar"/>
    <w:uiPriority w:val="99"/>
    <w:semiHidden/>
    <w:unhideWhenUsed/>
    <w:rsid w:val="00EF5718"/>
    <w:rPr>
      <w:b/>
      <w:bCs/>
    </w:rPr>
  </w:style>
  <w:style w:type="character" w:customStyle="1" w:styleId="OnderwerpvanopmerkingChar">
    <w:name w:val="Onderwerp van opmerking Char"/>
    <w:basedOn w:val="TekstopmerkingChar"/>
    <w:link w:val="CommentSubject"/>
    <w:uiPriority w:val="99"/>
    <w:semiHidden/>
    <w:rsid w:val="00EF5718"/>
    <w:rPr>
      <w:rFonts w:ascii="Verdana" w:hAnsi="Verdana"/>
      <w:b/>
      <w:bCs/>
      <w:color w:val="000000"/>
    </w:rPr>
  </w:style>
  <w:style w:type="paragraph" w:styleId="Revision">
    <w:name w:val="Revision"/>
    <w:hidden/>
    <w:uiPriority w:val="99"/>
    <w:semiHidden/>
    <w:rsid w:val="00E027DE"/>
    <w:pPr>
      <w:autoSpaceDN/>
      <w:textAlignment w:val="auto"/>
    </w:pPr>
    <w:rPr>
      <w:rFonts w:ascii="Verdana" w:hAnsi="Verdana"/>
      <w:color w:val="000000"/>
      <w:sz w:val="18"/>
      <w:szCs w:val="18"/>
    </w:rPr>
  </w:style>
  <w:style w:type="character" w:styleId="UnresolvedMention">
    <w:name w:val="Unresolved Mention"/>
    <w:basedOn w:val="DefaultParagraphFont"/>
    <w:uiPriority w:val="99"/>
    <w:semiHidden/>
    <w:unhideWhenUsed/>
    <w:rsid w:val="007A581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&#65279;<?xml version="1.0" encoding="utf-8"?><Relationships xmlns="http://schemas.openxmlformats.org/package/2006/relationships"><Relationship Type="http://schemas.openxmlformats.org/officeDocument/2006/relationships/footnotes" Target="footnotes.xml" Id="rId1" /><Relationship Type="http://schemas.openxmlformats.org/officeDocument/2006/relationships/footer" Target="footer2.xml" Id="rId10" /><Relationship Type="http://schemas.openxmlformats.org/officeDocument/2006/relationships/header" Target="header3.xml" Id="rId11" /><Relationship Type="http://schemas.openxmlformats.org/officeDocument/2006/relationships/footer" Target="footer3.xml" Id="rId12" /><Relationship Type="http://schemas.openxmlformats.org/officeDocument/2006/relationships/theme" Target="theme/theme1.xml" Id="rId13" /><Relationship Type="http://schemas.openxmlformats.org/officeDocument/2006/relationships/numbering" Target="numbering.xml" Id="rId14" /><Relationship Type="http://schemas.openxmlformats.org/officeDocument/2006/relationships/styles" Target="styles.xml" Id="rId15" /><Relationship Type="http://schemas.openxmlformats.org/officeDocument/2006/relationships/settings" Target="settings.xml" Id="rId2" /><Relationship Type="http://schemas.openxmlformats.org/officeDocument/2006/relationships/webSettings" Target="webSettings.xml" Id="rId3" /><Relationship Type="http://schemas.openxmlformats.org/officeDocument/2006/relationships/fontTable" Target="fontTable.xml" Id="rId4" /><Relationship Type="http://schemas.openxmlformats.org/officeDocument/2006/relationships/header" Target="header1.xml" Id="rId7" /><Relationship Type="http://schemas.openxmlformats.org/officeDocument/2006/relationships/header" Target="header2.xml" Id="rId8" /><Relationship Type="http://schemas.openxmlformats.org/officeDocument/2006/relationships/footer" Target="footer1.xml" Id="rId9" /></Relationships>
</file>

<file path=word/_rels/header3.xml.rels><?xml version="1.0" encoding="utf-8" standalone="yes"?><Relationships xmlns="http://schemas.openxmlformats.org/package/2006/relationships"><Relationship Id="rId1" Type="http://schemas.openxmlformats.org/officeDocument/2006/relationships/image" Target="media/image1.png" /><Relationship Id="rId2" Type="http://schemas.openxmlformats.org/officeDocument/2006/relationships/image" Target="media/image2.png"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Pages>1</ap:Pages>
  <ap:Words>1440</ap:Words>
  <ap:Characters>7920</ap:Characters>
  <ap:DocSecurity>0</ap:DocSecurity>
  <ap:Lines>66</ap:Lines>
  <ap:Paragraphs>18</ap:Paragraphs>
  <ap:ScaleCrop>false</ap:ScaleCrop>
  <ap:HeadingPairs>
    <vt:vector baseType="variant" size="2">
      <vt:variant>
        <vt:lpstr>Titel</vt:lpstr>
      </vt:variant>
      <vt:variant>
        <vt:i4>1</vt:i4>
      </vt:variant>
    </vt:vector>
  </ap:HeadingPairs>
  <ap:TitlesOfParts>
    <vt:vector baseType="lpstr" size="1">
      <vt:lpstr>Brief - Motie van de leden Van Nispen en Chakor inzake toepassing van het nummerherkenningssysteem bij het Huis voor Klokkenluiders</vt:lpstr>
    </vt:vector>
  </ap:TitlesOfParts>
  <ap:LinksUpToDate>false</ap:LinksUpToDate>
  <ap:CharactersWithSpaces>9342</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revision/>
  <lastPrinted>2026-10-14T12:01:00.0000000Z</lastPrinted>
  <dcterms:created xsi:type="dcterms:W3CDTF">2026-11-02T11:27:00.0000000Z</dcterms:created>
  <dcterms:modified xsi:type="dcterms:W3CDTF">2026-11-02T11:31:00.0000000Z</dcterms:modified>
  <dc:creator/>
  <lastModifiedBy/>
  <dc:description>------------------------</dc:description>
  <dc:subject/>
  <keywords/>
  <version/>
  <category/>
</coreProperties>
</file>