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B860B4" w14:paraId="6BAA3642" w14:textId="77777777">
      <w:pPr>
        <w:framePr w:w="737" w:h="2493" w:wrap="none" w:hAnchor="page" w:vAnchor="page" w:x="5584" w:hRule="exact" w:anchorLock="1"/>
        <w:spacing w:line="240" w:lineRule="auto"/>
      </w:pPr>
      <w:bookmarkStart w:name="_Hlk243574361" w:id="0"/>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0"/>
                    <a:stretch>
                      <a:fillRect/>
                    </a:stretch>
                  </pic:blipFill>
                  <pic:spPr bwMode="auto">
                    <a:xfrm>
                      <a:off x="0" y="0"/>
                      <a:ext cx="467995" cy="1583865"/>
                    </a:xfrm>
                    <a:prstGeom prst="rect">
                      <a:avLst/>
                    </a:prstGeom>
                  </pic:spPr>
                </pic:pic>
              </a:graphicData>
            </a:graphic>
          </wp:inline>
        </w:drawing>
      </w:r>
    </w:p>
    <w:p w:rsidR="00B860B4" w14:paraId="7BF07510"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11"/>
                    <a:stretch>
                      <a:fillRect/>
                    </a:stretch>
                  </pic:blipFill>
                  <pic:spPr bwMode="auto">
                    <a:xfrm>
                      <a:off x="0" y="0"/>
                      <a:ext cx="2339975" cy="1320165"/>
                    </a:xfrm>
                    <a:prstGeom prst="rect">
                      <a:avLst/>
                    </a:prstGeom>
                  </pic:spPr>
                </pic:pic>
              </a:graphicData>
            </a:graphic>
          </wp:inline>
        </w:drawing>
      </w:r>
    </w:p>
    <w:p w:rsidR="00B860B4" w14:paraId="52C7E704" w14:textId="77777777">
      <w:pPr>
        <w:pStyle w:val="Referentiegegevens"/>
        <w:framePr w:w="7540" w:h="255" w:wrap="none" w:hAnchor="page" w:vAnchor="page" w:x="1592" w:y="2709" w:hRule="exact" w:anchorLock="1"/>
      </w:pPr>
      <w:r>
        <w:t>&gt; Retouradres Postbus 20011 2500 EA  Den Haag</w:t>
      </w:r>
    </w:p>
    <w:p w:rsidR="00B860B4" w14:paraId="59F65633" w14:textId="77777777">
      <w:pPr>
        <w:framePr w:w="7540" w:h="1757" w:wrap="none" w:hAnchor="page" w:vAnchor="page" w:x="1587" w:y="3078" w:hRule="exact" w:anchorLock="1"/>
      </w:pPr>
      <w:r>
        <w:t>Aan de Voorzitter van de Tweede Kamer der Staten-Generaal</w:t>
      </w:r>
    </w:p>
    <w:p w:rsidR="007E3C71" w14:paraId="5A55C2E2" w14:textId="77777777">
      <w:pPr>
        <w:framePr w:w="7540" w:h="1757" w:wrap="none" w:hAnchor="page" w:vAnchor="page" w:x="1587" w:y="3078" w:hRule="exact" w:anchorLock="1"/>
      </w:pPr>
      <w:r>
        <w:t>Postbus 20018</w:t>
      </w:r>
    </w:p>
    <w:p w:rsidR="007E3C71" w14:paraId="27224892" w14:textId="77777777">
      <w:pPr>
        <w:framePr w:w="7540" w:h="1757" w:wrap="none" w:hAnchor="page" w:vAnchor="page" w:x="1587" w:y="3078" w:hRule="exact" w:anchorLock="1"/>
      </w:pPr>
      <w:r>
        <w:t>2500EA DEN HAAG</w:t>
      </w:r>
    </w:p>
    <w:p w:rsidR="00B860B4" w14:paraId="6946D52A" w14:textId="77777777">
      <w:pPr>
        <w:pStyle w:val="Referentiegegevensbold"/>
        <w:framePr w:w="2012" w:h="12614" w:wrap="none" w:hAnchor="page" w:vAnchor="page" w:x="9325" w:y="3095" w:hRule="exact" w:anchorLock="1"/>
      </w:pPr>
      <w:r>
        <w:t>DG Volkshuisvesting en Bouwen</w:t>
      </w:r>
    </w:p>
    <w:p w:rsidR="00B860B4" w14:paraId="5D6C9B13" w14:textId="77777777">
      <w:pPr>
        <w:pStyle w:val="Referentiegegevens"/>
        <w:framePr w:w="2012" w:h="12614" w:wrap="none" w:hAnchor="page" w:vAnchor="page" w:x="9325" w:y="3095" w:hRule="exact" w:anchorLock="1"/>
      </w:pPr>
      <w:r>
        <w:t>DGVB-WN-Koop &amp; Kapitaalmarkt</w:t>
      </w:r>
    </w:p>
    <w:p w:rsidR="00B860B4" w14:paraId="2A861A8B" w14:textId="77777777">
      <w:pPr>
        <w:pStyle w:val="WitregelW1"/>
        <w:framePr w:w="2012" w:h="12614" w:wrap="none" w:hAnchor="page" w:vAnchor="page" w:x="9325" w:y="3095" w:hRule="exact" w:anchorLock="1"/>
      </w:pPr>
    </w:p>
    <w:p w:rsidR="00B860B4" w14:paraId="75B51CE3" w14:textId="77777777">
      <w:pPr>
        <w:pStyle w:val="Referentiegegevens"/>
        <w:framePr w:w="2012" w:h="12614" w:wrap="none" w:hAnchor="page" w:vAnchor="page" w:x="9325" w:y="3095" w:hRule="exact" w:anchorLock="1"/>
      </w:pPr>
      <w:r>
        <w:t>Turfmarkt 147</w:t>
      </w:r>
    </w:p>
    <w:p w:rsidRPr="007E3C71" w:rsidR="00B860B4" w14:paraId="40221ADD" w14:textId="77777777">
      <w:pPr>
        <w:pStyle w:val="Referentiegegevens"/>
        <w:framePr w:w="2012" w:h="12614" w:wrap="none" w:hAnchor="page" w:vAnchor="page" w:x="9325" w:y="3095" w:hRule="exact" w:anchorLock="1"/>
        <w:rPr>
          <w:lang w:val="de-DE"/>
        </w:rPr>
      </w:pPr>
      <w:r w:rsidRPr="007E3C71">
        <w:rPr>
          <w:lang w:val="de-DE"/>
        </w:rPr>
        <w:t>2511 DP  Den Haag</w:t>
      </w:r>
    </w:p>
    <w:p w:rsidRPr="007E3C71" w:rsidR="00B860B4" w14:paraId="776D676C" w14:textId="77777777">
      <w:pPr>
        <w:pStyle w:val="Referentiegegevens"/>
        <w:framePr w:w="2012" w:h="12614" w:wrap="none" w:hAnchor="page" w:vAnchor="page" w:x="9325" w:y="3095" w:hRule="exact" w:anchorLock="1"/>
        <w:rPr>
          <w:lang w:val="de-DE"/>
        </w:rPr>
      </w:pPr>
      <w:r w:rsidRPr="007E3C71">
        <w:rPr>
          <w:lang w:val="de-DE"/>
        </w:rPr>
        <w:t>Postbus 20011</w:t>
      </w:r>
    </w:p>
    <w:p w:rsidRPr="007E3C71" w:rsidR="00B860B4" w14:paraId="3B25A3F4" w14:textId="77777777">
      <w:pPr>
        <w:pStyle w:val="Referentiegegevens"/>
        <w:framePr w:w="2012" w:h="12614" w:wrap="none" w:hAnchor="page" w:vAnchor="page" w:x="9325" w:y="3095" w:hRule="exact" w:anchorLock="1"/>
        <w:rPr>
          <w:lang w:val="de-DE"/>
        </w:rPr>
      </w:pPr>
      <w:r w:rsidRPr="007E3C71">
        <w:rPr>
          <w:lang w:val="de-DE"/>
        </w:rPr>
        <w:t>2500 EA  Den Haag</w:t>
      </w:r>
    </w:p>
    <w:p w:rsidRPr="007E3C71" w:rsidR="00B860B4" w14:paraId="2E0F9C16" w14:textId="77777777">
      <w:pPr>
        <w:pStyle w:val="Referentiegegevens"/>
        <w:framePr w:w="2012" w:h="12614" w:wrap="none" w:hAnchor="page" w:vAnchor="page" w:x="9325" w:y="3095" w:hRule="exact" w:anchorLock="1"/>
        <w:rPr>
          <w:lang w:val="de-DE"/>
        </w:rPr>
      </w:pPr>
      <w:r w:rsidRPr="007E3C71">
        <w:rPr>
          <w:lang w:val="de-DE"/>
        </w:rPr>
        <w:t>www.rijksoverheid.nl</w:t>
      </w:r>
    </w:p>
    <w:p w:rsidRPr="007E3C71" w:rsidR="00B860B4" w14:paraId="27E3C6AB" w14:textId="77777777">
      <w:pPr>
        <w:pStyle w:val="WitregelW1"/>
        <w:framePr w:w="2012" w:h="12614" w:wrap="none" w:hAnchor="page" w:vAnchor="page" w:x="9325" w:y="3095" w:hRule="exact" w:anchorLock="1"/>
        <w:rPr>
          <w:lang w:val="de-DE"/>
        </w:rPr>
      </w:pPr>
    </w:p>
    <w:p w:rsidR="00B860B4" w14:paraId="68495D51" w14:textId="7D0569CD">
      <w:pPr>
        <w:pStyle w:val="Referentiegegevensbold"/>
        <w:framePr w:w="2012" w:h="12614" w:wrap="none" w:hAnchor="page" w:vAnchor="page" w:x="9325" w:y="3095" w:hRule="exact" w:anchorLock="1"/>
        <w:rPr>
          <w:lang w:val="en-US"/>
        </w:rPr>
      </w:pPr>
    </w:p>
    <w:p w:rsidRPr="008355BB" w:rsidR="008355BB" w:rsidP="008355BB" w14:paraId="760608A0" w14:textId="77777777">
      <w:pPr>
        <w:framePr w:w="2012" w:h="12614" w:wrap="none" w:hAnchor="page" w:vAnchor="page" w:x="9325" w:y="3095" w:hRule="exact" w:anchorLock="1"/>
        <w:rPr>
          <w:lang w:val="en-US"/>
        </w:rPr>
      </w:pPr>
    </w:p>
    <w:p w:rsidRPr="007E3C71" w:rsidR="00B860B4" w14:paraId="4824BF08" w14:textId="77777777">
      <w:pPr>
        <w:pStyle w:val="WitregelW2"/>
        <w:framePr w:w="2012" w:h="12614" w:wrap="none" w:hAnchor="page" w:vAnchor="page" w:x="9325" w:y="3095" w:hRule="exact" w:anchorLock="1"/>
        <w:rPr>
          <w:lang w:val="en-US"/>
        </w:rPr>
      </w:pPr>
    </w:p>
    <w:p w:rsidR="00B860B4" w14:paraId="44C17956" w14:textId="77777777">
      <w:pPr>
        <w:pStyle w:val="Referentiegegevensbold"/>
        <w:framePr w:w="2012" w:h="12614" w:wrap="none" w:hAnchor="page" w:vAnchor="page" w:x="9325" w:y="3095" w:hRule="exact" w:anchorLock="1"/>
      </w:pPr>
      <w:r>
        <w:t>Onze referentie</w:t>
      </w:r>
    </w:p>
    <w:p w:rsidR="00B860B4" w14:paraId="4D58B381"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2026-0000563202</w:t>
      </w:r>
      <w:r>
        <w:fldChar w:fldCharType="end"/>
      </w:r>
    </w:p>
    <w:p w:rsidR="00B860B4" w14:paraId="5EEB3ED8" w14:textId="77777777">
      <w:pPr>
        <w:pStyle w:val="WitregelW1"/>
        <w:framePr w:w="2012" w:h="12614" w:wrap="none" w:hAnchor="page" w:vAnchor="page" w:x="9325" w:y="3095" w:hRule="exact" w:anchorLock="1"/>
      </w:pPr>
    </w:p>
    <w:p w:rsidR="00B860B4" w14:paraId="01D6BC4A" w14:textId="77777777">
      <w:pPr>
        <w:pStyle w:val="Referentiegegevensbold"/>
        <w:framePr w:w="2012" w:h="12614" w:wrap="none" w:hAnchor="page" w:vAnchor="page" w:x="9325" w:y="3095" w:hRule="exact" w:anchorLock="1"/>
      </w:pPr>
      <w:r>
        <w:t>Bijlage(n)</w:t>
      </w:r>
    </w:p>
    <w:p w:rsidR="00B860B4" w14:paraId="260211DD" w14:textId="77777777">
      <w:pPr>
        <w:pStyle w:val="Referentiegegevens"/>
        <w:framePr w:w="2012" w:h="12614" w:wrap="none" w:hAnchor="page" w:vAnchor="page" w:x="9325" w:y="3095" w:hRule="exact" w:anchorLock="1"/>
      </w:pPr>
      <w:r>
        <w:t>2</w:t>
      </w:r>
    </w:p>
    <w:tbl>
      <w:tblPr>
        <w:tblW w:w="0" w:type="auto"/>
        <w:tblLayout w:type="fixed"/>
        <w:tblLook w:val="0740"/>
      </w:tblPr>
      <w:tblGrid>
        <w:gridCol w:w="1140"/>
        <w:gridCol w:w="5918"/>
      </w:tblGrid>
      <w:tr w14:paraId="31133787" w14:textId="77777777">
        <w:tblPrEx>
          <w:tblW w:w="0" w:type="auto"/>
          <w:tblLayout w:type="fixed"/>
          <w:tblLook w:val="0740"/>
        </w:tblPrEx>
        <w:trPr>
          <w:trHeight w:val="240"/>
        </w:trPr>
        <w:tc>
          <w:tcPr>
            <w:tcW w:w="1140" w:type="dxa"/>
          </w:tcPr>
          <w:p w:rsidR="00B860B4" w14:paraId="387420DB" w14:textId="77777777">
            <w:pPr>
              <w:framePr w:w="7540" w:h="510" w:wrap="none" w:hAnchor="page" w:vAnchor="page" w:x="1589" w:y="5283" w:hRule="exact" w:anchorLock="1"/>
            </w:pPr>
            <w:r>
              <w:t>Datum</w:t>
            </w:r>
          </w:p>
        </w:tc>
        <w:tc>
          <w:tcPr>
            <w:tcW w:w="5918" w:type="dxa"/>
          </w:tcPr>
          <w:p w:rsidR="00B860B4" w14:paraId="5A1D4CAC" w14:textId="345C4691">
            <w:pPr>
              <w:framePr w:w="7540" w:h="510" w:wrap="none" w:hAnchor="page" w:vAnchor="page" w:x="1589" w:y="5283" w:hRule="exact" w:anchorLock="1"/>
            </w:pPr>
            <w:r>
              <w:t>2 november 2025</w:t>
            </w:r>
          </w:p>
        </w:tc>
      </w:tr>
      <w:tr w14:paraId="1C03343F" w14:textId="77777777">
        <w:tblPrEx>
          <w:tblW w:w="0" w:type="auto"/>
          <w:tblLayout w:type="fixed"/>
          <w:tblLook w:val="0740"/>
        </w:tblPrEx>
        <w:trPr>
          <w:trHeight w:val="240"/>
        </w:trPr>
        <w:tc>
          <w:tcPr>
            <w:tcW w:w="1140" w:type="dxa"/>
          </w:tcPr>
          <w:p w:rsidR="00B860B4" w14:paraId="4946161A" w14:textId="77777777">
            <w:pPr>
              <w:framePr w:w="7540" w:h="510" w:wrap="none" w:hAnchor="page" w:vAnchor="page" w:x="1589" w:y="5283" w:hRule="exact" w:anchorLock="1"/>
            </w:pPr>
            <w:r>
              <w:t>Betreft</w:t>
            </w:r>
          </w:p>
        </w:tc>
        <w:tc>
          <w:tcPr>
            <w:tcW w:w="5918" w:type="dxa"/>
          </w:tcPr>
          <w:p w:rsidR="00B860B4" w14:paraId="20CAB80B"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Leennormen hypothecair krediet 2027</w:t>
            </w:r>
            <w:r>
              <w:fldChar w:fldCharType="end"/>
            </w:r>
          </w:p>
        </w:tc>
      </w:tr>
    </w:tbl>
    <w:p w:rsidR="00400221" w14:paraId="41F81BD8"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B860B4" w14:paraId="665107D5" w14:textId="77777777"/>
    <w:p w:rsidRPr="007C698A" w:rsidR="007C698A" w:rsidP="007C698A" w14:paraId="4DA65277" w14:textId="77777777">
      <w:r w:rsidRPr="007E3C71">
        <w:t>Veel huishoudens zijn voor de aankoop van een woning afhankelijk van een hypothecair krediet. De leennormen voorkomen dat huishoudens bij het aangaan van een hypotheek onverantwoorde financiële risico’s nemen. Ieder jaar worden de leennormen voor het komende jaar vastgesteld. Met deze brief informeer ik u, mede namens de minister van Financiën, over de leennormen voor 202</w:t>
      </w:r>
      <w:r>
        <w:t>7</w:t>
      </w:r>
      <w:r w:rsidRPr="007E3C71">
        <w:t>.</w:t>
      </w:r>
      <w:r w:rsidR="00B60248">
        <w:t xml:space="preserve"> </w:t>
      </w:r>
      <w:r w:rsidRPr="007C698A">
        <w:t xml:space="preserve">Daarbij ga ik ook in op de rol die </w:t>
      </w:r>
      <w:r w:rsidRPr="00937242" w:rsidR="00937242">
        <w:t>de Toegankelijkheidsmonitor Koopwoningmarkt van het Centraal Planbureau (CPB</w:t>
      </w:r>
      <w:r w:rsidR="00937242">
        <w:t>) en de m</w:t>
      </w:r>
      <w:r w:rsidRPr="007C698A">
        <w:t>onitor leennormen en financiële stabiliteit</w:t>
      </w:r>
      <w:r>
        <w:t xml:space="preserve"> v</w:t>
      </w:r>
      <w:r w:rsidRPr="007C698A">
        <w:t xml:space="preserve">an </w:t>
      </w:r>
      <w:r>
        <w:t xml:space="preserve">De Nederlandsche Bank (DNB) en de Autoriteit Financiële Markten (AFM) </w:t>
      </w:r>
      <w:r w:rsidRPr="007C698A">
        <w:t xml:space="preserve">hebben gespeeld bij de vaststelling van de leennormen. </w:t>
      </w:r>
      <w:r w:rsidR="003302DC">
        <w:t xml:space="preserve">Daarnaast </w:t>
      </w:r>
      <w:r w:rsidRPr="007C698A">
        <w:t xml:space="preserve">kom ik in deze brief </w:t>
      </w:r>
      <w:r w:rsidR="003302DC">
        <w:t xml:space="preserve">terug </w:t>
      </w:r>
      <w:r w:rsidRPr="007C698A">
        <w:t xml:space="preserve">op een toezegging aan </w:t>
      </w:r>
      <w:r w:rsidR="007C1EC5">
        <w:t>het lid</w:t>
      </w:r>
      <w:r w:rsidRPr="007C698A">
        <w:t xml:space="preserve"> Flach</w:t>
      </w:r>
      <w:r w:rsidR="000B1C04">
        <w:t xml:space="preserve"> (SGP)</w:t>
      </w:r>
      <w:r w:rsidRPr="007C698A">
        <w:t xml:space="preserve"> uit het commissiedebat Volkshuisvesting en Fiscaliteit</w:t>
      </w:r>
      <w:r w:rsidR="00B0740F">
        <w:t xml:space="preserve"> o</w:t>
      </w:r>
      <w:r w:rsidR="00976955">
        <w:t>v</w:t>
      </w:r>
      <w:r w:rsidR="00B0740F">
        <w:t>er de</w:t>
      </w:r>
      <w:r w:rsidRPr="00B0740F" w:rsidR="00B0740F">
        <w:t xml:space="preserve"> impact van de leennormen op de positie van starters op de woningmarkt</w:t>
      </w:r>
      <w:r>
        <w:rPr>
          <w:rStyle w:val="FootnoteReference"/>
        </w:rPr>
        <w:footnoteReference w:id="2"/>
      </w:r>
      <w:r w:rsidR="003302DC">
        <w:t xml:space="preserve"> en op een vraag van </w:t>
      </w:r>
      <w:r w:rsidR="007C1EC5">
        <w:t>het lid</w:t>
      </w:r>
      <w:r w:rsidR="003302DC">
        <w:t xml:space="preserve"> Flach in het commissiedebat </w:t>
      </w:r>
      <w:r w:rsidRPr="0024494A" w:rsidR="003302DC">
        <w:t>Arbeidsmarktbeleid en arbeidsmarktdiscriminatie</w:t>
      </w:r>
      <w:r w:rsidRPr="007C698A">
        <w:t xml:space="preserve">. </w:t>
      </w:r>
    </w:p>
    <w:p w:rsidR="00B860B4" w14:paraId="00B68224" w14:textId="77777777"/>
    <w:p w:rsidRPr="008C24A0" w:rsidR="00B860B4" w14:paraId="74AB498F" w14:textId="77777777">
      <w:pPr>
        <w:rPr>
          <w:b/>
          <w:bCs/>
        </w:rPr>
      </w:pPr>
      <w:r w:rsidRPr="008C24A0">
        <w:rPr>
          <w:b/>
          <w:bCs/>
        </w:rPr>
        <w:t>Maximale leenruimte 202</w:t>
      </w:r>
      <w:r w:rsidR="00FA09C8">
        <w:rPr>
          <w:b/>
          <w:bCs/>
        </w:rPr>
        <w:t>7</w:t>
      </w:r>
    </w:p>
    <w:p w:rsidR="00B60248" w14:paraId="6A31F2C7" w14:textId="77777777">
      <w:r w:rsidRPr="00B60248">
        <w:t>Het kabinet vindt het belangrijk dat mensen een huis kunnen kopen dat zoveel mogelijk aansluit op hun wensen en persoonlijke situatie. Tegelijkertijd mag de aanschaf van een woning niet leiden tot onverantwoorde financiële risico</w:t>
      </w:r>
      <w:r w:rsidR="00C455D0">
        <w:t>’</w:t>
      </w:r>
      <w:r w:rsidRPr="00B60248">
        <w:t xml:space="preserve">s voor huishoudens. Het Nibud adviseert het kabinet ieder jaar over de leennormen. Daarbij staan betaalbaarheid, hanteerbaarheid en robuustheid centraal. </w:t>
      </w:r>
    </w:p>
    <w:p w:rsidR="00B60248" w14:paraId="193B9D07" w14:textId="77777777"/>
    <w:p w:rsidR="0020422D" w:rsidP="006A6F87" w14:paraId="1F03DC21" w14:textId="77777777">
      <w:r w:rsidRPr="00B60248">
        <w:t>Het Nibud</w:t>
      </w:r>
      <w:r w:rsidR="00925D48">
        <w:t xml:space="preserve"> adviseert </w:t>
      </w:r>
      <w:r w:rsidRPr="00B60248">
        <w:t xml:space="preserve">hoe hoog de hypotheeklasten kunnen zijn, zonder dat huishoudens financieel in de knel komen. </w:t>
      </w:r>
      <w:bookmarkStart w:name="_Hlk242887950" w:id="1"/>
      <w:r w:rsidRPr="00B60248">
        <w:t>Huishoudens moeten namelijk voldoende ruimte in h</w:t>
      </w:r>
      <w:r w:rsidR="00925D48">
        <w:t>un</w:t>
      </w:r>
      <w:r w:rsidRPr="00B60248">
        <w:t xml:space="preserve"> maandelijks budget overhouden voor andere uitgaven, zoals voeding, energie en kleding</w:t>
      </w:r>
      <w:bookmarkEnd w:id="1"/>
      <w:r w:rsidRPr="00B60248">
        <w:t xml:space="preserve">. De maximale woonlasten en daaruit volgend de maximale hypotheek is onder andere afhankelijk van de inflatie, het huishoudinkomen, wijzigingen in de fiscaliteit en de hypotheekrente. </w:t>
      </w:r>
    </w:p>
    <w:p w:rsidR="0020422D" w:rsidP="006A6F87" w14:paraId="72209582" w14:textId="77777777"/>
    <w:p w:rsidR="00583CA7" w14:paraId="67148CEB" w14:textId="77777777">
      <w:r w:rsidRPr="006A6F87">
        <w:t>Ik hecht aan het onafhankelijk advies van het Nibud</w:t>
      </w:r>
      <w:r w:rsidR="00370CB9">
        <w:t xml:space="preserve">. Daarnaast zijn de leennormen in 2025 </w:t>
      </w:r>
      <w:r w:rsidR="00407F74">
        <w:t>als doelmatig</w:t>
      </w:r>
      <w:r w:rsidR="00370CB9">
        <w:t xml:space="preserve"> geëvalueerd</w:t>
      </w:r>
      <w:r>
        <w:rPr>
          <w:rStyle w:val="FootnoteReference"/>
        </w:rPr>
        <w:footnoteReference w:id="3"/>
      </w:r>
      <w:r w:rsidR="00F72FF3">
        <w:t xml:space="preserve"> door </w:t>
      </w:r>
      <w:r w:rsidRPr="0000645B" w:rsidR="00F72FF3">
        <w:t>SEO economisch onderzoek</w:t>
      </w:r>
      <w:r w:rsidR="00F72FF3">
        <w:t xml:space="preserve"> (</w:t>
      </w:r>
      <w:r w:rsidR="00933C06">
        <w:t>h</w:t>
      </w:r>
      <w:r w:rsidR="00F72FF3">
        <w:t>ierna: SEO)</w:t>
      </w:r>
      <w:r w:rsidRPr="006A6F87">
        <w:t xml:space="preserve">. Hierom handhaaf ik de methode van het Nibud </w:t>
      </w:r>
      <w:r>
        <w:t>en voer ik geen beleidswijzigingen door</w:t>
      </w:r>
      <w:r w:rsidRPr="006A6F87">
        <w:t xml:space="preserve">. </w:t>
      </w:r>
      <w:r>
        <w:t xml:space="preserve">Dit betekent echter niet dat de </w:t>
      </w:r>
      <w:r w:rsidR="00E22052">
        <w:t>hoogte van de maximale hypotheeklast</w:t>
      </w:r>
      <w:r w:rsidR="0020422D">
        <w:t xml:space="preserve"> </w:t>
      </w:r>
      <w:r>
        <w:t>niet wijzig</w:t>
      </w:r>
      <w:r w:rsidR="00E22052">
        <w:t>t</w:t>
      </w:r>
      <w:r>
        <w:t xml:space="preserve">. </w:t>
      </w:r>
      <w:r w:rsidR="004933E3">
        <w:t>V</w:t>
      </w:r>
      <w:r>
        <w:t>erschillende</w:t>
      </w:r>
      <w:r w:rsidR="0020422D">
        <w:t xml:space="preserve"> externe</w:t>
      </w:r>
      <w:r>
        <w:t xml:space="preserve"> factoren zoals</w:t>
      </w:r>
      <w:r w:rsidR="0020422D">
        <w:t xml:space="preserve"> inflatie en hypotheekrente</w:t>
      </w:r>
      <w:r w:rsidR="00B51950">
        <w:t xml:space="preserve"> </w:t>
      </w:r>
      <w:r>
        <w:t xml:space="preserve">die invloed hebben op de </w:t>
      </w:r>
      <w:r w:rsidR="00E22052">
        <w:t>hoogte van de</w:t>
      </w:r>
      <w:r>
        <w:t xml:space="preserve"> maximale</w:t>
      </w:r>
      <w:r w:rsidR="00933C06">
        <w:t xml:space="preserve"> hypotheek</w:t>
      </w:r>
      <w:r>
        <w:t>last veranderen namelijk wel.</w:t>
      </w:r>
      <w:r w:rsidR="000E27D8">
        <w:t xml:space="preserve"> </w:t>
      </w:r>
      <w:r>
        <w:t xml:space="preserve">                    </w:t>
      </w:r>
    </w:p>
    <w:p w:rsidR="000E27D8" w14:paraId="1A6EF468" w14:textId="77777777">
      <w:r w:rsidRPr="00CC6AF7">
        <w:t xml:space="preserve">De onderstaande grafiek geeft </w:t>
      </w:r>
      <w:r w:rsidR="00FA09C8">
        <w:t xml:space="preserve">de verandering in leencapaciteit </w:t>
      </w:r>
      <w:r w:rsidRPr="00CC6AF7">
        <w:t>weer bij een bepaald inkomen</w:t>
      </w:r>
      <w:r w:rsidR="003302DC">
        <w:t xml:space="preserve"> voor niet-AOW-gerechtigden</w:t>
      </w:r>
      <w:r>
        <w:t xml:space="preserve"> en gelijkblijvende rente</w:t>
      </w:r>
      <w:r w:rsidRPr="00CC6AF7">
        <w:t>. De blauwe lijn toont het verschil in de maximale hypotheek</w:t>
      </w:r>
      <w:r w:rsidR="003302DC">
        <w:t xml:space="preserve"> </w:t>
      </w:r>
      <w:r w:rsidRPr="003D7CBC" w:rsidR="003D7CBC">
        <w:t>tussen 2026 en 2027, zonder rekening te houden met de verwachte loonstijging.</w:t>
      </w:r>
      <w:r w:rsidR="003302DC">
        <w:t xml:space="preserve"> </w:t>
      </w:r>
      <w:r w:rsidRPr="003D7CBC" w:rsidR="003D7CBC">
        <w:t>De rode lijn geeft het verschil weer met de maximale hypotheek, inclusief het effect van de verwachte loonstijging</w:t>
      </w:r>
      <w:r w:rsidRPr="00CC6AF7">
        <w:t xml:space="preserve">. Het CPB verwacht een </w:t>
      </w:r>
      <w:r w:rsidR="00925B93">
        <w:t>loonstijging</w:t>
      </w:r>
      <w:r>
        <w:t xml:space="preserve"> </w:t>
      </w:r>
      <w:r w:rsidRPr="00CC6AF7">
        <w:t xml:space="preserve">van </w:t>
      </w:r>
      <w:r w:rsidR="00925B93">
        <w:t>3,7</w:t>
      </w:r>
      <w:r w:rsidRPr="00CC6AF7">
        <w:t xml:space="preserve"> procent voor 202</w:t>
      </w:r>
      <w:r>
        <w:t>7</w:t>
      </w:r>
      <w:r w:rsidRPr="00CC6AF7">
        <w:t xml:space="preserve">. </w:t>
      </w:r>
      <w:bookmarkStart w:name="_Hlk242884784" w:id="2"/>
      <w:r w:rsidR="00FA09C8">
        <w:t xml:space="preserve">Zonder </w:t>
      </w:r>
      <w:r w:rsidRPr="00CC6AF7">
        <w:t>verwachte inkomensgroei neemt de maximale leenruimte</w:t>
      </w:r>
      <w:r w:rsidR="00FA09C8">
        <w:t xml:space="preserve"> beperkt </w:t>
      </w:r>
      <w:r w:rsidRPr="00CC6AF7">
        <w:t>toe voor alle inkomensgroepen</w:t>
      </w:r>
      <w:r w:rsidR="00FA09C8">
        <w:t xml:space="preserve">. Inclusief loonstijging neemt de leencapaciteit </w:t>
      </w:r>
      <w:r w:rsidRPr="004C41F7" w:rsidR="00FA09C8">
        <w:t>meer toe voor alle inkomensgroepen</w:t>
      </w:r>
      <w:r w:rsidR="000112D7">
        <w:t xml:space="preserve">. </w:t>
      </w:r>
      <w:bookmarkEnd w:id="2"/>
      <w:r w:rsidRPr="00CC6AF7">
        <w:t xml:space="preserve">Bij hogere inkomens is de loonstijging in </w:t>
      </w:r>
      <w:r w:rsidR="00855AF3">
        <w:t>absolute euro</w:t>
      </w:r>
      <w:r w:rsidR="00C455D0">
        <w:t>’</w:t>
      </w:r>
      <w:r w:rsidR="00855AF3">
        <w:t>s</w:t>
      </w:r>
      <w:r w:rsidRPr="00CC6AF7">
        <w:t xml:space="preserve"> groter dan bij </w:t>
      </w:r>
      <w:r w:rsidR="00855AF3">
        <w:t xml:space="preserve">lagere en middeninkomens. Als percentage van het inkomen is de </w:t>
      </w:r>
      <w:r w:rsidR="00D42920">
        <w:t>stijging</w:t>
      </w:r>
      <w:r w:rsidR="00855AF3">
        <w:t xml:space="preserve"> van de leencapaciteit </w:t>
      </w:r>
      <w:r w:rsidR="00D42920">
        <w:t>ongeveer</w:t>
      </w:r>
      <w:r w:rsidR="00855AF3">
        <w:t xml:space="preserve"> gelijk</w:t>
      </w:r>
      <w:r w:rsidR="00D42920">
        <w:t xml:space="preserve">. </w:t>
      </w:r>
    </w:p>
    <w:p w:rsidR="000E27D8" w14:paraId="2DA2F5E0" w14:textId="77777777"/>
    <w:p w:rsidR="00B16D63" w14:paraId="5FBF5FC6" w14:textId="77777777">
      <w:r w:rsidRPr="00C079F2">
        <w:t xml:space="preserve">De </w:t>
      </w:r>
      <w:r>
        <w:t xml:space="preserve">onderstaande grafiek geeft echter </w:t>
      </w:r>
      <w:r w:rsidRPr="00C079F2">
        <w:t xml:space="preserve">de situatie weer bij gelijkblijvende rentes. De afgelopen tijd is de hypotheekrente aan het stijgen. </w:t>
      </w:r>
      <w:r w:rsidR="000E27D8">
        <w:t xml:space="preserve">Dit </w:t>
      </w:r>
      <w:r w:rsidRPr="00C079F2">
        <w:t>betekent dat een lagere maximale hypotheek mogelijk is. Daardoor zou in de praktijk een stijging van de leencapaciteit wel eens lager kunnen uitvallen dan uit deze grafieken blijkt.</w:t>
      </w:r>
    </w:p>
    <w:p w:rsidR="009B737F" w14:paraId="4BCA211F" w14:textId="77777777"/>
    <w:p w:rsidR="00855AF3" w:rsidP="00855AF3" w14:paraId="24657536" w14:textId="77777777">
      <w:pPr>
        <w:keepNext/>
        <w:jc w:val="center"/>
      </w:pPr>
      <w:r w:rsidRPr="009B737F">
        <w:rPr>
          <w:noProof/>
        </w:rPr>
        <w:drawing>
          <wp:inline distT="0" distB="0" distL="0" distR="0">
            <wp:extent cx="4107822" cy="2480164"/>
            <wp:effectExtent l="0" t="0" r="6985" b="0"/>
            <wp:docPr id="122558892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88921" name=""/>
                    <pic:cNvPicPr/>
                  </pic:nvPicPr>
                  <pic:blipFill>
                    <a:blip xmlns:r="http://schemas.openxmlformats.org/officeDocument/2006/relationships" r:embed="rId12"/>
                    <a:stretch>
                      <a:fillRect/>
                    </a:stretch>
                  </pic:blipFill>
                  <pic:spPr>
                    <a:xfrm>
                      <a:off x="0" y="0"/>
                      <a:ext cx="4116778" cy="2485571"/>
                    </a:xfrm>
                    <a:prstGeom prst="rect">
                      <a:avLst/>
                    </a:prstGeom>
                  </pic:spPr>
                </pic:pic>
              </a:graphicData>
            </a:graphic>
          </wp:inline>
        </w:drawing>
      </w:r>
    </w:p>
    <w:p w:rsidR="00400221" w14:paraId="634E4F03" w14:textId="77777777">
      <w:pPr>
        <w:pStyle w:val="Caption"/>
        <w:jc w:val="center"/>
      </w:pPr>
      <w:r>
        <w:t xml:space="preserve">Figuur </w:t>
      </w:r>
      <w:r>
        <w:fldChar w:fldCharType="begin"/>
      </w:r>
      <w:r>
        <w:instrText xml:space="preserve"> SEQ Figuur \* ARABIC </w:instrText>
      </w:r>
      <w:r>
        <w:fldChar w:fldCharType="separate"/>
      </w:r>
      <w:r>
        <w:t>1</w:t>
      </w:r>
      <w:r>
        <w:fldChar w:fldCharType="end"/>
      </w:r>
      <w:r>
        <w:t>: Verschil in euro’s maximale hypotheek 2026-2027 met en zonder loonstijging en gelijkblijvende hypotheekrente</w:t>
      </w:r>
    </w:p>
    <w:p w:rsidR="00CC6AF7" w14:paraId="4E3A2159" w14:textId="77777777"/>
    <w:p w:rsidRPr="00FA09C8" w:rsidR="00FA09C8" w14:paraId="271E2575" w14:textId="77777777">
      <w:pPr>
        <w:rPr>
          <w:b/>
          <w:bCs/>
        </w:rPr>
      </w:pPr>
      <w:r>
        <w:rPr>
          <w:b/>
          <w:bCs/>
        </w:rPr>
        <w:t>Toelichting ontwikkeling leenruimte</w:t>
      </w:r>
    </w:p>
    <w:p w:rsidR="004F2E09" w14:paraId="4A8FAFFA" w14:textId="77777777">
      <w:bookmarkStart w:name="_Hlk242888026" w:id="3"/>
      <w:r>
        <w:t xml:space="preserve">Voor </w:t>
      </w:r>
      <w:r w:rsidRPr="00F25EDA" w:rsidR="00F25EDA">
        <w:t xml:space="preserve">het bepalen van </w:t>
      </w:r>
      <w:r w:rsidR="004933E3">
        <w:t xml:space="preserve">de </w:t>
      </w:r>
      <w:r w:rsidRPr="00F25EDA" w:rsidR="00F25EDA">
        <w:t>financieringslastpercentage</w:t>
      </w:r>
      <w:r w:rsidR="004933E3">
        <w:t>s</w:t>
      </w:r>
      <w:r w:rsidR="00BE3067">
        <w:t xml:space="preserve"> </w:t>
      </w:r>
      <w:r w:rsidRPr="00F25EDA" w:rsidR="00F25EDA">
        <w:t>wordt gebruikgemaakt van een middeling over vier jaar. Dit betekent dat de financieringslastpercentages van de afgelopen vier jaar worden meegenomen en met elkaar worden gemiddeld</w:t>
      </w:r>
      <w:bookmarkEnd w:id="3"/>
      <w:r w:rsidR="004C41F7">
        <w:t>.</w:t>
      </w:r>
      <w:r w:rsidRPr="00F25EDA" w:rsidR="00F25EDA">
        <w:t xml:space="preserve"> Het gemiddelde van deze vier percentages wordt vervolgens gebruikt als het financieringslastpercentage</w:t>
      </w:r>
      <w:r w:rsidR="004C41F7">
        <w:t xml:space="preserve"> voor dat jaar</w:t>
      </w:r>
      <w:r w:rsidRPr="00F25EDA" w:rsidR="00F25EDA">
        <w:t>.</w:t>
      </w:r>
      <w:r w:rsidR="00F25EDA">
        <w:t xml:space="preserve"> </w:t>
      </w:r>
      <w:r>
        <w:t xml:space="preserve">Door de middelingen worden </w:t>
      </w:r>
      <w:r w:rsidR="00C455D0">
        <w:t>pieken en dalen in de leencapaciteit afgevlakt.</w:t>
      </w:r>
      <w:r w:rsidRPr="003D1F83" w:rsidR="003D1F83">
        <w:rPr>
          <w:rFonts w:ascii="Segoe UI" w:hAnsi="Segoe UI" w:eastAsia="Times New Roman" w:cs="Segoe UI"/>
          <w:color w:val="auto"/>
        </w:rPr>
        <w:t xml:space="preserve"> </w:t>
      </w:r>
      <w:r w:rsidRPr="003D1F83" w:rsidR="003D1F83">
        <w:t xml:space="preserve">Middeling beschermt huishoudens dus tegen plotselinge fluctuaties in hun leenmogelijkheden. Dit draagt bij aan een stabiel en voorspelbaar beleid voor huishoudens. </w:t>
      </w:r>
      <w:r w:rsidR="00B51950">
        <w:t>Het</w:t>
      </w:r>
      <w:r w:rsidR="0020422D">
        <w:t xml:space="preserve"> </w:t>
      </w:r>
      <w:r w:rsidR="00B50FC1">
        <w:t>financieringslastpercentage van 202</w:t>
      </w:r>
      <w:r>
        <w:t>7 word</w:t>
      </w:r>
      <w:r w:rsidR="00B51950">
        <w:t>t</w:t>
      </w:r>
      <w:r>
        <w:t xml:space="preserve"> berekend als gemiddelde van de financieringspercentages van de </w:t>
      </w:r>
      <w:r w:rsidR="0020422D">
        <w:t>afgelopen vier jaren (</w:t>
      </w:r>
      <w:r w:rsidRPr="004F2E09">
        <w:t>2023, 2024</w:t>
      </w:r>
      <w:r>
        <w:t xml:space="preserve">, </w:t>
      </w:r>
      <w:r w:rsidRPr="004F2E09">
        <w:t>2025</w:t>
      </w:r>
      <w:r>
        <w:t xml:space="preserve"> en 2026</w:t>
      </w:r>
      <w:r w:rsidR="0020422D">
        <w:t>)</w:t>
      </w:r>
      <w:r w:rsidR="00475960">
        <w:t xml:space="preserve">. </w:t>
      </w:r>
      <w:r w:rsidR="0020422D">
        <w:t>Voo</w:t>
      </w:r>
      <w:r w:rsidR="00BE3067">
        <w:t>r</w:t>
      </w:r>
      <w:r w:rsidR="0020422D">
        <w:t xml:space="preserve"> het vaststellen van </w:t>
      </w:r>
      <w:r w:rsidR="004933E3">
        <w:t xml:space="preserve">de </w:t>
      </w:r>
      <w:r w:rsidR="0020422D">
        <w:t>financieringslastpercentage</w:t>
      </w:r>
      <w:r w:rsidR="004933E3">
        <w:t>s</w:t>
      </w:r>
      <w:r w:rsidR="0020422D">
        <w:t xml:space="preserve"> van 2027 wordt h</w:t>
      </w:r>
      <w:r w:rsidR="00475960">
        <w:t xml:space="preserve">et jaar 2022 vervangen </w:t>
      </w:r>
      <w:r w:rsidR="00B53E8F">
        <w:t>d</w:t>
      </w:r>
      <w:r w:rsidR="00475960">
        <w:t>oor het jaar 2026</w:t>
      </w:r>
      <w:r w:rsidR="0020422D">
        <w:t>.</w:t>
      </w:r>
    </w:p>
    <w:p w:rsidR="00F25EDA" w14:paraId="055EE5B0" w14:textId="77777777"/>
    <w:p w:rsidR="00F25EDA" w14:paraId="249E3894" w14:textId="77777777">
      <w:r>
        <w:t xml:space="preserve">Het jaar 2022 werd gekenmerkt door </w:t>
      </w:r>
      <w:r w:rsidRPr="00B34E37" w:rsidR="00B34E37">
        <w:t>zeer</w:t>
      </w:r>
      <w:r w:rsidR="00B34E37">
        <w:t xml:space="preserve"> </w:t>
      </w:r>
      <w:r w:rsidRPr="00B34E37" w:rsidR="00B34E37">
        <w:t>hoge energieprijzen, terwijl inkomens en belastingvoordelen daarbij achterbleven.</w:t>
      </w:r>
      <w:r w:rsidR="00950EA7">
        <w:t xml:space="preserve"> Nu dit jaar niet meer meetelt in de middeling, heeft dit een opwaarts effect op de leenruimte voor 2027.</w:t>
      </w:r>
      <w:r w:rsidRPr="00B34E37" w:rsidR="00B34E37">
        <w:t xml:space="preserve"> In de</w:t>
      </w:r>
      <w:r w:rsidR="00B34E37">
        <w:t xml:space="preserve"> </w:t>
      </w:r>
      <w:r w:rsidRPr="00B34E37" w:rsidR="00B34E37">
        <w:t>jaren daarna verbeterde de situatie voor huishoudens geleidelijk. Heffingskortingen, zoals</w:t>
      </w:r>
      <w:r w:rsidR="00B34E37">
        <w:t xml:space="preserve"> </w:t>
      </w:r>
      <w:r w:rsidRPr="00B34E37" w:rsidR="00B34E37">
        <w:t>de algemene heffingskorting en de arbeidskorting, werden verhoogd en het tarief in de</w:t>
      </w:r>
      <w:r w:rsidR="00B34E37">
        <w:t xml:space="preserve"> </w:t>
      </w:r>
      <w:r w:rsidRPr="00B34E37" w:rsidR="00B34E37">
        <w:t>eerste schijf</w:t>
      </w:r>
      <w:r w:rsidR="00D66621">
        <w:t xml:space="preserve"> van de inkomensbelasting werd</w:t>
      </w:r>
      <w:r w:rsidRPr="00B34E37" w:rsidR="00B34E37">
        <w:t xml:space="preserve"> verlaagd.</w:t>
      </w:r>
      <w:r w:rsidR="00475960">
        <w:t xml:space="preserve"> </w:t>
      </w:r>
      <w:r w:rsidRPr="00B34E37" w:rsidR="00BD6398">
        <w:t>Hierdoor is de bestedingsruimte van huishoudens structureel</w:t>
      </w:r>
      <w:r w:rsidR="00BD6398">
        <w:t xml:space="preserve"> </w:t>
      </w:r>
      <w:r w:rsidRPr="00B34E37" w:rsidR="00BD6398">
        <w:t>toegenomen sinds 2022</w:t>
      </w:r>
      <w:r w:rsidR="00BD6398">
        <w:t xml:space="preserve">. </w:t>
      </w:r>
      <w:r w:rsidR="00475960">
        <w:t>Deze koopkrachtstijgingen werken door in de financierings</w:t>
      </w:r>
      <w:r w:rsidR="00BD6398">
        <w:t>last</w:t>
      </w:r>
      <w:r w:rsidR="00475960">
        <w:t xml:space="preserve">percentages. </w:t>
      </w:r>
    </w:p>
    <w:p w:rsidRPr="00AA4C1D" w:rsidR="00AA4C1D" w14:paraId="64ED3C9C" w14:textId="77777777">
      <w:pPr>
        <w:rPr>
          <w:b/>
          <w:bCs/>
        </w:rPr>
      </w:pPr>
    </w:p>
    <w:p w:rsidR="0000645B" w:rsidP="00AA4C1D" w14:paraId="7C3B2B5F" w14:textId="77777777">
      <w:pPr>
        <w:rPr>
          <w:b/>
          <w:bCs/>
        </w:rPr>
      </w:pPr>
      <w:r>
        <w:rPr>
          <w:b/>
          <w:bCs/>
        </w:rPr>
        <w:t xml:space="preserve">Reflectie </w:t>
      </w:r>
      <w:r w:rsidRPr="00AA4C1D" w:rsidR="00D42920">
        <w:rPr>
          <w:b/>
          <w:bCs/>
        </w:rPr>
        <w:t xml:space="preserve">Monitors </w:t>
      </w:r>
    </w:p>
    <w:p w:rsidRPr="0060512A" w:rsidR="0060512A" w:rsidP="0060512A" w14:paraId="04FBE1A3" w14:textId="77777777">
      <w:r>
        <w:t xml:space="preserve">Een van de aanbevelingen van </w:t>
      </w:r>
      <w:r w:rsidR="004857C2">
        <w:t>SEO</w:t>
      </w:r>
      <w:r w:rsidR="00E77793">
        <w:t xml:space="preserve"> </w:t>
      </w:r>
      <w:r>
        <w:t>was</w:t>
      </w:r>
      <w:r w:rsidR="004857C2">
        <w:t xml:space="preserve"> om financiële stabiliteit</w:t>
      </w:r>
      <w:r w:rsidR="00E92938">
        <w:t xml:space="preserve"> en de toegankelijkheid van de koopwoningmarkt</w:t>
      </w:r>
      <w:r w:rsidR="004857C2">
        <w:t xml:space="preserve"> nadrukkelijker mee te wegen bij</w:t>
      </w:r>
      <w:r w:rsidRPr="004857C2" w:rsidR="004857C2">
        <w:rPr>
          <w:b/>
          <w:bCs/>
        </w:rPr>
        <w:t xml:space="preserve"> </w:t>
      </w:r>
      <w:r w:rsidRPr="004857C2" w:rsidR="004857C2">
        <w:t>de besluitvormingscyclus over de leennormen</w:t>
      </w:r>
      <w:r w:rsidR="004857C2">
        <w:t xml:space="preserve">. </w:t>
      </w:r>
      <w:r w:rsidR="00E77793">
        <w:t>Het</w:t>
      </w:r>
      <w:r w:rsidR="004857C2">
        <w:t xml:space="preserve"> voorstel van SEO om twee monitors in te richten </w:t>
      </w:r>
      <w:r w:rsidR="00E77793">
        <w:t xml:space="preserve">is </w:t>
      </w:r>
      <w:r w:rsidR="004857C2">
        <w:t xml:space="preserve">opgevolgd. </w:t>
      </w:r>
      <w:r w:rsidRPr="0060512A">
        <w:t>De monitors geven een actueel beeld van recente ontwikkelingen en helpen</w:t>
      </w:r>
      <w:r>
        <w:t xml:space="preserve"> daarmee</w:t>
      </w:r>
      <w:r w:rsidRPr="0060512A">
        <w:t xml:space="preserve"> bepalen of nader</w:t>
      </w:r>
      <w:r>
        <w:t>e analyse</w:t>
      </w:r>
      <w:r w:rsidRPr="0060512A">
        <w:t xml:space="preserve"> nodig is. </w:t>
      </w:r>
    </w:p>
    <w:p w:rsidR="0000645B" w:rsidP="00AA4C1D" w14:paraId="4E0BE316" w14:textId="77777777">
      <w:pPr>
        <w:rPr>
          <w:b/>
          <w:bCs/>
        </w:rPr>
      </w:pPr>
    </w:p>
    <w:p w:rsidRPr="00D10987" w:rsidR="00ED416D" w:rsidP="00AA4C1D" w14:paraId="391397A9" w14:textId="77777777">
      <w:pPr>
        <w:rPr>
          <w:i/>
          <w:iCs/>
        </w:rPr>
      </w:pPr>
      <w:r w:rsidRPr="00D10987">
        <w:rPr>
          <w:i/>
          <w:iCs/>
        </w:rPr>
        <w:t xml:space="preserve">Toegankelijkheidsmonitor </w:t>
      </w:r>
      <w:r w:rsidRPr="00850BF4">
        <w:rPr>
          <w:i/>
          <w:iCs/>
          <w:color w:val="auto"/>
        </w:rPr>
        <w:t xml:space="preserve">2026 </w:t>
      </w:r>
      <w:r w:rsidRPr="00850BF4" w:rsidR="00E92938">
        <w:rPr>
          <w:i/>
          <w:iCs/>
          <w:color w:val="auto"/>
        </w:rPr>
        <w:t>(</w:t>
      </w:r>
      <w:r w:rsidRPr="00850BF4">
        <w:rPr>
          <w:i/>
          <w:iCs/>
          <w:color w:val="auto"/>
        </w:rPr>
        <w:t>CPB</w:t>
      </w:r>
      <w:r w:rsidRPr="00850BF4" w:rsidR="00E92938">
        <w:rPr>
          <w:i/>
          <w:iCs/>
          <w:color w:val="auto"/>
        </w:rPr>
        <w:t>)</w:t>
      </w:r>
    </w:p>
    <w:p w:rsidRPr="00EE375F" w:rsidR="004C41F7" w:rsidP="00AA4C1D" w14:paraId="3FAE11F9" w14:textId="77777777">
      <w:r w:rsidRPr="00EE375F">
        <w:t xml:space="preserve">De toegankelijkheidsmonitor koopwoningmarkt laat zien dat </w:t>
      </w:r>
      <w:r w:rsidRPr="00EE375F">
        <w:t>de toegankelijkheid van de koopwoningmarkt de afgelopen 10 jaar aanzienlijk is verslechterd</w:t>
      </w:r>
      <w:r>
        <w:rPr>
          <w:rStyle w:val="FootnoteReference"/>
        </w:rPr>
        <w:footnoteReference w:id="4"/>
      </w:r>
      <w:r w:rsidRPr="00EE375F">
        <w:t>.</w:t>
      </w:r>
    </w:p>
    <w:p w:rsidR="0002573E" w:rsidP="0002573E" w14:paraId="13F466A9" w14:textId="77777777">
      <w:r w:rsidRPr="00EE375F">
        <w:t>T</w:t>
      </w:r>
      <w:r w:rsidRPr="00EE375F" w:rsidR="00AA4C1D">
        <w:t xml:space="preserve">ussen 2015 en 2024 </w:t>
      </w:r>
      <w:r w:rsidRPr="007D0E10">
        <w:t>steeg</w:t>
      </w:r>
      <w:r w:rsidRPr="007D0E10">
        <w:t xml:space="preserve"> </w:t>
      </w:r>
      <w:r w:rsidRPr="007D0E10" w:rsidR="00AA4C1D">
        <w:t>de mediane leencapaciteit van ongeveer €</w:t>
      </w:r>
      <w:r w:rsidRPr="007D0E10" w:rsidR="00E92938">
        <w:t xml:space="preserve"> </w:t>
      </w:r>
      <w:r w:rsidRPr="007D0E10" w:rsidR="00AA4C1D">
        <w:t>225.000 naar € 300.000.</w:t>
      </w:r>
      <w:r w:rsidRPr="007D0E10">
        <w:t xml:space="preserve"> </w:t>
      </w:r>
      <w:r w:rsidRPr="007D0E10" w:rsidR="00AA4C1D">
        <w:t>Te</w:t>
      </w:r>
      <w:r w:rsidRPr="00EE375F" w:rsidR="00AA4C1D">
        <w:t xml:space="preserve">gelijkertijd </w:t>
      </w:r>
      <w:r w:rsidRPr="00EE375F" w:rsidR="00A54D9E">
        <w:t>steeg</w:t>
      </w:r>
      <w:r w:rsidRPr="00EE375F" w:rsidR="00AA4C1D">
        <w:t xml:space="preserve"> de mediane huizenprijs van € 200.000 naar iets meer dan € 400.000. Dit betekent </w:t>
      </w:r>
      <w:r w:rsidRPr="00EE375F" w:rsidR="004D3380">
        <w:t>dat</w:t>
      </w:r>
      <w:r w:rsidRPr="00EE375F" w:rsidR="00AA4C1D">
        <w:t xml:space="preserve"> het gat tussen de leencapaciteit en de woningprijzen is gegroeid</w:t>
      </w:r>
      <w:r w:rsidRPr="00EE375F" w:rsidR="004D3380">
        <w:t>, en</w:t>
      </w:r>
      <w:r w:rsidR="004D3380">
        <w:t xml:space="preserve"> illustreert daarmee de verslechterde </w:t>
      </w:r>
      <w:r w:rsidR="006535AE">
        <w:t>toegankelijkheid</w:t>
      </w:r>
      <w:r w:rsidRPr="00AA4C1D" w:rsidR="006535AE">
        <w:t>.</w:t>
      </w:r>
      <w:r w:rsidRPr="006535AE" w:rsidR="006535AE">
        <w:t xml:space="preserve"> De monitor beschrijft dat steeds meer huishoudens een woning kopen die zij op grond van </w:t>
      </w:r>
      <w:r w:rsidR="006535AE">
        <w:t>d</w:t>
      </w:r>
      <w:r w:rsidRPr="006535AE" w:rsidR="006535AE">
        <w:t>e leencapaciteit op basis van hun inkomen niet kunnen betalen</w:t>
      </w:r>
      <w:r w:rsidRPr="004C41F7">
        <w:t>. Dit wijst erop dat de rol van vermogen belangrijker is geworden bij de aankoop van een woning</w:t>
      </w:r>
      <w:r>
        <w:t xml:space="preserve">. </w:t>
      </w:r>
      <w:bookmarkStart w:name="_Hlk243569373" w:id="4"/>
      <w:r w:rsidRPr="0002573E">
        <w:t>Het CPB concludeert dat ander beleid dan aanpassing van de leennormen van belang is om de toegankelijkheid structureel te verbeteren</w:t>
      </w:r>
      <w:r w:rsidR="00BE32CB">
        <w:t>. Voorbeelden van dit ander beleid zijn</w:t>
      </w:r>
      <w:r w:rsidR="00BE3067">
        <w:t xml:space="preserve"> </w:t>
      </w:r>
      <w:r w:rsidR="00BE32CB">
        <w:t xml:space="preserve">het </w:t>
      </w:r>
      <w:r w:rsidRPr="0002573E">
        <w:t>vergroten van het woningaanbod</w:t>
      </w:r>
      <w:r w:rsidR="00BE3067">
        <w:t xml:space="preserve"> en</w:t>
      </w:r>
      <w:r w:rsidR="006535AE">
        <w:t xml:space="preserve"> </w:t>
      </w:r>
      <w:r w:rsidRPr="006535AE" w:rsidR="006535AE">
        <w:t>het afbouwen van fiscale voordelen voor een eigen woning</w:t>
      </w:r>
      <w:r w:rsidR="00BE32CB">
        <w:t>.</w:t>
      </w:r>
    </w:p>
    <w:p w:rsidR="00ED416D" w14:paraId="221315C6" w14:textId="77777777"/>
    <w:p w:rsidRPr="00D24F51" w:rsidR="00855AF3" w14:paraId="5136FF22" w14:textId="77777777">
      <w:pPr>
        <w:rPr>
          <w:i/>
          <w:iCs/>
        </w:rPr>
      </w:pPr>
      <w:bookmarkStart w:name="_Hlk242779505" w:id="5"/>
      <w:bookmarkEnd w:id="4"/>
      <w:r w:rsidRPr="00D24F51">
        <w:rPr>
          <w:i/>
          <w:iCs/>
        </w:rPr>
        <w:t xml:space="preserve">Monitor leennormen en financiële stabiliteit 2026 - </w:t>
      </w:r>
      <w:r w:rsidRPr="00D24F51" w:rsidR="00ED416D">
        <w:rPr>
          <w:i/>
          <w:iCs/>
        </w:rPr>
        <w:t>DNB</w:t>
      </w:r>
      <w:r w:rsidRPr="00D24F51" w:rsidR="00157854">
        <w:rPr>
          <w:i/>
          <w:iCs/>
        </w:rPr>
        <w:t>/AFM</w:t>
      </w:r>
    </w:p>
    <w:p w:rsidRPr="00DD3EA6" w:rsidR="00850BF4" w:rsidP="00850BF4" w14:paraId="45E689A7" w14:textId="77777777">
      <w:r w:rsidRPr="00DA4269">
        <w:t xml:space="preserve">De monitor Financiële stabiliteit en leennormen laat zien dat de gemiddelde </w:t>
      </w:r>
      <w:r w:rsidR="003302DC">
        <w:t>loan-to-value (</w:t>
      </w:r>
      <w:r w:rsidRPr="00DA4269">
        <w:t>LTV</w:t>
      </w:r>
      <w:r w:rsidR="003302DC">
        <w:t>)</w:t>
      </w:r>
      <w:r w:rsidRPr="00DA4269">
        <w:t xml:space="preserve"> en </w:t>
      </w:r>
      <w:r w:rsidR="003302DC">
        <w:t>lo</w:t>
      </w:r>
      <w:r w:rsidR="006535AE">
        <w:t>an</w:t>
      </w:r>
      <w:r w:rsidR="003302DC">
        <w:t>-to-income (</w:t>
      </w:r>
      <w:r w:rsidRPr="00DA4269">
        <w:t>LTI</w:t>
      </w:r>
      <w:r w:rsidR="003302DC">
        <w:t>)</w:t>
      </w:r>
      <w:r w:rsidRPr="00DA4269">
        <w:t xml:space="preserve"> van de bestaande hypotheekportefeuille zijn gedaald, waardoor huishoudens over het algemeen beter bestand zijn tegen prijsdalingen of inkomensschokken. Daarentegen zijn bij </w:t>
      </w:r>
      <w:r w:rsidRPr="00850BF4">
        <w:t>nie</w:t>
      </w:r>
      <w:r>
        <w:t>u</w:t>
      </w:r>
      <w:r w:rsidRPr="00850BF4">
        <w:t>we</w:t>
      </w:r>
      <w:r w:rsidRPr="00DA4269">
        <w:t xml:space="preserve"> hypotheken de LTV en LTI sinds 2022 weer licht gestegen. Vooral starters lenen vaak dicht tegen hun maximale leencapaciteit en financieren een groot deel van de woningwaarde met</w:t>
      </w:r>
      <w:r w:rsidRPr="00DD3EA6" w:rsidR="0060512A">
        <w:t xml:space="preserve"> een lening</w:t>
      </w:r>
      <w:r w:rsidRPr="00DA4269">
        <w:t xml:space="preserve">. AFM en DNB stellen dat zij daardoor relatief kwetsbaar zijn voor een daling van de huizenprijzen of een negatieve inkomensschok. </w:t>
      </w:r>
    </w:p>
    <w:p w:rsidRPr="00DA4269" w:rsidR="00850BF4" w:rsidP="00850BF4" w14:paraId="383B9E64" w14:textId="77777777"/>
    <w:p w:rsidRPr="00DA4269" w:rsidR="00850BF4" w:rsidP="00850BF4" w14:paraId="62382A2F" w14:textId="77777777">
      <w:r w:rsidRPr="00DA4269">
        <w:t xml:space="preserve">AFM en DNB achten een verruiming van de leennormen onwenselijk vanuit het oogpunt van financiële stabiliteit. Daarnaast stellen zij dat, gezien de huidige krapte op de woningmarkt, het waarschijnlijk is dat een verruiming van de </w:t>
      </w:r>
      <w:r w:rsidRPr="00DA4269">
        <w:t xml:space="preserve">leennormen huizenkopers aanzet tot risicovoller leengedrag, om zo meer kans te maken op het kopen van een woning. </w:t>
      </w:r>
      <w:bookmarkStart w:name="_Hlk242866390" w:id="6"/>
      <w:r w:rsidRPr="00DA4269">
        <w:t>Dit zou de huizenprijzen verder opdrijven.</w:t>
      </w:r>
    </w:p>
    <w:p w:rsidR="00850BF4" w:rsidP="00850BF4" w14:paraId="1FB72E55" w14:textId="77777777">
      <w:r w:rsidRPr="00DA4269">
        <w:t xml:space="preserve">Aan de andere kant wijzen AFM en DNB erop dat, in de huidige markt, verkrapping van de leennormen de toegankelijkheid van de koopwoningmarkt kan verslechteren. Dit </w:t>
      </w:r>
      <w:r w:rsidRPr="00DD3EA6" w:rsidR="005219A8">
        <w:t>maakt het op dit moment onwenselijk om de leennormen te verruimen of te verkrappen.</w:t>
      </w:r>
      <w:r w:rsidR="005219A8">
        <w:t xml:space="preserve"> </w:t>
      </w:r>
    </w:p>
    <w:bookmarkEnd w:id="5"/>
    <w:bookmarkEnd w:id="6"/>
    <w:p w:rsidR="00D24F51" w14:paraId="517943E0" w14:textId="77777777">
      <w:pPr>
        <w:rPr>
          <w:i/>
          <w:iCs/>
        </w:rPr>
      </w:pPr>
    </w:p>
    <w:p w:rsidRPr="003D1F83" w:rsidR="003D1F83" w14:paraId="342DCFC7" w14:textId="77777777">
      <w:pPr>
        <w:rPr>
          <w:b/>
          <w:bCs/>
        </w:rPr>
      </w:pPr>
      <w:bookmarkStart w:name="_Hlk243399104" w:id="7"/>
      <w:r>
        <w:rPr>
          <w:b/>
          <w:bCs/>
          <w:i/>
          <w:iCs/>
        </w:rPr>
        <w:t>I</w:t>
      </w:r>
      <w:r w:rsidRPr="00D24F51" w:rsidR="00156986">
        <w:rPr>
          <w:b/>
          <w:bCs/>
          <w:i/>
          <w:iCs/>
        </w:rPr>
        <w:t xml:space="preserve">mpact </w:t>
      </w:r>
      <w:r>
        <w:rPr>
          <w:b/>
          <w:bCs/>
          <w:i/>
          <w:iCs/>
        </w:rPr>
        <w:t xml:space="preserve">aanpassingen </w:t>
      </w:r>
      <w:r w:rsidRPr="00D24F51" w:rsidR="00156986">
        <w:rPr>
          <w:b/>
          <w:bCs/>
          <w:i/>
          <w:iCs/>
        </w:rPr>
        <w:t>leennormen op de positie van starters</w:t>
      </w:r>
    </w:p>
    <w:p w:rsidRPr="002D47A3" w:rsidR="00331FF1" w:rsidP="00331FF1" w14:paraId="5C88D23E" w14:textId="77777777">
      <w:r w:rsidRPr="002D47A3">
        <w:t xml:space="preserve">Tijdens het commissiedebat van 24 september jl. heb ik </w:t>
      </w:r>
      <w:r w:rsidR="007C1EC5">
        <w:t xml:space="preserve">het lid </w:t>
      </w:r>
      <w:r w:rsidRPr="002D47A3">
        <w:t xml:space="preserve">Flach toegezegd om met DNB in gesprek te gaan over de impact op de van de leennormen op de positie van starters op de woningmarkt. Met deze passage in deze brief geef ik uitvoering aan deze toezegging. </w:t>
      </w:r>
    </w:p>
    <w:p w:rsidRPr="002D47A3" w:rsidR="00331FF1" w:rsidP="00331FF1" w14:paraId="07F68345" w14:textId="77777777"/>
    <w:p w:rsidRPr="002D47A3" w:rsidR="00331FF1" w:rsidP="00331FF1" w14:paraId="1716B361" w14:textId="77777777">
      <w:r w:rsidRPr="002D47A3">
        <w:t xml:space="preserve">DNB heeft in het gesprek onder andere aangegeven dat een verkrapping van de leennormen de prijs- en schuldgroei kan afremmen en daarmee kan bijdragen aan de financiële stabiliteit. Tegelijkertijd kan </w:t>
      </w:r>
      <w:r w:rsidRPr="002D47A3" w:rsidR="006E486C">
        <w:t xml:space="preserve">volgens DNB </w:t>
      </w:r>
      <w:r w:rsidRPr="002D47A3">
        <w:t>een verkrapping op korte termijn de toegankelijkheid van de koopwoningmarkt voor starters verminderen.</w:t>
      </w:r>
      <w:r w:rsidRPr="00DB644F" w:rsidR="00DB644F">
        <w:rPr>
          <w:rFonts w:eastAsia="Times New Roman"/>
          <w:lang w:eastAsia="en-US"/>
        </w:rPr>
        <w:t xml:space="preserve"> </w:t>
      </w:r>
      <w:r w:rsidRPr="00DB644F" w:rsidR="00DB644F">
        <w:t xml:space="preserve">Bij strengere LTI-normen </w:t>
      </w:r>
      <w:r w:rsidRPr="002D47A3" w:rsidR="00DB644F">
        <w:t>is dit het geval wanneer</w:t>
      </w:r>
      <w:r w:rsidRPr="00DB644F" w:rsidR="00DB644F">
        <w:t xml:space="preserve"> de leencapaciteit sterker terugloopt dan de groei van huizenprijzen</w:t>
      </w:r>
      <w:r w:rsidRPr="002D47A3">
        <w:t xml:space="preserve">. Daarnaast vereisen strengere LTV-normen een grotere inbreng van spaargeld en beperken daardoor de toegankelijkheid voor huishoudens met beperkt of geen eigen vermogen. </w:t>
      </w:r>
    </w:p>
    <w:p w:rsidRPr="002D47A3" w:rsidR="00331FF1" w:rsidP="00331FF1" w14:paraId="5CEC4463" w14:textId="77777777"/>
    <w:p w:rsidRPr="002D47A3" w:rsidR="00331FF1" w:rsidP="00331FF1" w14:paraId="6F0873FC" w14:textId="77777777">
      <w:r w:rsidRPr="002D47A3">
        <w:t>Zoals ook het CPB in de ‘Toegankelijkheidsmonitor Koopwoningmarkt’ aangeeft, is voor het verbeteren van de toegankelijkheid een brede beleidsaanpak van belang. Daarbij gaat het onder meer om het vergroten van het woningaanbod</w:t>
      </w:r>
      <w:r w:rsidR="00B14721">
        <w:t xml:space="preserve"> en het afbouwen van fiscale voordelen</w:t>
      </w:r>
      <w:r w:rsidRPr="002D47A3">
        <w:t xml:space="preserve">. Om onder andere deze reden adviseert DNB dan ook om op korte termijn de leennormen niet te verkrappen noch te verruimen. Ik zie dan ook geen aanleiding om </w:t>
      </w:r>
      <w:r w:rsidR="00E602E2">
        <w:t xml:space="preserve">het beleid ten aanzien van </w:t>
      </w:r>
      <w:r w:rsidRPr="002D47A3">
        <w:t xml:space="preserve">de leennormen nu aan te passen. </w:t>
      </w:r>
    </w:p>
    <w:bookmarkEnd w:id="7"/>
    <w:p w:rsidRPr="00DD3EA6" w:rsidR="00DD3EA6" w:rsidP="00DD3EA6" w14:paraId="32568B93" w14:textId="77777777"/>
    <w:p w:rsidR="000E27D8" w:rsidP="00DD3EA6" w14:paraId="3D355826" w14:textId="77777777">
      <w:r w:rsidRPr="00DD3EA6">
        <w:t xml:space="preserve">In het commissiedebat heeft </w:t>
      </w:r>
      <w:r w:rsidR="007C1EC5">
        <w:t xml:space="preserve">het lid </w:t>
      </w:r>
      <w:r w:rsidRPr="00DD3EA6">
        <w:t xml:space="preserve">Flach ook zijn zorgen geuit over de beperkte toegankelijkheid voor alleenverdieners die een woning proberen te kopen. Ik erken dat het voor kopers met twee inkomens in het algemeen makkelijker is om een woning te kopen dan voor kopers met één inkomen. Vanuit het oogpunt van financiële verantwoorde kredietverlening </w:t>
      </w:r>
      <w:r w:rsidR="00194C3C">
        <w:t xml:space="preserve">is dat </w:t>
      </w:r>
      <w:r w:rsidRPr="00DD3EA6">
        <w:t>logisch. Bij ee</w:t>
      </w:r>
      <w:r>
        <w:t>n</w:t>
      </w:r>
    </w:p>
    <w:p w:rsidRPr="00DD3EA6" w:rsidR="00DD3EA6" w:rsidP="00DD3EA6" w14:paraId="42838A2A" w14:textId="77777777">
      <w:r w:rsidRPr="00DD3EA6">
        <w:t xml:space="preserve">hoger (gezamenlijk) besteedbaar inkomen is er ruimte voor hogere hypothecaire lasten. </w:t>
      </w:r>
    </w:p>
    <w:p w:rsidRPr="00DD3EA6" w:rsidR="00194C3C" w:rsidP="00DD3EA6" w14:paraId="4B58375D" w14:textId="77777777"/>
    <w:p w:rsidRPr="009364CC" w:rsidR="00DD3EA6" w:rsidP="0024494A" w14:paraId="1250B6EA" w14:textId="77777777">
      <w:pPr>
        <w:rPr>
          <w:b/>
          <w:bCs/>
        </w:rPr>
      </w:pPr>
      <w:r w:rsidRPr="009364CC">
        <w:rPr>
          <w:b/>
          <w:bCs/>
        </w:rPr>
        <w:t>Arbeidsperspectief bij de hypotheekaanvraag</w:t>
      </w:r>
    </w:p>
    <w:p w:rsidR="00F56CEE" w:rsidP="00F56CEE" w14:paraId="3D85F777" w14:textId="77777777">
      <w:r w:rsidRPr="0024494A">
        <w:t>Naar aanleiding van een vraag</w:t>
      </w:r>
      <w:r w:rsidR="00D47823">
        <w:t xml:space="preserve"> van</w:t>
      </w:r>
      <w:r w:rsidRPr="0024494A">
        <w:t xml:space="preserve"> het lid Flach tijdens het commissiedebat Arbeidsmarktbeleid en arbeidsmarktdiscriminatie van 24 juni</w:t>
      </w:r>
      <w:r w:rsidR="009364CC">
        <w:t xml:space="preserve"> jl.</w:t>
      </w:r>
      <w:r w:rsidRPr="0024494A">
        <w:t xml:space="preserve"> is gesproken met NHG over de werkgeversverklaring en of het arbeidsperspectief wel voldoende meegewogen wordt bij de hypotheekaanvraag. Per 2021 is het formulier werkgeversverklaring gewijzigd. Hierdoor moet de werkgever aangeven of het contract wordt opgevolgd door een vast contract of een tijdelijk contract. Bij opvolging door een vast contract mag het huidige inkomen gebruikt worden bij de hypotheekaanvraag. Bij (opvolging door) een tijdelijk contract of een flexibel inkomen mag ook gerekend worden met het huidige inkomen, mits er een positieve uitkomst is van de Perspectiefverklaring of de Arbeidsmarktscan. Met de </w:t>
      </w:r>
      <w:r w:rsidRPr="0024494A">
        <w:t>Perspectiefverklaring en de Arbeidsmarktscan wordt bepaald wat de huidige en toekomstige kansen van een medewerker zijn op de arbeidsmarkt in hetzelfde vakgebied. Blijkt er voldoende arbeidsperspectief te zijn, dan mag het huidige inkomen worden gebruikt bij bepaling van de maximale hypotheek. Op deze wijze wordt op</w:t>
      </w:r>
      <w:r w:rsidR="00B53E8F">
        <w:t xml:space="preserve"> een</w:t>
      </w:r>
      <w:r w:rsidRPr="0024494A">
        <w:t xml:space="preserve"> verantwoorde manier het arbeidsperspectief meegewogen bij de hypotheekaanvraag. </w:t>
      </w:r>
      <w:r w:rsidR="008F04F9">
        <w:t>D</w:t>
      </w:r>
      <w:r w:rsidRPr="008F04F9" w:rsidR="008F04F9">
        <w:t>e Arbeidsmarktscan en Perspectiefverklaring worden breed in de markt ingezet en er zijn geen signalen bekend dat hierdoor mensen onnodig worden beperkt in hun maximale</w:t>
      </w:r>
      <w:r w:rsidR="00FB2565">
        <w:t xml:space="preserve"> </w:t>
      </w:r>
      <w:r w:rsidRPr="008F04F9" w:rsidR="008F04F9">
        <w:t>leenruimte</w:t>
      </w:r>
      <w:r w:rsidR="00FB2565">
        <w:t>.</w:t>
      </w:r>
    </w:p>
    <w:p w:rsidR="000E27D8" w:rsidP="00F56CEE" w14:paraId="57735C82" w14:textId="77777777"/>
    <w:p w:rsidR="000E27D8" w:rsidP="00F56CEE" w14:paraId="7FB0BD9E" w14:textId="77777777"/>
    <w:p w:rsidR="000E27D8" w:rsidP="00F56CEE" w14:paraId="3A6740CC" w14:textId="77777777"/>
    <w:p w:rsidR="000E27D8" w:rsidP="00F56CEE" w14:paraId="262DA941" w14:textId="77777777"/>
    <w:p w:rsidR="000E27D8" w:rsidP="00F56CEE" w14:paraId="40C2DF9B" w14:textId="77777777">
      <w:r>
        <w:t>De minister van Volkshuisvesting en Ruimtelijke Ordening,</w:t>
      </w:r>
    </w:p>
    <w:p w:rsidR="000E27D8" w:rsidP="00F56CEE" w14:paraId="0F09119B" w14:textId="77777777"/>
    <w:p w:rsidR="000E27D8" w:rsidP="00F56CEE" w14:paraId="69F5280B" w14:textId="77777777"/>
    <w:p w:rsidR="000E27D8" w:rsidP="00F56CEE" w14:paraId="7D0E2BCC" w14:textId="77777777"/>
    <w:p w:rsidR="000E27D8" w:rsidP="00F56CEE" w14:paraId="23B33057" w14:textId="77777777"/>
    <w:p w:rsidR="000E27D8" w:rsidP="00F56CEE" w14:paraId="2C523D91" w14:textId="77777777"/>
    <w:p w:rsidR="00B14721" w:rsidP="00F56CEE" w14:paraId="6A10B3D9" w14:textId="77777777"/>
    <w:p w:rsidR="000E27D8" w:rsidP="00F56CEE" w14:paraId="1DD0734F" w14:textId="77777777">
      <w:r>
        <w:t>E</w:t>
      </w:r>
      <w:r w:rsidRPr="000E27D8">
        <w:t xml:space="preserve">lanor </w:t>
      </w:r>
      <w:r w:rsidR="00DB6126">
        <w:t>B</w:t>
      </w:r>
      <w:r w:rsidRPr="000E27D8">
        <w:t>oekholt-</w:t>
      </w:r>
      <w:r w:rsidR="00DB6126">
        <w:t>O</w:t>
      </w:r>
      <w:r w:rsidRPr="000E27D8">
        <w:t>'sullivan</w:t>
      </w:r>
      <w:bookmarkEnd w:id="0"/>
    </w:p>
    <w:sectPr>
      <w:headerReference w:type="even" r:id="rId13"/>
      <w:headerReference w:type="default" r:id="rId14"/>
      <w:footerReference w:type="even" r:id="rId15"/>
      <w:footerReference w:type="default" r:id="rId16"/>
      <w:headerReference w:type="first" r:id="rId17"/>
      <w:footerReference w:type="first" r:id="rId18"/>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6C6" w14:paraId="7EF12B4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60B4" w14:paraId="2D2CB331"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6C6" w14:paraId="235372C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E1174" w14:paraId="6A8A8D27" w14:textId="77777777">
      <w:pPr>
        <w:pStyle w:val="FootnoteText"/>
      </w:pPr>
    </w:p>
  </w:footnote>
  <w:footnote w:type="continuationSeparator" w:id="1">
    <w:p w:rsidR="001E1174" w14:paraId="5EEB51F1" w14:textId="77777777">
      <w:pPr>
        <w:pStyle w:val="FootnoteText"/>
      </w:pPr>
    </w:p>
  </w:footnote>
  <w:footnote w:id="2">
    <w:p w:rsidR="007C698A" w14:paraId="3331F091" w14:textId="77777777">
      <w:pPr>
        <w:pStyle w:val="FootnoteText"/>
      </w:pPr>
      <w:r>
        <w:rPr>
          <w:rStyle w:val="FootnoteReference"/>
        </w:rPr>
        <w:footnoteRef/>
      </w:r>
      <w:r>
        <w:t xml:space="preserve"> </w:t>
      </w:r>
      <w:hyperlink r:id="rId1" w:tgtFrame="_blank" w:history="1">
        <w:r w:rsidRPr="007C698A">
          <w:rPr>
            <w:rStyle w:val="Hyperlink"/>
          </w:rPr>
          <w:t>TZ202609-102</w:t>
        </w:r>
      </w:hyperlink>
      <w:r w:rsidRPr="007C698A">
        <w:t>.</w:t>
      </w:r>
    </w:p>
  </w:footnote>
  <w:footnote w:id="3">
    <w:p w:rsidR="0020422D" w:rsidRPr="0020422D" w:rsidP="0020422D" w14:paraId="1DE6CA83" w14:textId="77777777">
      <w:pPr>
        <w:pStyle w:val="FootnoteText"/>
      </w:pPr>
      <w:r>
        <w:rPr>
          <w:rStyle w:val="FootnoteReference"/>
        </w:rPr>
        <w:footnoteRef/>
      </w:r>
      <w:r>
        <w:t xml:space="preserve"> </w:t>
      </w:r>
      <w:hyperlink r:id="rId2" w:history="1">
        <w:r w:rsidRPr="0020422D">
          <w:rPr>
            <w:rStyle w:val="Hyperlink"/>
          </w:rPr>
          <w:t>Leennormen op de woningmarkt</w:t>
        </w:r>
      </w:hyperlink>
    </w:p>
    <w:p w:rsidR="0020422D" w14:paraId="39F3C348" w14:textId="77777777">
      <w:pPr>
        <w:pStyle w:val="FootnoteText"/>
      </w:pPr>
    </w:p>
  </w:footnote>
  <w:footnote w:id="4">
    <w:p w:rsidR="00AC2428" w14:paraId="579763C4" w14:textId="77777777">
      <w:pPr>
        <w:pStyle w:val="FootnoteText"/>
      </w:pPr>
      <w:r w:rsidRPr="002D47A3">
        <w:rPr>
          <w:rStyle w:val="FootnoteReference"/>
        </w:rPr>
        <w:footnoteRef/>
      </w:r>
      <w:r w:rsidRPr="002D47A3">
        <w:t xml:space="preserve"> In</w:t>
      </w:r>
      <w:r w:rsidRPr="008F5BB2" w:rsidR="008F5BB2">
        <w:rPr>
          <w:color w:val="000000"/>
          <w:sz w:val="18"/>
          <w:szCs w:val="18"/>
        </w:rPr>
        <w:t xml:space="preserve"> </w:t>
      </w:r>
      <w:r w:rsidRPr="002D47A3" w:rsidR="008F5BB2">
        <w:t>de kamerbrief verstuurd op 30 juni 2026 (Kamerstukken II 2025/26, 32 847,nr</w:t>
      </w:r>
      <w:r w:rsidR="008F5BB2">
        <w:t>.</w:t>
      </w:r>
      <w:r w:rsidRPr="002D47A3" w:rsidR="008F5BB2">
        <w:t xml:space="preserve"> 1492) </w:t>
      </w:r>
      <w:r w:rsidRPr="002D47A3">
        <w:t>heb ik ook een uitgebreide reflectie gegeven op de resultaten van deze monitor.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6C6" w14:paraId="0A5B72A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60B4" w14:paraId="1F4E7BC3"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B16D63"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B16D63" w14:paraId="39FDBBB9"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B860B4" w14:textId="77777777">
                          <w:pPr>
                            <w:pStyle w:val="Referentiegegevensbold"/>
                          </w:pPr>
                          <w:r>
                            <w:t>DG Volkshuisvesting en Bouwen</w:t>
                          </w:r>
                        </w:p>
                        <w:p w:rsidR="00B860B4" w14:textId="77777777">
                          <w:pPr>
                            <w:pStyle w:val="Referentiegegevens"/>
                          </w:pPr>
                          <w:r>
                            <w:t>DGVB-WN-Koop &amp; Kapitaalmarkt</w:t>
                          </w:r>
                        </w:p>
                        <w:p w:rsidR="00B860B4" w14:textId="77777777">
                          <w:pPr>
                            <w:pStyle w:val="WitregelW2"/>
                          </w:pPr>
                        </w:p>
                        <w:p w:rsidR="00B860B4" w14:textId="77777777">
                          <w:pPr>
                            <w:pStyle w:val="Referentiegegevensbold"/>
                          </w:pPr>
                          <w:r>
                            <w:t>Datum</w:t>
                          </w:r>
                        </w:p>
                        <w:p w:rsidR="00B860B4" w14:textId="211A849D">
                          <w:pPr>
                            <w:pStyle w:val="Referentiegegevens"/>
                          </w:pPr>
                          <w:r>
                            <w:t>2 november 2026</w:t>
                          </w:r>
                        </w:p>
                        <w:p w:rsidR="00B860B4" w14:textId="77777777">
                          <w:pPr>
                            <w:pStyle w:val="WitregelW1"/>
                          </w:pPr>
                        </w:p>
                        <w:p w:rsidR="00B860B4" w14:textId="77777777">
                          <w:pPr>
                            <w:pStyle w:val="Referentiegegevensbold"/>
                          </w:pPr>
                          <w:r>
                            <w:t>Onze referentie</w:t>
                          </w:r>
                        </w:p>
                        <w:p w:rsidR="00400221" w14:textId="77777777">
                          <w:pPr>
                            <w:pStyle w:val="Referentiegegevens"/>
                          </w:pPr>
                          <w:r>
                            <w:fldChar w:fldCharType="begin"/>
                          </w:r>
                          <w:r>
                            <w:instrText xml:space="preserve"> DOCPROPERTY  "Kenmerk"  \* MERGEFORMAT </w:instrText>
                          </w:r>
                          <w:r>
                            <w:fldChar w:fldCharType="separate"/>
                          </w:r>
                          <w:r>
                            <w:t>2026-0000563202</w:t>
                          </w:r>
                          <w:r>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B860B4" w14:paraId="5F691215" w14:textId="77777777">
                    <w:pPr>
                      <w:pStyle w:val="Referentiegegevensbold"/>
                    </w:pPr>
                    <w:r>
                      <w:t>DG Volkshuisvesting en Bouwen</w:t>
                    </w:r>
                  </w:p>
                  <w:p w:rsidR="00B860B4" w14:paraId="5CE78B44" w14:textId="77777777">
                    <w:pPr>
                      <w:pStyle w:val="Referentiegegevens"/>
                    </w:pPr>
                    <w:r>
                      <w:t>DGVB-WN-Koop &amp; Kapitaalmarkt</w:t>
                    </w:r>
                  </w:p>
                  <w:p w:rsidR="00B860B4" w14:paraId="39D68F2A" w14:textId="77777777">
                    <w:pPr>
                      <w:pStyle w:val="WitregelW2"/>
                    </w:pPr>
                  </w:p>
                  <w:p w:rsidR="00B860B4" w14:paraId="773F0177" w14:textId="77777777">
                    <w:pPr>
                      <w:pStyle w:val="Referentiegegevensbold"/>
                    </w:pPr>
                    <w:r>
                      <w:t>Datum</w:t>
                    </w:r>
                  </w:p>
                  <w:p w:rsidR="00B860B4" w14:paraId="47282FCF" w14:textId="211A849D">
                    <w:pPr>
                      <w:pStyle w:val="Referentiegegevens"/>
                    </w:pPr>
                    <w:r>
                      <w:t>2 november 2026</w:t>
                    </w:r>
                  </w:p>
                  <w:p w:rsidR="00B860B4" w14:paraId="6BBF0285" w14:textId="77777777">
                    <w:pPr>
                      <w:pStyle w:val="WitregelW1"/>
                    </w:pPr>
                  </w:p>
                  <w:p w:rsidR="00B860B4" w14:paraId="19D09EDB" w14:textId="77777777">
                    <w:pPr>
                      <w:pStyle w:val="Referentiegegevensbold"/>
                    </w:pPr>
                    <w:r>
                      <w:t>Onze referentie</w:t>
                    </w:r>
                  </w:p>
                  <w:p w:rsidR="00400221" w14:paraId="736AF8D1" w14:textId="77777777">
                    <w:pPr>
                      <w:pStyle w:val="Referentiegegevens"/>
                    </w:pPr>
                    <w:r>
                      <w:fldChar w:fldCharType="begin"/>
                    </w:r>
                    <w:r>
                      <w:instrText xml:space="preserve"> DOCPROPERTY  "Kenmerk"  \* MERGEFORMAT </w:instrText>
                    </w:r>
                    <w:r>
                      <w:fldChar w:fldCharType="separate"/>
                    </w:r>
                    <w:r>
                      <w:t>2026-0000563202</w:t>
                    </w:r>
                    <w:r>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B16D63"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B16D63" w14:paraId="2F9FD7F9"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400221"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400221" w14:paraId="3CF66FB9"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60B4" w14:paraId="7157D2EB"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2E19C76"/>
    <w:multiLevelType w:val="multilevel"/>
    <w:tmpl w:val="7FFBF1D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DFF7B0A0"/>
    <w:multiLevelType w:val="multilevel"/>
    <w:tmpl w:val="77C64D8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FCABF2EF"/>
    <w:multiLevelType w:val="multilevel"/>
    <w:tmpl w:val="8910D89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231208B3"/>
    <w:multiLevelType w:val="multilevel"/>
    <w:tmpl w:val="84B2441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618367349">
    <w:abstractNumId w:val="0"/>
  </w:num>
  <w:num w:numId="2" w16cid:durableId="440881132">
    <w:abstractNumId w:val="1"/>
  </w:num>
  <w:num w:numId="3" w16cid:durableId="905186257">
    <w:abstractNumId w:val="3"/>
  </w:num>
  <w:num w:numId="4" w16cid:durableId="1737437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B4"/>
    <w:rsid w:val="0000377F"/>
    <w:rsid w:val="0000645B"/>
    <w:rsid w:val="000112D7"/>
    <w:rsid w:val="0002573E"/>
    <w:rsid w:val="000507A0"/>
    <w:rsid w:val="000B1C04"/>
    <w:rsid w:val="000B49F0"/>
    <w:rsid w:val="000E27D8"/>
    <w:rsid w:val="000F2BF9"/>
    <w:rsid w:val="00115176"/>
    <w:rsid w:val="00132B0F"/>
    <w:rsid w:val="00156986"/>
    <w:rsid w:val="00157854"/>
    <w:rsid w:val="00157DD0"/>
    <w:rsid w:val="0017529F"/>
    <w:rsid w:val="0018262A"/>
    <w:rsid w:val="00194C3C"/>
    <w:rsid w:val="00196A0E"/>
    <w:rsid w:val="001C0FB5"/>
    <w:rsid w:val="001C31C7"/>
    <w:rsid w:val="001E1174"/>
    <w:rsid w:val="001E1D6D"/>
    <w:rsid w:val="001F0AA0"/>
    <w:rsid w:val="0020422D"/>
    <w:rsid w:val="00204578"/>
    <w:rsid w:val="00211F60"/>
    <w:rsid w:val="0022251C"/>
    <w:rsid w:val="0023370F"/>
    <w:rsid w:val="002407F4"/>
    <w:rsid w:val="0024494A"/>
    <w:rsid w:val="00246C5C"/>
    <w:rsid w:val="00246D72"/>
    <w:rsid w:val="00251605"/>
    <w:rsid w:val="002641F9"/>
    <w:rsid w:val="00281106"/>
    <w:rsid w:val="002C473D"/>
    <w:rsid w:val="002C5227"/>
    <w:rsid w:val="002D47A3"/>
    <w:rsid w:val="002F4113"/>
    <w:rsid w:val="00302AAF"/>
    <w:rsid w:val="00306C24"/>
    <w:rsid w:val="00315378"/>
    <w:rsid w:val="003242A4"/>
    <w:rsid w:val="003302DC"/>
    <w:rsid w:val="00331FF1"/>
    <w:rsid w:val="003430B9"/>
    <w:rsid w:val="00351464"/>
    <w:rsid w:val="00355146"/>
    <w:rsid w:val="00363966"/>
    <w:rsid w:val="00370CB9"/>
    <w:rsid w:val="00383CA7"/>
    <w:rsid w:val="00385A5A"/>
    <w:rsid w:val="003940EE"/>
    <w:rsid w:val="003A3090"/>
    <w:rsid w:val="003B58D1"/>
    <w:rsid w:val="003D1F83"/>
    <w:rsid w:val="003D7CBC"/>
    <w:rsid w:val="003E509C"/>
    <w:rsid w:val="003F394C"/>
    <w:rsid w:val="00400221"/>
    <w:rsid w:val="00402420"/>
    <w:rsid w:val="00407F74"/>
    <w:rsid w:val="00411B37"/>
    <w:rsid w:val="004170FC"/>
    <w:rsid w:val="004544D2"/>
    <w:rsid w:val="0045508C"/>
    <w:rsid w:val="00471DAE"/>
    <w:rsid w:val="00475960"/>
    <w:rsid w:val="004857C2"/>
    <w:rsid w:val="004933E3"/>
    <w:rsid w:val="004C41F7"/>
    <w:rsid w:val="004D3380"/>
    <w:rsid w:val="004F2E09"/>
    <w:rsid w:val="00506891"/>
    <w:rsid w:val="005219A8"/>
    <w:rsid w:val="0052379F"/>
    <w:rsid w:val="00537AA0"/>
    <w:rsid w:val="00544358"/>
    <w:rsid w:val="005578F9"/>
    <w:rsid w:val="00574B86"/>
    <w:rsid w:val="00583CA7"/>
    <w:rsid w:val="00595D53"/>
    <w:rsid w:val="005A5052"/>
    <w:rsid w:val="005A5580"/>
    <w:rsid w:val="005B6FF1"/>
    <w:rsid w:val="005C0801"/>
    <w:rsid w:val="005F3299"/>
    <w:rsid w:val="0060512A"/>
    <w:rsid w:val="0061298B"/>
    <w:rsid w:val="00630AFC"/>
    <w:rsid w:val="00631B3C"/>
    <w:rsid w:val="00640DAB"/>
    <w:rsid w:val="006535AE"/>
    <w:rsid w:val="006A0509"/>
    <w:rsid w:val="006A6F87"/>
    <w:rsid w:val="006D26ED"/>
    <w:rsid w:val="006D638F"/>
    <w:rsid w:val="006D7DCF"/>
    <w:rsid w:val="006E486C"/>
    <w:rsid w:val="00705449"/>
    <w:rsid w:val="007054D3"/>
    <w:rsid w:val="007431F3"/>
    <w:rsid w:val="00751A3F"/>
    <w:rsid w:val="00752FCD"/>
    <w:rsid w:val="00783090"/>
    <w:rsid w:val="00793FF3"/>
    <w:rsid w:val="007B0F2C"/>
    <w:rsid w:val="007C1EC5"/>
    <w:rsid w:val="007C698A"/>
    <w:rsid w:val="007D0E10"/>
    <w:rsid w:val="007E3C71"/>
    <w:rsid w:val="007F0380"/>
    <w:rsid w:val="007F789B"/>
    <w:rsid w:val="008043B0"/>
    <w:rsid w:val="008060B8"/>
    <w:rsid w:val="008117BF"/>
    <w:rsid w:val="00815304"/>
    <w:rsid w:val="00816A91"/>
    <w:rsid w:val="0082378E"/>
    <w:rsid w:val="008334D7"/>
    <w:rsid w:val="008355BB"/>
    <w:rsid w:val="00842721"/>
    <w:rsid w:val="00850BF4"/>
    <w:rsid w:val="00852006"/>
    <w:rsid w:val="00855AF3"/>
    <w:rsid w:val="0086619F"/>
    <w:rsid w:val="008728A0"/>
    <w:rsid w:val="00874495"/>
    <w:rsid w:val="00883750"/>
    <w:rsid w:val="00891262"/>
    <w:rsid w:val="00896BB3"/>
    <w:rsid w:val="008B0D76"/>
    <w:rsid w:val="008B56C6"/>
    <w:rsid w:val="008C24A0"/>
    <w:rsid w:val="008D7D8E"/>
    <w:rsid w:val="008E207E"/>
    <w:rsid w:val="008F04F9"/>
    <w:rsid w:val="008F5BB2"/>
    <w:rsid w:val="00925B93"/>
    <w:rsid w:val="00925D48"/>
    <w:rsid w:val="00933C06"/>
    <w:rsid w:val="009364CC"/>
    <w:rsid w:val="00937242"/>
    <w:rsid w:val="00950EA7"/>
    <w:rsid w:val="0097251E"/>
    <w:rsid w:val="00973C11"/>
    <w:rsid w:val="00976955"/>
    <w:rsid w:val="009845EA"/>
    <w:rsid w:val="009B737F"/>
    <w:rsid w:val="009E06FC"/>
    <w:rsid w:val="009E0E52"/>
    <w:rsid w:val="009E1E36"/>
    <w:rsid w:val="00A0327B"/>
    <w:rsid w:val="00A14887"/>
    <w:rsid w:val="00A374E9"/>
    <w:rsid w:val="00A517DE"/>
    <w:rsid w:val="00A54D9E"/>
    <w:rsid w:val="00A845DE"/>
    <w:rsid w:val="00A9756A"/>
    <w:rsid w:val="00AA4C1D"/>
    <w:rsid w:val="00AC2428"/>
    <w:rsid w:val="00AD2878"/>
    <w:rsid w:val="00AE0C9B"/>
    <w:rsid w:val="00AF73D4"/>
    <w:rsid w:val="00B0740F"/>
    <w:rsid w:val="00B106DA"/>
    <w:rsid w:val="00B13DEC"/>
    <w:rsid w:val="00B14721"/>
    <w:rsid w:val="00B16D63"/>
    <w:rsid w:val="00B34E37"/>
    <w:rsid w:val="00B43701"/>
    <w:rsid w:val="00B50FC1"/>
    <w:rsid w:val="00B51950"/>
    <w:rsid w:val="00B53087"/>
    <w:rsid w:val="00B53E8F"/>
    <w:rsid w:val="00B60248"/>
    <w:rsid w:val="00B7624F"/>
    <w:rsid w:val="00B860B4"/>
    <w:rsid w:val="00BA70C1"/>
    <w:rsid w:val="00BD6398"/>
    <w:rsid w:val="00BE3067"/>
    <w:rsid w:val="00BE32CB"/>
    <w:rsid w:val="00C079F2"/>
    <w:rsid w:val="00C455D0"/>
    <w:rsid w:val="00C45A69"/>
    <w:rsid w:val="00C908C0"/>
    <w:rsid w:val="00C978EC"/>
    <w:rsid w:val="00CB3435"/>
    <w:rsid w:val="00CC2F29"/>
    <w:rsid w:val="00CC6AF7"/>
    <w:rsid w:val="00CD7FE7"/>
    <w:rsid w:val="00CF35D5"/>
    <w:rsid w:val="00D04C1B"/>
    <w:rsid w:val="00D10987"/>
    <w:rsid w:val="00D24F51"/>
    <w:rsid w:val="00D42920"/>
    <w:rsid w:val="00D43856"/>
    <w:rsid w:val="00D47823"/>
    <w:rsid w:val="00D521BE"/>
    <w:rsid w:val="00D55462"/>
    <w:rsid w:val="00D6033E"/>
    <w:rsid w:val="00D66621"/>
    <w:rsid w:val="00D709A1"/>
    <w:rsid w:val="00D76B14"/>
    <w:rsid w:val="00D77232"/>
    <w:rsid w:val="00DA4269"/>
    <w:rsid w:val="00DB2837"/>
    <w:rsid w:val="00DB6126"/>
    <w:rsid w:val="00DB644F"/>
    <w:rsid w:val="00DD3EA6"/>
    <w:rsid w:val="00E032F3"/>
    <w:rsid w:val="00E22052"/>
    <w:rsid w:val="00E233C4"/>
    <w:rsid w:val="00E245F8"/>
    <w:rsid w:val="00E27D07"/>
    <w:rsid w:val="00E30ADF"/>
    <w:rsid w:val="00E602E2"/>
    <w:rsid w:val="00E77793"/>
    <w:rsid w:val="00E81E6E"/>
    <w:rsid w:val="00E86810"/>
    <w:rsid w:val="00E92938"/>
    <w:rsid w:val="00E956DB"/>
    <w:rsid w:val="00E95F53"/>
    <w:rsid w:val="00E97CA6"/>
    <w:rsid w:val="00EA2B2F"/>
    <w:rsid w:val="00ED416D"/>
    <w:rsid w:val="00EE375F"/>
    <w:rsid w:val="00F25EDA"/>
    <w:rsid w:val="00F40E08"/>
    <w:rsid w:val="00F56CEE"/>
    <w:rsid w:val="00F6110B"/>
    <w:rsid w:val="00F72FF3"/>
    <w:rsid w:val="00F936C6"/>
    <w:rsid w:val="00FA09C8"/>
    <w:rsid w:val="00FB2565"/>
    <w:rsid w:val="00FC15A1"/>
    <w:rsid w:val="00FC2049"/>
    <w:rsid w:val="00FC5DF5"/>
    <w:rsid w:val="00FD7A99"/>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6ACC84B"/>
  <w15:docId w15:val="{2B7B1966-27C9-4217-8E52-9F7EAD73D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7E3C71"/>
    <w:pPr>
      <w:tabs>
        <w:tab w:val="center" w:pos="4536"/>
        <w:tab w:val="right" w:pos="9072"/>
      </w:tabs>
      <w:spacing w:line="240" w:lineRule="auto"/>
    </w:pPr>
  </w:style>
  <w:style w:type="character" w:customStyle="1" w:styleId="KoptekstChar">
    <w:name w:val="Koptekst Char"/>
    <w:basedOn w:val="DefaultParagraphFont"/>
    <w:link w:val="Header"/>
    <w:uiPriority w:val="99"/>
    <w:rsid w:val="007E3C71"/>
    <w:rPr>
      <w:rFonts w:ascii="Verdana" w:hAnsi="Verdana"/>
      <w:color w:val="000000"/>
      <w:sz w:val="18"/>
      <w:szCs w:val="18"/>
    </w:rPr>
  </w:style>
  <w:style w:type="paragraph" w:styleId="Footer">
    <w:name w:val="footer"/>
    <w:basedOn w:val="Normal"/>
    <w:link w:val="VoettekstChar"/>
    <w:uiPriority w:val="99"/>
    <w:unhideWhenUsed/>
    <w:rsid w:val="007E3C71"/>
    <w:pPr>
      <w:tabs>
        <w:tab w:val="center" w:pos="4536"/>
        <w:tab w:val="right" w:pos="9072"/>
      </w:tabs>
      <w:spacing w:line="240" w:lineRule="auto"/>
    </w:pPr>
  </w:style>
  <w:style w:type="character" w:customStyle="1" w:styleId="VoettekstChar">
    <w:name w:val="Voettekst Char"/>
    <w:basedOn w:val="DefaultParagraphFont"/>
    <w:link w:val="Footer"/>
    <w:uiPriority w:val="99"/>
    <w:rsid w:val="007E3C71"/>
    <w:rPr>
      <w:rFonts w:ascii="Verdana" w:hAnsi="Verdana"/>
      <w:color w:val="000000"/>
      <w:sz w:val="18"/>
      <w:szCs w:val="18"/>
    </w:rPr>
  </w:style>
  <w:style w:type="paragraph" w:styleId="Caption">
    <w:name w:val="caption"/>
    <w:basedOn w:val="Normal"/>
    <w:next w:val="Normal"/>
    <w:uiPriority w:val="35"/>
    <w:unhideWhenUsed/>
    <w:qFormat/>
    <w:rsid w:val="00855AF3"/>
    <w:pPr>
      <w:spacing w:after="200" w:line="240" w:lineRule="auto"/>
    </w:pPr>
    <w:rPr>
      <w:i/>
      <w:iCs/>
      <w:color w:val="0E2841" w:themeColor="text2"/>
    </w:rPr>
  </w:style>
  <w:style w:type="paragraph" w:styleId="Revision">
    <w:name w:val="Revision"/>
    <w:hidden/>
    <w:uiPriority w:val="99"/>
    <w:semiHidden/>
    <w:rsid w:val="00C45A69"/>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631B3C"/>
    <w:rPr>
      <w:sz w:val="16"/>
      <w:szCs w:val="16"/>
    </w:rPr>
  </w:style>
  <w:style w:type="paragraph" w:styleId="CommentText">
    <w:name w:val="annotation text"/>
    <w:basedOn w:val="Normal"/>
    <w:link w:val="TekstopmerkingChar"/>
    <w:uiPriority w:val="99"/>
    <w:unhideWhenUsed/>
    <w:rsid w:val="00631B3C"/>
    <w:pPr>
      <w:spacing w:line="240" w:lineRule="auto"/>
    </w:pPr>
    <w:rPr>
      <w:sz w:val="20"/>
      <w:szCs w:val="20"/>
    </w:rPr>
  </w:style>
  <w:style w:type="character" w:customStyle="1" w:styleId="TekstopmerkingChar">
    <w:name w:val="Tekst opmerking Char"/>
    <w:basedOn w:val="DefaultParagraphFont"/>
    <w:link w:val="CommentText"/>
    <w:uiPriority w:val="99"/>
    <w:rsid w:val="00631B3C"/>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631B3C"/>
    <w:rPr>
      <w:b/>
      <w:bCs/>
    </w:rPr>
  </w:style>
  <w:style w:type="character" w:customStyle="1" w:styleId="OnderwerpvanopmerkingChar">
    <w:name w:val="Onderwerp van opmerking Char"/>
    <w:basedOn w:val="TekstopmerkingChar"/>
    <w:link w:val="CommentSubject"/>
    <w:uiPriority w:val="99"/>
    <w:semiHidden/>
    <w:rsid w:val="00631B3C"/>
    <w:rPr>
      <w:rFonts w:ascii="Verdana" w:hAnsi="Verdana"/>
      <w:b/>
      <w:bCs/>
      <w:color w:val="000000"/>
    </w:rPr>
  </w:style>
  <w:style w:type="character" w:styleId="FootnoteReference">
    <w:name w:val="footnote reference"/>
    <w:basedOn w:val="DefaultParagraphFont"/>
    <w:uiPriority w:val="99"/>
    <w:semiHidden/>
    <w:unhideWhenUsed/>
    <w:rsid w:val="007C698A"/>
    <w:rPr>
      <w:vertAlign w:val="superscript"/>
    </w:rPr>
  </w:style>
  <w:style w:type="character" w:styleId="UnresolvedMention">
    <w:name w:val="Unresolved Mention"/>
    <w:basedOn w:val="DefaultParagraphFont"/>
    <w:uiPriority w:val="99"/>
    <w:semiHidden/>
    <w:unhideWhenUsed/>
    <w:rsid w:val="007C698A"/>
    <w:rPr>
      <w:color w:val="605E5C"/>
      <w:shd w:val="clear" w:color="auto" w:fill="E1DFDD"/>
    </w:rPr>
  </w:style>
  <w:style w:type="character" w:styleId="FollowedHyperlink">
    <w:name w:val="FollowedHyperlink"/>
    <w:basedOn w:val="DefaultParagraphFont"/>
    <w:uiPriority w:val="99"/>
    <w:semiHidden/>
    <w:unhideWhenUsed/>
    <w:rsid w:val="008334D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image" Target="media/image1.png" Id="rId10" /><Relationship Type="http://schemas.openxmlformats.org/officeDocument/2006/relationships/image" Target="media/image2.png" Id="rId11" /><Relationship Type="http://schemas.openxmlformats.org/officeDocument/2006/relationships/image" Target="media/image3.png" Id="rId12" /><Relationship Type="http://schemas.openxmlformats.org/officeDocument/2006/relationships/header" Target="header1.xml" Id="rId13" /><Relationship Type="http://schemas.openxmlformats.org/officeDocument/2006/relationships/header" Target="header2.xml" Id="rId14" /><Relationship Type="http://schemas.openxmlformats.org/officeDocument/2006/relationships/footer" Target="footer1.xml" Id="rId15" /><Relationship Type="http://schemas.openxmlformats.org/officeDocument/2006/relationships/footer" Target="footer2.xml" Id="rId16" /><Relationship Type="http://schemas.openxmlformats.org/officeDocument/2006/relationships/header" Target="header3.xml" Id="rId17" /><Relationship Type="http://schemas.openxmlformats.org/officeDocument/2006/relationships/footer" Target="footer3.xml" Id="rId18" /><Relationship Type="http://schemas.openxmlformats.org/officeDocument/2006/relationships/theme" Target="theme/theme1.xml" Id="rId19" /><Relationship Type="http://schemas.openxmlformats.org/officeDocument/2006/relationships/settings" Target="settings.xml" Id="rId2" /><Relationship Type="http://schemas.openxmlformats.org/officeDocument/2006/relationships/numbering" Target="numbering.xml" Id="rId20" /><Relationship Type="http://schemas.openxmlformats.org/officeDocument/2006/relationships/styles" Target="styles.xml" Id="rId21" /><Relationship Type="http://schemas.openxmlformats.org/officeDocument/2006/relationships/webSettings" Target="webSettings.xml" Id="rId3" /><Relationship Type="http://schemas.openxmlformats.org/officeDocument/2006/relationships/fontTable" Target="fontTable.xml" Id="rId4" /></Relationships>
</file>

<file path=word/_rels/footnotes.xml.rels><?xml version="1.0" encoding="utf-8" standalone="yes"?><Relationships xmlns="http://schemas.openxmlformats.org/package/2006/relationships"><Relationship Id="rId1" Type="http://schemas.openxmlformats.org/officeDocument/2006/relationships/hyperlink" Target="https://www.google.com/url?sa=i&amp;source=web&amp;rct=j&amp;url=https://www.tweedekamer.nl/kamerstukken/toezeggingen/detail?id%3DTZ202609-102%26did%3DTZ202609-102&amp;ved=2ahUKEwjovaySwqeXAxUL2gIHHRrQJZkQy_kOegoIAggACAAIFhAD&amp;opi=89978449&amp;cd&amp;psig=AOvVaw3eqBjzBvswV1dMuQkpn4e9&amp;ust=1791449115033000" TargetMode="External" /><Relationship Id="rId2" Type="http://schemas.openxmlformats.org/officeDocument/2006/relationships/hyperlink" Target="https://www.seo.nl/wp-content/uploads/2025/12/2025-33-Leennormen-op-de-woningmarkt_Derck-Stabler.pdf"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1812</ap:Words>
  <ap:Characters>9972</ap:Characters>
  <ap:DocSecurity>0</ap:DocSecurity>
  <ap:Lines>83</ap:Lines>
  <ap:Paragraphs>23</ap:Paragraphs>
  <ap:ScaleCrop>false</ap:ScaleCrop>
  <ap:HeadingPairs>
    <vt:vector baseType="variant" size="2">
      <vt:variant>
        <vt:lpstr>Titel</vt:lpstr>
      </vt:variant>
      <vt:variant>
        <vt:i4>1</vt:i4>
      </vt:variant>
    </vt:vector>
  </ap:HeadingPairs>
  <ap:TitlesOfParts>
    <vt:vector baseType="lpstr" size="1">
      <vt:lpstr>Brief - Leennormen hypothecair krediet 2027</vt:lpstr>
    </vt:vector>
  </ap:TitlesOfParts>
  <ap:LinksUpToDate>false</ap:LinksUpToDate>
  <ap:CharactersWithSpaces>11761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2026-10-22T14:18:00.0000000Z</dcterms:created>
  <dcterms:modified xsi:type="dcterms:W3CDTF">2026-11-02T09:38:00.0000000Z</dcterms:modified>
  <dc:creator/>
  <lastModifiedBy/>
  <dc:description>------------------------</dc:description>
  <dc:subject/>
  <keywords/>
  <version/>
  <category/>
</coreProperties>
</file>