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ayout w:type="fixed"/>
        <w:tblCellMar>
          <w:left w:w="70" w:type="dxa"/>
          <w:right w:w="70" w:type="dxa"/>
        </w:tblCellMar>
        <w:tblLook w:val="0000" w:firstRow="0" w:lastRow="0" w:firstColumn="0" w:lastColumn="0" w:noHBand="0" w:noVBand="0"/>
      </w:tblPr>
      <w:tblGrid>
        <w:gridCol w:w="1560"/>
        <w:gridCol w:w="7512"/>
      </w:tblGrid>
      <w:tr w:rsidRPr="00531F00" w:rsidR="00876EBC" w:rsidTr="00755F1F" w14:paraId="752EB328" w14:textId="77777777">
        <w:trPr>
          <w:trHeight w:val="278"/>
        </w:trPr>
        <w:tc>
          <w:tcPr>
            <w:tcW w:w="1560" w:type="dxa"/>
          </w:tcPr>
          <w:p w:rsidRPr="00531F00" w:rsidR="00876EBC" w:rsidP="00755F1F" w:rsidRDefault="00876EBC" w14:paraId="10266A00" w14:textId="451BA258">
            <w:pPr>
              <w:rPr>
                <w:b/>
              </w:rPr>
            </w:pPr>
            <w:r w:rsidRPr="00F92A1C">
              <w:rPr>
                <w:b/>
                <w:bCs/>
              </w:rPr>
              <w:t>3700</w:t>
            </w:r>
            <w:r>
              <w:rPr>
                <w:b/>
                <w:bCs/>
              </w:rPr>
              <w:t>5</w:t>
            </w:r>
          </w:p>
        </w:tc>
        <w:tc>
          <w:tcPr>
            <w:tcW w:w="7512" w:type="dxa"/>
          </w:tcPr>
          <w:p w:rsidRPr="00531F00" w:rsidR="00876EBC" w:rsidP="00755F1F" w:rsidRDefault="00876EBC" w14:paraId="2CBD4C8E" w14:textId="5AFE665E">
            <w:pPr>
              <w:rPr>
                <w:b/>
              </w:rPr>
            </w:pPr>
            <w:r w:rsidRPr="00876EBC">
              <w:rPr>
                <w:b/>
                <w:bCs/>
              </w:rPr>
              <w:t>Regels over de uitvoering van nucleaire waarborgverdragen in de openbare lichamen Bonaire, Sint Eustatius en Saba (Uitvoeringswet nucleaire waarborgverdragen BES)</w:t>
            </w:r>
          </w:p>
        </w:tc>
      </w:tr>
      <w:tr w:rsidRPr="00531F00" w:rsidR="00876EBC" w:rsidTr="00755F1F" w14:paraId="1D170AD3" w14:textId="77777777">
        <w:tc>
          <w:tcPr>
            <w:tcW w:w="1560" w:type="dxa"/>
          </w:tcPr>
          <w:p w:rsidRPr="00531F00" w:rsidR="00876EBC" w:rsidP="00755F1F" w:rsidRDefault="00876EBC" w14:paraId="1B9C01FD" w14:textId="77777777">
            <w:pPr>
              <w:pStyle w:val="Amendement"/>
              <w:rPr>
                <w:rFonts w:ascii="Times New Roman" w:hAnsi="Times New Roman" w:cs="Times New Roman"/>
              </w:rPr>
            </w:pPr>
          </w:p>
        </w:tc>
        <w:tc>
          <w:tcPr>
            <w:tcW w:w="7512" w:type="dxa"/>
          </w:tcPr>
          <w:p w:rsidRPr="00531F00" w:rsidR="00876EBC" w:rsidP="00755F1F" w:rsidRDefault="00876EBC" w14:paraId="4B051582" w14:textId="77777777">
            <w:pPr>
              <w:pStyle w:val="Amendement"/>
              <w:rPr>
                <w:rFonts w:ascii="Times New Roman" w:hAnsi="Times New Roman" w:cs="Times New Roman"/>
              </w:rPr>
            </w:pPr>
          </w:p>
        </w:tc>
      </w:tr>
      <w:tr w:rsidRPr="00531F00" w:rsidR="00876EBC" w:rsidTr="00755F1F" w14:paraId="05731A1A" w14:textId="77777777">
        <w:tc>
          <w:tcPr>
            <w:tcW w:w="1560" w:type="dxa"/>
          </w:tcPr>
          <w:p w:rsidRPr="00531F00" w:rsidR="00876EBC" w:rsidP="00755F1F" w:rsidRDefault="00876EBC" w14:paraId="1806F807" w14:textId="77777777">
            <w:pPr>
              <w:pStyle w:val="Amendement"/>
              <w:rPr>
                <w:rFonts w:ascii="Times New Roman" w:hAnsi="Times New Roman" w:cs="Times New Roman"/>
              </w:rPr>
            </w:pPr>
          </w:p>
        </w:tc>
        <w:tc>
          <w:tcPr>
            <w:tcW w:w="7512" w:type="dxa"/>
          </w:tcPr>
          <w:p w:rsidR="00876EBC" w:rsidP="00755F1F" w:rsidRDefault="00876EBC" w14:paraId="6DFA8CC9" w14:textId="29E91338">
            <w:pPr>
              <w:pStyle w:val="Amendement"/>
              <w:rPr>
                <w:rFonts w:ascii="Times New Roman" w:hAnsi="Times New Roman" w:cs="Times New Roman"/>
              </w:rPr>
            </w:pPr>
            <w:r>
              <w:rPr>
                <w:rFonts w:ascii="Times New Roman" w:hAnsi="Times New Roman" w:cs="Times New Roman"/>
              </w:rPr>
              <w:t xml:space="preserve"> </w:t>
            </w:r>
            <w:r w:rsidR="00FD26F5">
              <w:rPr>
                <w:rFonts w:ascii="Times New Roman" w:hAnsi="Times New Roman" w:cs="Times New Roman"/>
              </w:rPr>
              <w:t xml:space="preserve">NOTA NAAR AANLEIDING VAN HET </w:t>
            </w:r>
            <w:r w:rsidR="00432169">
              <w:rPr>
                <w:rFonts w:ascii="Times New Roman" w:hAnsi="Times New Roman" w:cs="Times New Roman"/>
              </w:rPr>
              <w:t>VERSLAG</w:t>
            </w:r>
          </w:p>
          <w:p w:rsidRPr="00531F00" w:rsidR="00432169" w:rsidP="00FD26F5" w:rsidRDefault="00432169" w14:paraId="5E65E0EF" w14:textId="043F1CA9">
            <w:pPr>
              <w:tabs>
                <w:tab w:val="left" w:pos="2610"/>
              </w:tabs>
            </w:pPr>
            <w:r>
              <w:t xml:space="preserve"> </w:t>
            </w:r>
          </w:p>
        </w:tc>
      </w:tr>
      <w:tr w:rsidRPr="00531F00" w:rsidR="00876EBC" w:rsidTr="00755F1F" w14:paraId="3B47CAB1" w14:textId="77777777">
        <w:tc>
          <w:tcPr>
            <w:tcW w:w="1560" w:type="dxa"/>
          </w:tcPr>
          <w:p w:rsidRPr="00531F00" w:rsidR="00876EBC" w:rsidP="00755F1F" w:rsidRDefault="00876EBC" w14:paraId="2BBD12CA" w14:textId="77777777">
            <w:pPr>
              <w:pStyle w:val="Amendement"/>
              <w:rPr>
                <w:rFonts w:ascii="Times New Roman" w:hAnsi="Times New Roman" w:cs="Times New Roman"/>
              </w:rPr>
            </w:pPr>
          </w:p>
        </w:tc>
        <w:tc>
          <w:tcPr>
            <w:tcW w:w="7512" w:type="dxa"/>
          </w:tcPr>
          <w:p w:rsidRPr="00531F00" w:rsidR="00876EBC" w:rsidP="00755F1F" w:rsidRDefault="00876EBC" w14:paraId="0F86A3D5" w14:textId="77777777">
            <w:pPr>
              <w:pStyle w:val="Amendement"/>
              <w:rPr>
                <w:rFonts w:ascii="Times New Roman" w:hAnsi="Times New Roman" w:cs="Times New Roman"/>
              </w:rPr>
            </w:pPr>
          </w:p>
        </w:tc>
      </w:tr>
    </w:tbl>
    <w:p w:rsidR="00432169" w:rsidP="00432169" w:rsidRDefault="00432169" w14:paraId="2D5144FA" w14:textId="77777777">
      <w:pPr>
        <w:ind w:left="2124"/>
      </w:pPr>
    </w:p>
    <w:p w:rsidR="00876EBC" w:rsidP="00876EBC" w:rsidRDefault="00876EBC" w14:paraId="012DEE6F" w14:textId="77777777">
      <w:pPr>
        <w:autoSpaceDE w:val="0"/>
        <w:autoSpaceDN w:val="0"/>
        <w:rPr>
          <w:rFonts w:eastAsia="Calibri"/>
          <w:color w:val="000000"/>
        </w:rPr>
      </w:pPr>
    </w:p>
    <w:p w:rsidR="00876EBC" w:rsidP="00876EBC" w:rsidRDefault="00876EBC" w14:paraId="5A20BC37" w14:textId="77777777"/>
    <w:p w:rsidRPr="000D0594" w:rsidR="000D0594" w:rsidP="000D0594" w:rsidRDefault="000D0594" w14:paraId="17D54ADB" w14:textId="77777777">
      <w:pPr>
        <w:rPr>
          <w:b/>
          <w:bCs/>
        </w:rPr>
      </w:pPr>
      <w:r w:rsidRPr="000D0594">
        <w:rPr>
          <w:b/>
          <w:bCs/>
        </w:rPr>
        <w:t>A.</w:t>
      </w:r>
      <w:r w:rsidRPr="000D0594">
        <w:rPr>
          <w:b/>
          <w:bCs/>
        </w:rPr>
        <w:tab/>
        <w:t>Algemeen</w:t>
      </w:r>
    </w:p>
    <w:p w:rsidR="00213EAC" w:rsidRDefault="00213EAC" w14:paraId="3F7B1DAE" w14:textId="77777777"/>
    <w:p w:rsidR="000D0594" w:rsidRDefault="00755F1F" w14:paraId="4D7B2C41" w14:textId="77777777">
      <w:pPr>
        <w:pStyle w:val="Normal1"/>
      </w:pPr>
      <w:r>
        <w:t>De leden van de PVV-fractie danken de minister van Buitenlandse Zaken voor de stukken. Deze leden erkennen de internationale verplichtingen die op Nederland rusten om de verdere verspreiding van kernwapens en het niet-</w:t>
      </w:r>
      <w:r w:rsidRPr="00327D06" w:rsidR="00327D06">
        <w:t>vreedzame</w:t>
      </w:r>
      <w:r>
        <w:t xml:space="preserve"> gebruik van </w:t>
      </w:r>
      <w:r w:rsidRPr="00327D06" w:rsidR="00327D06">
        <w:t>nucleair</w:t>
      </w:r>
      <w:r>
        <w:t xml:space="preserve"> materiaal tegen te gaan. Zij vinden het goed dat de gaten in de wet- en regelgeving over het toezicht op de eilanden worden gedicht, zodat het hele Koninkrijk voortaan onder toezicht valt en op nucleair materiaal kan worden gecontroleerd. Hoewel er nu niet of nauwelijks nucleair materiaal aanwezig is op de eilanden, zegt dat niets over toekomstige situaties. Daarom omarmen deze leden </w:t>
      </w:r>
      <w:r w:rsidRPr="00327D06" w:rsidR="00327D06">
        <w:t>het wetsvoorstel,</w:t>
      </w:r>
      <w:r>
        <w:t xml:space="preserve"> inclusief de aangifteplicht voor toekomstige houders van nucleair materiaal.</w:t>
      </w:r>
    </w:p>
    <w:p w:rsidR="003A6231" w:rsidP="00103664" w:rsidRDefault="003A6231" w14:paraId="518BE402" w14:textId="77777777"/>
    <w:p w:rsidR="000D0594" w:rsidP="00103664" w:rsidRDefault="00103664" w14:paraId="16BCEDB3" w14:textId="7058D6BA">
      <w:r>
        <w:t xml:space="preserve">Hoewel de kosten voor </w:t>
      </w:r>
      <w:r w:rsidR="009D3C9B">
        <w:t xml:space="preserve">het ministerie van </w:t>
      </w:r>
      <w:r>
        <w:t>Buitenlandse Zaken te overzien zijn, vragen de leden</w:t>
      </w:r>
      <w:r w:rsidR="003A6231">
        <w:t xml:space="preserve"> van de PVV-fractie</w:t>
      </w:r>
      <w:r>
        <w:t xml:space="preserve"> waarom de houders van nucleair materiaal en ertsen of degenen die onderzoeks- of ontwikkelactiviteiten verrichten geen financiële bijdrage leveren aan het toezicht en de mogelijke controles</w:t>
      </w:r>
      <w:r w:rsidR="00EB1FB2">
        <w:t>.</w:t>
      </w:r>
      <w:r>
        <w:t xml:space="preserve"> Is het gebruikelijk dat zij op geen enkele wijze voor de kosten hiervan opdraaien?</w:t>
      </w:r>
    </w:p>
    <w:p w:rsidR="00B20D97" w:rsidP="00103664" w:rsidRDefault="00B20D97" w14:paraId="4A807D99" w14:textId="77777777"/>
    <w:p w:rsidRPr="00B20D97" w:rsidR="00B20D97" w:rsidP="00103664" w:rsidRDefault="00B20D97" w14:paraId="6347A29F" w14:textId="3DC7FF06">
      <w:pPr>
        <w:rPr>
          <w:b/>
          <w:bCs/>
          <w:u w:val="single"/>
        </w:rPr>
      </w:pPr>
      <w:r w:rsidRPr="00B20D97">
        <w:rPr>
          <w:b/>
          <w:bCs/>
          <w:u w:val="single"/>
        </w:rPr>
        <w:t>Antwoord van de zijde van het kabinet:</w:t>
      </w:r>
    </w:p>
    <w:p w:rsidR="00727D6D" w:rsidP="00103664" w:rsidRDefault="00727D6D" w14:paraId="2F55B446" w14:textId="77777777">
      <w:pPr>
        <w:rPr>
          <w:b/>
          <w:bCs/>
        </w:rPr>
      </w:pPr>
    </w:p>
    <w:p w:rsidRPr="00B20D97" w:rsidR="00EC5204" w:rsidP="00727D6D" w:rsidRDefault="00EC5204" w14:paraId="43939163" w14:textId="0BFA058F">
      <w:pPr>
        <w:rPr>
          <w:b/>
          <w:bCs/>
        </w:rPr>
      </w:pPr>
      <w:r w:rsidRPr="00B20D97">
        <w:rPr>
          <w:b/>
          <w:bCs/>
        </w:rPr>
        <w:t>In gevallen als deze is het gebruikelijk dat de kosten voor het toezicht ten laste komen van de algemene middelen.</w:t>
      </w:r>
    </w:p>
    <w:p w:rsidRPr="00B20D97" w:rsidR="00EC5204" w:rsidP="00727D6D" w:rsidRDefault="00EC5204" w14:paraId="6019B147" w14:textId="77777777">
      <w:pPr>
        <w:rPr>
          <w:b/>
          <w:bCs/>
        </w:rPr>
      </w:pPr>
    </w:p>
    <w:p w:rsidRPr="00B20D97" w:rsidR="00727D6D" w:rsidP="00727D6D" w:rsidRDefault="00727D6D" w14:paraId="34FA7C59" w14:textId="6C65278D">
      <w:pPr>
        <w:rPr>
          <w:b/>
          <w:bCs/>
        </w:rPr>
      </w:pPr>
      <w:r w:rsidRPr="00B20D97">
        <w:rPr>
          <w:b/>
          <w:bCs/>
        </w:rPr>
        <w:t xml:space="preserve">Volgens vast kabinetsbeleid wordt het toetsingskader voor de doorberekening van kosten die verband houden met nalevingstoezicht uit het rapport ‘Maat houden 2014’ (Kamerstukken II 2013/14, 24036, nr. 407) in acht genomen bij het bepalen of, en zo ja, onder welke voorwaarden, de doorberekening van deze kosten mogelijk is. Het algemene uitgangspunt dat in dit toetsingskader is neergelegd is dat handhaving van wet- en regelgeving in beginsel uit de algemene middelen moet worden gefinancierd, omdat deze activiteiten in de regel plaatsvinden voor het algemeen belang. Een </w:t>
      </w:r>
      <w:r w:rsidRPr="00B20D97" w:rsidR="005820F1">
        <w:rPr>
          <w:b/>
          <w:bCs/>
        </w:rPr>
        <w:t xml:space="preserve">eerste </w:t>
      </w:r>
      <w:r w:rsidRPr="00B20D97">
        <w:rPr>
          <w:b/>
          <w:bCs/>
        </w:rPr>
        <w:t>uitzondering op dit algemene uitgangspunt is mogelijk als individuele (rechts)personen of groepen van (rechts)personen op basis van specifieke onderscheidende criteria aanwijsbaar zijn die in substantiële mate profijt hebben bij toezicht en handhaving door de overheid (het profijtbeginsel)</w:t>
      </w:r>
      <w:r w:rsidRPr="00B20D97" w:rsidR="005820F1">
        <w:rPr>
          <w:b/>
          <w:bCs/>
        </w:rPr>
        <w:t>. Een tweede uitzondering op dit algemene uitgangspunt is mogelijk</w:t>
      </w:r>
      <w:r w:rsidRPr="00B20D97">
        <w:rPr>
          <w:b/>
          <w:bCs/>
        </w:rPr>
        <w:t xml:space="preserve"> als individuele (rechts)personen of groepen van (rechts)personen de overheid aanwijsbaar noodzaken tot meer dan regulier toezicht en handhaving (het veroorzaker betaalt-beginsel).</w:t>
      </w:r>
    </w:p>
    <w:p w:rsidRPr="00B20D97" w:rsidR="00727D6D" w:rsidP="00727D6D" w:rsidRDefault="00727D6D" w14:paraId="5CCC653F" w14:textId="77777777">
      <w:pPr>
        <w:rPr>
          <w:b/>
          <w:bCs/>
        </w:rPr>
      </w:pPr>
    </w:p>
    <w:p w:rsidRPr="00B20D97" w:rsidR="00FD26F5" w:rsidRDefault="001C3FF9" w14:paraId="27C495F4" w14:textId="7D49707D">
      <w:pPr>
        <w:rPr>
          <w:b/>
          <w:bCs/>
        </w:rPr>
      </w:pPr>
      <w:r w:rsidRPr="00B20D97">
        <w:rPr>
          <w:b/>
          <w:bCs/>
        </w:rPr>
        <w:t>M</w:t>
      </w:r>
      <w:r w:rsidRPr="00B20D97" w:rsidR="005820F1">
        <w:rPr>
          <w:b/>
          <w:bCs/>
        </w:rPr>
        <w:t>omenteel</w:t>
      </w:r>
      <w:r w:rsidRPr="00B20D97">
        <w:rPr>
          <w:b/>
          <w:bCs/>
        </w:rPr>
        <w:t xml:space="preserve"> zijn in de openbare lichamen Bonaire, Sint Eustatius en Saba</w:t>
      </w:r>
      <w:r w:rsidRPr="00B20D97" w:rsidR="005820F1">
        <w:rPr>
          <w:b/>
          <w:bCs/>
        </w:rPr>
        <w:t xml:space="preserve"> geen</w:t>
      </w:r>
      <w:r w:rsidRPr="00B20D97" w:rsidR="00727D6D">
        <w:rPr>
          <w:b/>
          <w:bCs/>
        </w:rPr>
        <w:t xml:space="preserve"> houders van nucleair materiaal en ertsen </w:t>
      </w:r>
      <w:r w:rsidRPr="00B20D97" w:rsidR="005820F1">
        <w:rPr>
          <w:b/>
          <w:bCs/>
        </w:rPr>
        <w:t xml:space="preserve">of </w:t>
      </w:r>
      <w:r w:rsidRPr="00B20D97" w:rsidR="005F59EA">
        <w:rPr>
          <w:b/>
          <w:bCs/>
        </w:rPr>
        <w:t>(rechts)</w:t>
      </w:r>
      <w:r w:rsidRPr="00B20D97" w:rsidR="005820F1">
        <w:rPr>
          <w:b/>
          <w:bCs/>
        </w:rPr>
        <w:t>personen</w:t>
      </w:r>
      <w:r w:rsidRPr="00B20D97" w:rsidR="00727D6D">
        <w:rPr>
          <w:b/>
          <w:bCs/>
        </w:rPr>
        <w:t xml:space="preserve"> die onderzoeks- of </w:t>
      </w:r>
      <w:r w:rsidRPr="00B20D97" w:rsidR="00727D6D">
        <w:rPr>
          <w:b/>
          <w:bCs/>
        </w:rPr>
        <w:lastRenderedPageBreak/>
        <w:t>ontwikkelingsactiviteiten over de splijtstofkringloop verrichten</w:t>
      </w:r>
      <w:r w:rsidRPr="00B20D97" w:rsidR="005F59EA">
        <w:rPr>
          <w:b/>
          <w:bCs/>
        </w:rPr>
        <w:t xml:space="preserve">. </w:t>
      </w:r>
      <w:r w:rsidRPr="00B20D97" w:rsidR="00130E74">
        <w:rPr>
          <w:b/>
          <w:bCs/>
        </w:rPr>
        <w:t>Als dit in de toekomst verandert</w:t>
      </w:r>
      <w:r w:rsidRPr="00B20D97" w:rsidR="005F59EA">
        <w:rPr>
          <w:b/>
          <w:bCs/>
        </w:rPr>
        <w:t>, is voor het toezicht op de naleving van de verplichtingen uit dit wetsvoorstel de uitzonderingsgrond van het veroorzaker betaalt-beginsel niet van toepassing. Het profijtbeginsel zou evenmin van toepassing zijn, omdat de activiteiten met de in het wetsvoorstel voorgestelde aangifteplicht legaal blijven</w:t>
      </w:r>
      <w:r w:rsidRPr="00B20D97" w:rsidR="00130E74">
        <w:rPr>
          <w:b/>
          <w:bCs/>
        </w:rPr>
        <w:t xml:space="preserve"> en de ondertoezichtgestelden dus geen profijt hebben van het toezicht op de naleving van de aangifteplicht. Dit zou anders zijn bij een vergunningplicht, omdat de </w:t>
      </w:r>
      <w:proofErr w:type="spellStart"/>
      <w:r w:rsidRPr="00B20D97" w:rsidR="00130E74">
        <w:rPr>
          <w:b/>
          <w:bCs/>
        </w:rPr>
        <w:t>ondertoezichtgestelden</w:t>
      </w:r>
      <w:proofErr w:type="spellEnd"/>
      <w:r w:rsidRPr="00B20D97" w:rsidR="00130E74">
        <w:rPr>
          <w:b/>
          <w:bCs/>
        </w:rPr>
        <w:t xml:space="preserve"> dan een activiteit mogen verrichten die voor anderen verboden is. </w:t>
      </w:r>
    </w:p>
    <w:sectPr w:rsidRPr="00B20D97" w:rsidR="00FD26F5" w:rsidSect="00E67224">
      <w:footerReference w:type="default" r:id="rId11"/>
      <w:pgSz w:w="11906" w:h="16838" w:code="9"/>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7D001" w14:textId="77777777" w:rsidR="002530C1" w:rsidRDefault="002530C1" w:rsidP="00F2430A">
      <w:r>
        <w:separator/>
      </w:r>
    </w:p>
  </w:endnote>
  <w:endnote w:type="continuationSeparator" w:id="0">
    <w:p w14:paraId="7221A3E9" w14:textId="77777777" w:rsidR="002530C1" w:rsidRDefault="002530C1" w:rsidP="00F2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907044"/>
      <w:docPartObj>
        <w:docPartGallery w:val="Page Numbers (Bottom of Page)"/>
        <w:docPartUnique/>
      </w:docPartObj>
    </w:sdtPr>
    <w:sdtContent>
      <w:p w14:paraId="6783C050" w14:textId="289236D6" w:rsidR="00F2430A" w:rsidRDefault="00F2430A">
        <w:pPr>
          <w:pStyle w:val="Voettekst"/>
          <w:jc w:val="center"/>
        </w:pPr>
        <w:r>
          <w:fldChar w:fldCharType="begin"/>
        </w:r>
        <w:r>
          <w:instrText>PAGE   \* MERGEFORMAT</w:instrText>
        </w:r>
        <w:r>
          <w:fldChar w:fldCharType="separate"/>
        </w:r>
        <w:r>
          <w:t>2</w:t>
        </w:r>
        <w:r>
          <w:fldChar w:fldCharType="end"/>
        </w:r>
      </w:p>
    </w:sdtContent>
  </w:sdt>
  <w:p w14:paraId="3F64AA86" w14:textId="77777777" w:rsidR="00F2430A" w:rsidRDefault="00F243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0CD6F" w14:textId="77777777" w:rsidR="002530C1" w:rsidRDefault="002530C1" w:rsidP="00F2430A">
      <w:r>
        <w:separator/>
      </w:r>
    </w:p>
  </w:footnote>
  <w:footnote w:type="continuationSeparator" w:id="0">
    <w:p w14:paraId="1EBD4B83" w14:textId="77777777" w:rsidR="002530C1" w:rsidRDefault="002530C1" w:rsidP="00F243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125F2"/>
    <w:multiLevelType w:val="hybridMultilevel"/>
    <w:tmpl w:val="5FD4D5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2744F78"/>
    <w:multiLevelType w:val="hybridMultilevel"/>
    <w:tmpl w:val="43A8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CB4703"/>
    <w:multiLevelType w:val="multilevel"/>
    <w:tmpl w:val="E960A5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2027251913">
    <w:abstractNumId w:val="2"/>
  </w:num>
  <w:num w:numId="2" w16cid:durableId="2073967323">
    <w:abstractNumId w:val="1"/>
  </w:num>
  <w:num w:numId="3" w16cid:durableId="99838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BC"/>
    <w:rsid w:val="00004F95"/>
    <w:rsid w:val="00066D48"/>
    <w:rsid w:val="000A1687"/>
    <w:rsid w:val="000B7CCC"/>
    <w:rsid w:val="000D0594"/>
    <w:rsid w:val="000E34CE"/>
    <w:rsid w:val="00103664"/>
    <w:rsid w:val="00130E74"/>
    <w:rsid w:val="001C3FF9"/>
    <w:rsid w:val="00213EAC"/>
    <w:rsid w:val="002530C1"/>
    <w:rsid w:val="00285F18"/>
    <w:rsid w:val="002C5FFD"/>
    <w:rsid w:val="00327D06"/>
    <w:rsid w:val="0034689E"/>
    <w:rsid w:val="003A6231"/>
    <w:rsid w:val="00432169"/>
    <w:rsid w:val="00432FE3"/>
    <w:rsid w:val="004C51DC"/>
    <w:rsid w:val="004E7D84"/>
    <w:rsid w:val="004F01A6"/>
    <w:rsid w:val="005820F1"/>
    <w:rsid w:val="005A06BC"/>
    <w:rsid w:val="005A2E37"/>
    <w:rsid w:val="005D3D9D"/>
    <w:rsid w:val="005E241E"/>
    <w:rsid w:val="005F59EA"/>
    <w:rsid w:val="006004A5"/>
    <w:rsid w:val="00674701"/>
    <w:rsid w:val="00696271"/>
    <w:rsid w:val="006D4E1F"/>
    <w:rsid w:val="00720183"/>
    <w:rsid w:val="00727D6D"/>
    <w:rsid w:val="00755F1F"/>
    <w:rsid w:val="007B0CF2"/>
    <w:rsid w:val="00800866"/>
    <w:rsid w:val="00876EBC"/>
    <w:rsid w:val="00894D8A"/>
    <w:rsid w:val="008F679F"/>
    <w:rsid w:val="00903037"/>
    <w:rsid w:val="00941206"/>
    <w:rsid w:val="009D3C9B"/>
    <w:rsid w:val="009F1552"/>
    <w:rsid w:val="00A15666"/>
    <w:rsid w:val="00AE5AED"/>
    <w:rsid w:val="00B20D97"/>
    <w:rsid w:val="00B44480"/>
    <w:rsid w:val="00C03CC3"/>
    <w:rsid w:val="00C57536"/>
    <w:rsid w:val="00C77228"/>
    <w:rsid w:val="00CA409F"/>
    <w:rsid w:val="00CA7859"/>
    <w:rsid w:val="00D34F33"/>
    <w:rsid w:val="00D51999"/>
    <w:rsid w:val="00DD7056"/>
    <w:rsid w:val="00E03C89"/>
    <w:rsid w:val="00E50BE1"/>
    <w:rsid w:val="00E56C19"/>
    <w:rsid w:val="00E67224"/>
    <w:rsid w:val="00EB1FB2"/>
    <w:rsid w:val="00EC5204"/>
    <w:rsid w:val="00F2430A"/>
    <w:rsid w:val="00F756C2"/>
    <w:rsid w:val="00F8660C"/>
    <w:rsid w:val="00F91873"/>
    <w:rsid w:val="00FD26F5"/>
    <w:rsid w:val="00FD52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C8EC"/>
  <w15:chartTrackingRefBased/>
  <w15:docId w15:val="{81E1DCA5-90C2-42E5-B84A-C684B4A4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6EBC"/>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876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76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76EB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6EB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6EB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6EB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6EB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6EB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6EB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6EB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6EB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6EB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6EB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6EB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6EB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76EB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76EB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76EBC"/>
    <w:rPr>
      <w:rFonts w:eastAsiaTheme="majorEastAsia" w:cstheme="majorBidi"/>
      <w:color w:val="272727" w:themeColor="text1" w:themeTint="D8"/>
    </w:rPr>
  </w:style>
  <w:style w:type="paragraph" w:styleId="Titel">
    <w:name w:val="Title"/>
    <w:basedOn w:val="Standaard"/>
    <w:next w:val="Standaard"/>
    <w:link w:val="TitelChar"/>
    <w:uiPriority w:val="10"/>
    <w:qFormat/>
    <w:rsid w:val="00876EB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6EB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76EB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6EB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6EB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6EBC"/>
    <w:rPr>
      <w:i/>
      <w:iCs/>
      <w:color w:val="404040" w:themeColor="text1" w:themeTint="BF"/>
    </w:rPr>
  </w:style>
  <w:style w:type="paragraph" w:styleId="Lijstalinea">
    <w:name w:val="List Paragraph"/>
    <w:basedOn w:val="Standaard"/>
    <w:uiPriority w:val="34"/>
    <w:qFormat/>
    <w:rsid w:val="00876EBC"/>
    <w:pPr>
      <w:ind w:left="720"/>
      <w:contextualSpacing/>
    </w:pPr>
  </w:style>
  <w:style w:type="character" w:styleId="Intensievebenadrukking">
    <w:name w:val="Intense Emphasis"/>
    <w:basedOn w:val="Standaardalinea-lettertype"/>
    <w:uiPriority w:val="21"/>
    <w:qFormat/>
    <w:rsid w:val="00876EBC"/>
    <w:rPr>
      <w:i/>
      <w:iCs/>
      <w:color w:val="0F4761" w:themeColor="accent1" w:themeShade="BF"/>
    </w:rPr>
  </w:style>
  <w:style w:type="paragraph" w:styleId="Duidelijkcitaat">
    <w:name w:val="Intense Quote"/>
    <w:basedOn w:val="Standaard"/>
    <w:next w:val="Standaard"/>
    <w:link w:val="DuidelijkcitaatChar"/>
    <w:uiPriority w:val="30"/>
    <w:qFormat/>
    <w:rsid w:val="00876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6EBC"/>
    <w:rPr>
      <w:i/>
      <w:iCs/>
      <w:color w:val="0F4761" w:themeColor="accent1" w:themeShade="BF"/>
    </w:rPr>
  </w:style>
  <w:style w:type="character" w:styleId="Intensieveverwijzing">
    <w:name w:val="Intense Reference"/>
    <w:basedOn w:val="Standaardalinea-lettertype"/>
    <w:uiPriority w:val="32"/>
    <w:qFormat/>
    <w:rsid w:val="00876EBC"/>
    <w:rPr>
      <w:b/>
      <w:bCs/>
      <w:smallCaps/>
      <w:color w:val="0F4761" w:themeColor="accent1" w:themeShade="BF"/>
      <w:spacing w:val="5"/>
    </w:rPr>
  </w:style>
  <w:style w:type="paragraph" w:customStyle="1" w:styleId="Amendement">
    <w:name w:val="Amendement"/>
    <w:rsid w:val="00876EBC"/>
    <w:pPr>
      <w:widowControl w:val="0"/>
      <w:tabs>
        <w:tab w:val="left" w:pos="3310"/>
        <w:tab w:val="left" w:pos="3600"/>
      </w:tabs>
      <w:suppressAutoHyphens/>
      <w:spacing w:after="0" w:line="240" w:lineRule="auto"/>
    </w:pPr>
    <w:rPr>
      <w:rFonts w:ascii="Courier New" w:eastAsia="Times New Roman" w:hAnsi="Courier New" w:cs="Courier New"/>
      <w:b/>
      <w:bCs/>
      <w:kern w:val="0"/>
      <w:lang w:eastAsia="nl-NL"/>
      <w14:ligatures w14:val="none"/>
    </w:rPr>
  </w:style>
  <w:style w:type="paragraph" w:customStyle="1" w:styleId="Normal1">
    <w:name w:val="Normal1"/>
    <w:basedOn w:val="Standaard"/>
    <w:rPr>
      <w:rFonts w:eastAsiaTheme="minorHAnsi"/>
      <w:kern w:val="2"/>
      <w14:ligatures w14:val="standardContextual"/>
    </w:rPr>
  </w:style>
  <w:style w:type="paragraph" w:styleId="Revisie">
    <w:name w:val="Revision"/>
    <w:hidden/>
    <w:uiPriority w:val="99"/>
    <w:semiHidden/>
    <w:rsid w:val="00FD26F5"/>
    <w:pPr>
      <w:spacing w:after="0" w:line="240" w:lineRule="auto"/>
    </w:pPr>
    <w:rPr>
      <w:rFonts w:ascii="Times New Roman" w:eastAsia="Times New Roman" w:hAnsi="Times New Roman" w:cs="Times New Roman"/>
      <w:kern w:val="0"/>
      <w:lang w:eastAsia="nl-NL"/>
      <w14:ligatures w14:val="none"/>
    </w:rPr>
  </w:style>
  <w:style w:type="paragraph" w:styleId="Koptekst">
    <w:name w:val="header"/>
    <w:basedOn w:val="Standaard"/>
    <w:link w:val="KoptekstChar"/>
    <w:uiPriority w:val="99"/>
    <w:unhideWhenUsed/>
    <w:rsid w:val="00F2430A"/>
    <w:pPr>
      <w:tabs>
        <w:tab w:val="center" w:pos="4513"/>
        <w:tab w:val="right" w:pos="9026"/>
      </w:tabs>
    </w:pPr>
  </w:style>
  <w:style w:type="character" w:customStyle="1" w:styleId="KoptekstChar">
    <w:name w:val="Koptekst Char"/>
    <w:basedOn w:val="Standaardalinea-lettertype"/>
    <w:link w:val="Koptekst"/>
    <w:uiPriority w:val="99"/>
    <w:rsid w:val="00F2430A"/>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F2430A"/>
    <w:pPr>
      <w:tabs>
        <w:tab w:val="center" w:pos="4513"/>
        <w:tab w:val="right" w:pos="9026"/>
      </w:tabs>
    </w:pPr>
  </w:style>
  <w:style w:type="character" w:customStyle="1" w:styleId="VoettekstChar">
    <w:name w:val="Voettekst Char"/>
    <w:basedOn w:val="Standaardalinea-lettertype"/>
    <w:link w:val="Voettekst"/>
    <w:uiPriority w:val="99"/>
    <w:rsid w:val="00F2430A"/>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529</ap:Words>
  <ap:Characters>2912</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3435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2026-10-28T10:28:00.0000000Z</lastPrinted>
  <dcterms:created xsi:type="dcterms:W3CDTF">2026-10-30T10:49:00.0000000Z</dcterms:created>
  <dcterms:modified xsi:type="dcterms:W3CDTF">2026-10-30T10:50:00.0000000Z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0x0101009C7CE436063D44E9BE7DC0259EF7C32F006EB9F9836A634AE58B6169785FD3936F00119265901171E34CA7967CE782F01BF9</vt:lpwstr>
  </property>
  <property fmtid="{D5CDD505-2E9C-101B-9397-08002B2CF9AE}" pid="3" name="MediaServiceImageTags">
    <vt:lpwstr/>
  </property>
  <property fmtid="{D5CDD505-2E9C-101B-9397-08002B2CF9AE}" pid="4" name="docLang">
    <vt:lpwstr>nl</vt:lpwstr>
  </property>
  <property fmtid="{D5CDD505-2E9C-101B-9397-08002B2CF9AE}" pid="5" name="gc2efd3bfea04f7f8169be07009f5536">
    <vt:lpwstr/>
  </property>
  <property fmtid="{D5CDD505-2E9C-101B-9397-08002B2CF9AE}" pid="6" name="BZForumOrganisation">
    <vt:lpwstr>2;#Not applicable|0049e722-bfb1-4a3f-9d08-af7366a9af40</vt:lpwstr>
  </property>
  <property fmtid="{D5CDD505-2E9C-101B-9397-08002B2CF9AE}" pid="7" name="BZDossierBudgetManager">
    <vt:lpwstr/>
  </property>
  <property fmtid="{D5CDD505-2E9C-101B-9397-08002B2CF9AE}" pid="8" name="BZTheme">
    <vt:lpwstr>1;#Not applicable|ec01d90b-9d0f-4785-8785-e1ea615196bf</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3;#Not applicable|ec01d90b-9d0f-4785-8785-e1ea615196bf</vt:lpwstr>
  </property>
  <property fmtid="{D5CDD505-2E9C-101B-9397-08002B2CF9AE}" pid="12" name="BZDossierGovernmentOfficial">
    <vt:lpwstr/>
  </property>
  <property fmtid="{D5CDD505-2E9C-101B-9397-08002B2CF9AE}" pid="13" name="BZDossierProcessLocation">
    <vt:lpwstr/>
  </property>
  <property fmtid="{D5CDD505-2E9C-101B-9397-08002B2CF9AE}" pid="14" name="i42ef48d5fa942a0ad0d60e44f201751">
    <vt:lpwstr/>
  </property>
  <property fmtid="{D5CDD505-2E9C-101B-9397-08002B2CF9AE}" pid="15" name="BZDossierPublishingWOOCategory">
    <vt:lpwstr/>
  </property>
  <property fmtid="{D5CDD505-2E9C-101B-9397-08002B2CF9AE}" pid="16" name="f2fb2a8e39404f1ab554e4e4a49d2918">
    <vt:lpwstr/>
  </property>
  <property fmtid="{D5CDD505-2E9C-101B-9397-08002B2CF9AE}" pid="17" name="BZMarking">
    <vt:lpwstr>5;#NO MARKING|0a4eb9ae-69eb-4d9e-b573-43ab99ef8592</vt:lpwstr>
  </property>
  <property fmtid="{D5CDD505-2E9C-101B-9397-08002B2CF9AE}" pid="18" name="_dlc_DocIdItemGuid">
    <vt:lpwstr>4eefd848-b569-4d5a-bff3-cf426c2fa754</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https://247.plaza.buzaservices.nl/subject/PV-VZ2026042026/BZ2633015/Inbreng%20verslag%20Regels%20over%20de%20uitvoering%20van%20nucleaire%20waarborgverdragen%20in%20de%20openbare%20lichamen%20Bonaire, Sint Eustatius en Saba (Uitvoeringswet nucleaire waarborgverdragen BES).docx</vt:lpwstr>
  </property>
  <property fmtid="{D5CDD505-2E9C-101B-9397-08002B2CF9AE}" pid="27" name="_docset_NoMedatataSyncRequired">
    <vt:lpwstr>False</vt:lpwstr>
  </property>
</Properties>
</file>