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A9144E" w14:paraId="22795E07" w14:textId="77777777">
      <w:pPr>
        <w:framePr w:w="737" w:h="2493" w:wrap="none" w:hAnchor="page" w:vAnchor="page" w:x="5584" w:hRule="exact" w:anchorLock="1"/>
        <w:spacing w:line="240" w:lineRule="auto"/>
      </w:pPr>
      <w:r>
        <w:rPr>
          <w:noProof/>
        </w:rPr>
        <w:drawing>
          <wp:inline distT="0" distB="0" distL="0" distR="0">
            <wp:extent cx="467995" cy="1583865"/>
            <wp:effectExtent l="0" t="0" r="0" b="0"/>
            <wp:docPr id="6"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xmlns:r="http://schemas.openxmlformats.org/officeDocument/2006/relationships" r:embed="rId7"/>
                    <a:stretch>
                      <a:fillRect/>
                    </a:stretch>
                  </pic:blipFill>
                  <pic:spPr bwMode="auto">
                    <a:xfrm>
                      <a:off x="0" y="0"/>
                      <a:ext cx="467995" cy="1583865"/>
                    </a:xfrm>
                    <a:prstGeom prst="rect">
                      <a:avLst/>
                    </a:prstGeom>
                  </pic:spPr>
                </pic:pic>
              </a:graphicData>
            </a:graphic>
          </wp:inline>
        </w:drawing>
      </w:r>
    </w:p>
    <w:p w:rsidR="00A9144E" w14:paraId="2518EA5E" w14:textId="77777777">
      <w:pPr>
        <w:framePr w:w="3685" w:h="2494" w:wrap="none" w:hAnchor="page" w:vAnchor="page" w:x="6292" w:hRule="exact" w:anchorLock="1"/>
        <w:spacing w:line="240" w:lineRule="auto"/>
      </w:pPr>
      <w:r>
        <w:rPr>
          <w:noProof/>
        </w:rPr>
        <w:drawing>
          <wp:inline distT="0" distB="0" distL="0" distR="0">
            <wp:extent cx="2339975" cy="1320165"/>
            <wp:effectExtent l="0" t="0" r="0" b="0"/>
            <wp:docPr id="8"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xmlns:r="http://schemas.openxmlformats.org/officeDocument/2006/relationships" r:embed="rId8"/>
                    <a:stretch>
                      <a:fillRect/>
                    </a:stretch>
                  </pic:blipFill>
                  <pic:spPr bwMode="auto">
                    <a:xfrm>
                      <a:off x="0" y="0"/>
                      <a:ext cx="2339975" cy="1320165"/>
                    </a:xfrm>
                    <a:prstGeom prst="rect">
                      <a:avLst/>
                    </a:prstGeom>
                  </pic:spPr>
                </pic:pic>
              </a:graphicData>
            </a:graphic>
          </wp:inline>
        </w:drawing>
      </w:r>
    </w:p>
    <w:p w:rsidR="00A9144E" w14:paraId="47E3D7FD" w14:textId="77777777">
      <w:pPr>
        <w:pStyle w:val="Referentiegegevens"/>
        <w:framePr w:w="7540" w:h="255" w:wrap="none" w:hAnchor="page" w:vAnchor="page" w:x="1592" w:y="2709" w:hRule="exact" w:anchorLock="1"/>
      </w:pPr>
      <w:r>
        <w:t>&gt; Retouradres Postbus 20011 2500 EA  Den Haag</w:t>
      </w:r>
    </w:p>
    <w:p w:rsidR="00A9144E" w14:paraId="0AE1D576" w14:textId="77777777">
      <w:pPr>
        <w:framePr w:w="7540" w:h="1757" w:wrap="none" w:hAnchor="page" w:vAnchor="page" w:x="1587" w:y="3078" w:hRule="exact" w:anchorLock="1"/>
      </w:pPr>
      <w:r>
        <w:t>Aan de Voorzitter van de Tweede Kamer der Staten-Generaal</w:t>
      </w:r>
    </w:p>
    <w:p w:rsidR="00A9144E" w14:paraId="14C6CD76" w14:textId="77777777">
      <w:pPr>
        <w:framePr w:w="7540" w:h="1757" w:wrap="none" w:hAnchor="page" w:vAnchor="page" w:x="1587" w:y="3078" w:hRule="exact" w:anchorLock="1"/>
      </w:pPr>
      <w:r>
        <w:t>Postbus 20018</w:t>
      </w:r>
    </w:p>
    <w:p w:rsidR="00A9144E" w14:paraId="29C4E72F" w14:textId="77777777">
      <w:pPr>
        <w:framePr w:w="7540" w:h="1757" w:wrap="none" w:hAnchor="page" w:vAnchor="page" w:x="1587" w:y="3078" w:hRule="exact" w:anchorLock="1"/>
      </w:pPr>
      <w:r>
        <w:t>2500 EA  Den Haag</w:t>
      </w:r>
    </w:p>
    <w:p w:rsidR="00A9144E" w14:paraId="01E5BC36" w14:textId="77777777">
      <w:pPr>
        <w:pStyle w:val="Referentiegegevensbold"/>
        <w:framePr w:w="2012" w:h="12614" w:wrap="none" w:hAnchor="page" w:vAnchor="page" w:x="9325" w:y="3095" w:hRule="exact" w:anchorLock="1"/>
      </w:pPr>
      <w:r>
        <w:t xml:space="preserve">DG Openbaar Bestuur &amp; </w:t>
      </w:r>
      <w:r>
        <w:t>Democr</w:t>
      </w:r>
      <w:r>
        <w:t xml:space="preserve"> Rechtsstaat</w:t>
      </w:r>
    </w:p>
    <w:p w:rsidR="00A9144E" w14:paraId="657217B1" w14:textId="77777777">
      <w:pPr>
        <w:pStyle w:val="Referentiegegevens"/>
        <w:framePr w:w="2012" w:h="12614" w:wrap="none" w:hAnchor="page" w:vAnchor="page" w:x="9325" w:y="3095" w:hRule="exact" w:anchorLock="1"/>
      </w:pPr>
      <w:r>
        <w:t>DGOBDR-BFR-</w:t>
      </w:r>
      <w:r>
        <w:t>Regelg</w:t>
      </w:r>
      <w:r>
        <w:t>. Toezicht &amp; Monitoring</w:t>
      </w:r>
    </w:p>
    <w:p w:rsidR="00A9144E" w14:paraId="6503C45B" w14:textId="77777777">
      <w:pPr>
        <w:pStyle w:val="WitregelW1"/>
        <w:framePr w:w="2012" w:h="12614" w:wrap="none" w:hAnchor="page" w:vAnchor="page" w:x="9325" w:y="3095" w:hRule="exact" w:anchorLock="1"/>
      </w:pPr>
    </w:p>
    <w:p w:rsidR="00A9144E" w14:paraId="5C90CCD8" w14:textId="77777777">
      <w:pPr>
        <w:pStyle w:val="Referentiegegevens"/>
        <w:framePr w:w="2012" w:h="12614" w:wrap="none" w:hAnchor="page" w:vAnchor="page" w:x="9325" w:y="3095" w:hRule="exact" w:anchorLock="1"/>
      </w:pPr>
      <w:r>
        <w:t>Turfmarkt 147</w:t>
      </w:r>
    </w:p>
    <w:p w:rsidRPr="008E2557" w:rsidR="00A9144E" w14:paraId="3A0F68FD" w14:textId="77777777">
      <w:pPr>
        <w:pStyle w:val="Referentiegegevens"/>
        <w:framePr w:w="2012" w:h="12614" w:wrap="none" w:hAnchor="page" w:vAnchor="page" w:x="9325" w:y="3095" w:hRule="exact" w:anchorLock="1"/>
        <w:rPr>
          <w:lang w:val="de-DE"/>
        </w:rPr>
      </w:pPr>
      <w:r w:rsidRPr="008E2557">
        <w:rPr>
          <w:lang w:val="de-DE"/>
        </w:rPr>
        <w:t xml:space="preserve">2511 </w:t>
      </w:r>
      <w:r w:rsidRPr="008E2557">
        <w:rPr>
          <w:lang w:val="de-DE"/>
        </w:rPr>
        <w:t>DP  Den</w:t>
      </w:r>
      <w:r w:rsidRPr="008E2557">
        <w:rPr>
          <w:lang w:val="de-DE"/>
        </w:rPr>
        <w:t xml:space="preserve"> Haag</w:t>
      </w:r>
    </w:p>
    <w:p w:rsidRPr="008E2557" w:rsidR="00A9144E" w14:paraId="7C3B88AC" w14:textId="77777777">
      <w:pPr>
        <w:pStyle w:val="Referentiegegevens"/>
        <w:framePr w:w="2012" w:h="12614" w:wrap="none" w:hAnchor="page" w:vAnchor="page" w:x="9325" w:y="3095" w:hRule="exact" w:anchorLock="1"/>
        <w:rPr>
          <w:lang w:val="de-DE"/>
        </w:rPr>
      </w:pPr>
      <w:r w:rsidRPr="008E2557">
        <w:rPr>
          <w:lang w:val="de-DE"/>
        </w:rPr>
        <w:t>Postbus 20011</w:t>
      </w:r>
    </w:p>
    <w:p w:rsidRPr="008E2557" w:rsidR="00A9144E" w14:paraId="12F73BBA" w14:textId="77777777">
      <w:pPr>
        <w:pStyle w:val="Referentiegegevens"/>
        <w:framePr w:w="2012" w:h="12614" w:wrap="none" w:hAnchor="page" w:vAnchor="page" w:x="9325" w:y="3095" w:hRule="exact" w:anchorLock="1"/>
        <w:rPr>
          <w:lang w:val="de-DE"/>
        </w:rPr>
      </w:pPr>
      <w:r w:rsidRPr="008E2557">
        <w:rPr>
          <w:lang w:val="de-DE"/>
        </w:rPr>
        <w:t xml:space="preserve">2500 </w:t>
      </w:r>
      <w:r w:rsidRPr="008E2557">
        <w:rPr>
          <w:lang w:val="de-DE"/>
        </w:rPr>
        <w:t>EA  Den</w:t>
      </w:r>
      <w:r w:rsidRPr="008E2557">
        <w:rPr>
          <w:lang w:val="de-DE"/>
        </w:rPr>
        <w:t xml:space="preserve"> Haag</w:t>
      </w:r>
    </w:p>
    <w:p w:rsidR="009A37B4" w14:paraId="31BB112F" w14:textId="77777777">
      <w:pPr>
        <w:pStyle w:val="Referentiegegevens"/>
        <w:framePr w:w="2012" w:h="12614" w:wrap="none" w:hAnchor="page" w:vAnchor="page" w:x="9325" w:y="3095" w:hRule="exact" w:anchorLock="1"/>
        <w:rPr>
          <w:lang w:val="de-DE"/>
        </w:rPr>
      </w:pPr>
      <w:hyperlink w:history="1" r:id="rId9">
        <w:r w:rsidRPr="00C71518">
          <w:rPr>
            <w:lang w:val="de-DE"/>
          </w:rPr>
          <w:t>www.rijksoverheid.nl</w:t>
        </w:r>
      </w:hyperlink>
    </w:p>
    <w:p w:rsidRPr="008E2557" w:rsidR="008E2557" w:rsidP="008E2557" w14:paraId="708EFDE8" w14:textId="77777777">
      <w:pPr>
        <w:framePr w:w="2012" w:h="12614" w:wrap="none" w:hAnchor="page" w:vAnchor="page" w:x="9325" w:y="3095" w:hRule="exact" w:anchorLock="1"/>
        <w:rPr>
          <w:lang w:val="de-DE"/>
        </w:rPr>
      </w:pPr>
    </w:p>
    <w:p w:rsidRPr="008E2557" w:rsidR="00A9144E" w14:paraId="38AF9236" w14:textId="77777777">
      <w:pPr>
        <w:pStyle w:val="Referentiegegevensbold"/>
        <w:framePr w:w="2012" w:h="12614" w:wrap="none" w:hAnchor="page" w:vAnchor="page" w:x="9325" w:y="3095" w:hRule="exact" w:anchorLock="1"/>
        <w:rPr>
          <w:lang w:val="de-DE"/>
        </w:rPr>
      </w:pPr>
      <w:r w:rsidRPr="008E2557">
        <w:rPr>
          <w:lang w:val="de-DE"/>
        </w:rPr>
        <w:t>Onze</w:t>
      </w:r>
      <w:r w:rsidRPr="008E2557">
        <w:rPr>
          <w:lang w:val="de-DE"/>
        </w:rPr>
        <w:t xml:space="preserve"> </w:t>
      </w:r>
      <w:r w:rsidRPr="008E2557">
        <w:rPr>
          <w:lang w:val="de-DE"/>
        </w:rPr>
        <w:t>referentie</w:t>
      </w:r>
    </w:p>
    <w:p w:rsidR="0038409B" w14:paraId="4288EEDE" w14:textId="77777777">
      <w:pPr>
        <w:pStyle w:val="Referentiegegevens"/>
        <w:framePr w:w="2012" w:h="12614" w:wrap="none" w:hAnchor="page" w:vAnchor="page" w:x="9325" w:y="3095" w:hRule="exact" w:anchorLock="1"/>
      </w:pPr>
      <w:r>
        <w:fldChar w:fldCharType="begin"/>
      </w:r>
      <w:r>
        <w:instrText xml:space="preserve"> DOCPROPERTY  "Kenmerk"  \* MERGEFORMAT </w:instrText>
      </w:r>
      <w:r>
        <w:fldChar w:fldCharType="separate"/>
      </w:r>
      <w:r>
        <w:t>2026-0000503723</w:t>
      </w:r>
      <w:r>
        <w:fldChar w:fldCharType="end"/>
      </w:r>
    </w:p>
    <w:tbl>
      <w:tblPr>
        <w:tblW w:w="0" w:type="auto"/>
        <w:tblLayout w:type="fixed"/>
        <w:tblLook w:val="0740"/>
      </w:tblPr>
      <w:tblGrid>
        <w:gridCol w:w="1140"/>
        <w:gridCol w:w="5918"/>
      </w:tblGrid>
      <w:tr w14:paraId="3AA7EAD2" w14:textId="77777777">
        <w:tblPrEx>
          <w:tblW w:w="0" w:type="auto"/>
          <w:tblLayout w:type="fixed"/>
          <w:tblLook w:val="0740"/>
        </w:tblPrEx>
        <w:trPr>
          <w:trHeight w:val="240"/>
        </w:trPr>
        <w:tc>
          <w:tcPr>
            <w:tcW w:w="1140" w:type="dxa"/>
          </w:tcPr>
          <w:p w:rsidR="00A9144E" w14:paraId="1A409EE8" w14:textId="77777777">
            <w:pPr>
              <w:framePr w:w="7540" w:h="510" w:wrap="none" w:hAnchor="page" w:vAnchor="page" w:x="1589" w:y="5283" w:hRule="exact" w:anchorLock="1"/>
            </w:pPr>
            <w:r>
              <w:t>Datum</w:t>
            </w:r>
          </w:p>
        </w:tc>
        <w:tc>
          <w:tcPr>
            <w:tcW w:w="5918" w:type="dxa"/>
          </w:tcPr>
          <w:p w:rsidR="00EC40DF" w14:paraId="3C1CDF1B" w14:textId="77777777">
            <w:pPr>
              <w:framePr w:w="7540" w:h="510" w:wrap="none" w:hAnchor="page" w:vAnchor="page" w:x="1589" w:y="5283" w:hRule="exact" w:anchorLock="1"/>
            </w:pPr>
            <w:r>
              <w:t>30</w:t>
            </w:r>
            <w:r w:rsidR="00BF72B0">
              <w:t xml:space="preserve"> oktober 2026</w:t>
            </w:r>
          </w:p>
        </w:tc>
      </w:tr>
      <w:tr w14:paraId="11AD8CBA" w14:textId="77777777">
        <w:tblPrEx>
          <w:tblW w:w="0" w:type="auto"/>
          <w:tblLayout w:type="fixed"/>
          <w:tblLook w:val="0740"/>
        </w:tblPrEx>
        <w:trPr>
          <w:trHeight w:val="240"/>
        </w:trPr>
        <w:tc>
          <w:tcPr>
            <w:tcW w:w="1140" w:type="dxa"/>
          </w:tcPr>
          <w:p w:rsidR="00A9144E" w14:paraId="56E8563A" w14:textId="77777777">
            <w:pPr>
              <w:framePr w:w="7540" w:h="510" w:wrap="none" w:hAnchor="page" w:vAnchor="page" w:x="1589" w:y="5283" w:hRule="exact" w:anchorLock="1"/>
            </w:pPr>
            <w:r>
              <w:t>Betreft</w:t>
            </w:r>
          </w:p>
        </w:tc>
        <w:tc>
          <w:tcPr>
            <w:tcW w:w="5918" w:type="dxa"/>
          </w:tcPr>
          <w:p w:rsidR="0038409B" w14:paraId="2A40C40A" w14:textId="77777777">
            <w:pPr>
              <w:framePr w:w="7540" w:h="510" w:wrap="none" w:hAnchor="page" w:vAnchor="page" w:x="1589" w:y="5283" w:hRule="exact" w:anchorLock="1"/>
            </w:pPr>
            <w:r>
              <w:fldChar w:fldCharType="begin"/>
            </w:r>
            <w:r>
              <w:instrText xml:space="preserve"> DOCPROPERTY  "Onderwerp"  \* MERGEFORMAT </w:instrText>
            </w:r>
            <w:r>
              <w:fldChar w:fldCharType="separate"/>
            </w:r>
            <w:r>
              <w:t>Toekomst Financieel Toezicht</w:t>
            </w:r>
            <w:r>
              <w:fldChar w:fldCharType="end"/>
            </w:r>
          </w:p>
        </w:tc>
      </w:tr>
    </w:tbl>
    <w:p w:rsidR="0038409B" w14:paraId="49FC6DEC" w14:textId="77777777">
      <w:pPr>
        <w:pStyle w:val="Referentiegegevens"/>
        <w:framePr w:w="2025" w:h="254" w:wrap="none" w:hAnchor="page" w:vAnchor="page" w:x="9325" w:y="16055" w:hRule="exact" w:anchorLock="1"/>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p w:rsidRPr="004319BA" w:rsidR="008E2557" w:rsidP="008E2557" w14:paraId="7411D2F8" w14:textId="77777777">
      <w:pPr>
        <w:rPr>
          <w:rFonts w:cstheme="minorHAnsi"/>
        </w:rPr>
      </w:pPr>
      <w:r w:rsidRPr="004319BA">
        <w:t>In de brief van mijn ambtsvoorganger van 10 december 2025</w:t>
      </w:r>
      <w:r>
        <w:rPr>
          <w:rStyle w:val="FootnoteReference"/>
        </w:rPr>
        <w:footnoteReference w:id="2"/>
      </w:r>
      <w:r w:rsidRPr="004319BA">
        <w:t xml:space="preserve"> is uw Kamer geïnformeerd </w:t>
      </w:r>
      <w:r w:rsidRPr="004319BA">
        <w:rPr>
          <w:rFonts w:cstheme="minorHAnsi"/>
        </w:rPr>
        <w:t xml:space="preserve">over een aantal onderwerpen op het vlak van het financieel toezicht op decentrale overheden. In deze brief is onder andere ingegaan op de mogelijke aanvulling van de toezichtnorm en op de stelpost </w:t>
      </w:r>
      <w:r w:rsidRPr="004319BA">
        <w:rPr>
          <w:rFonts w:cstheme="minorHAnsi"/>
        </w:rPr>
        <w:t>onderuitputting</w:t>
      </w:r>
      <w:r w:rsidRPr="004319BA">
        <w:rPr>
          <w:rFonts w:cstheme="minorHAnsi"/>
        </w:rPr>
        <w:t>. Zoals toegezegd in de brief van 10 december 2025 informeer ik u nader over deze twee onderwerpen.</w:t>
      </w:r>
    </w:p>
    <w:p w:rsidRPr="004319BA" w:rsidR="008E2557" w:rsidP="008E2557" w14:paraId="6AD764EF" w14:textId="77777777">
      <w:pPr>
        <w:keepNext/>
        <w:rPr>
          <w:rFonts w:cstheme="minorHAnsi"/>
        </w:rPr>
      </w:pPr>
    </w:p>
    <w:p w:rsidRPr="004319BA" w:rsidR="008E2557" w:rsidP="008E2557" w14:paraId="644813F1" w14:textId="77777777">
      <w:pPr>
        <w:keepNext/>
        <w:rPr>
          <w:rFonts w:cstheme="minorHAnsi"/>
          <w:b/>
          <w:bCs/>
        </w:rPr>
      </w:pPr>
      <w:r w:rsidRPr="004319BA">
        <w:rPr>
          <w:rFonts w:cstheme="minorHAnsi"/>
          <w:b/>
          <w:bCs/>
        </w:rPr>
        <w:t>Toezichtnorm</w:t>
      </w:r>
    </w:p>
    <w:p w:rsidR="009B7DFB" w:rsidP="008E2557" w14:paraId="3C31ECC7" w14:textId="77777777">
      <w:r w:rsidRPr="004319BA">
        <w:rPr>
          <w:rFonts w:cstheme="minorHAnsi"/>
        </w:rPr>
        <w:t xml:space="preserve">In bovengenoemde brief is aangegeven dat er gesprekken hebben plaatsgevonden met de VNG, verschillende gemeenten en de provinciale toezichthouders </w:t>
      </w:r>
      <w:r w:rsidRPr="004319BA">
        <w:t xml:space="preserve">over de doorontwikkeling van het financieel toezicht op gemeenten. Deze gesprekken hebben geleid tot een aantal mogelijke opties voor aanvulling op de toezichtnorm van structureel en reëel evenwicht (SRE). </w:t>
      </w:r>
      <w:r w:rsidRPr="009B7DFB">
        <w:t>Deze norm schrijft voor dat de structurele lasten gedekt moeten zijn door de structurele baten</w:t>
      </w:r>
      <w:r>
        <w:t xml:space="preserve"> en dat de ramingen</w:t>
      </w:r>
      <w:r w:rsidRPr="009B7DFB">
        <w:t xml:space="preserve"> en aannames realistisch en aannemelijk onderbouwd moeten zijn.</w:t>
      </w:r>
    </w:p>
    <w:p w:rsidR="009B7DFB" w:rsidP="008E2557" w14:paraId="62555B2B" w14:textId="77777777"/>
    <w:p w:rsidRPr="004319BA" w:rsidR="008E2557" w:rsidP="008E2557" w14:paraId="7F976865" w14:textId="77777777">
      <w:r w:rsidRPr="004319BA">
        <w:t xml:space="preserve">Deze opties </w:t>
      </w:r>
      <w:r w:rsidR="009B7DFB">
        <w:t xml:space="preserve">voor aanvulling op de SRE-norm </w:t>
      </w:r>
      <w:r w:rsidRPr="004319BA">
        <w:t xml:space="preserve">zijn geschetst in de brief van 10 december 2025. Toegezegd daarbij is om </w:t>
      </w:r>
      <w:r w:rsidRPr="004319BA">
        <w:rPr>
          <w:rFonts w:cstheme="minorHAnsi"/>
        </w:rPr>
        <w:t xml:space="preserve">met de diverse partijen nadere gesprekken te voeren om te bezien, welke van deze opties de voorkeur verdient en welke stappen gezet moeten worden om dit verder te formaliseren. Deze gesprekken hebben inmiddels plaatsgevonden </w:t>
      </w:r>
      <w:r w:rsidRPr="004319BA">
        <w:t xml:space="preserve">en daaruit zijn twee opties naar voren gekomen als meest kansrijk voor doorontwikkeling van het </w:t>
      </w:r>
      <w:r>
        <w:t xml:space="preserve">financiële </w:t>
      </w:r>
      <w:r w:rsidRPr="004319BA">
        <w:t>toezicht:</w:t>
      </w:r>
    </w:p>
    <w:p w:rsidRPr="004319BA" w:rsidR="008E2557" w:rsidP="008E2557" w14:paraId="6E8CDA7B" w14:textId="77777777">
      <w:pPr>
        <w:numPr>
          <w:ilvl w:val="0"/>
          <w:numId w:val="5"/>
        </w:numPr>
      </w:pPr>
      <w:r w:rsidRPr="004319BA">
        <w:t>het</w:t>
      </w:r>
      <w:r w:rsidRPr="004319BA">
        <w:t xml:space="preserve"> risicomodel van de provinciale toezichthouders; </w:t>
      </w:r>
    </w:p>
    <w:p w:rsidRPr="004319BA" w:rsidR="008E2557" w:rsidP="008E2557" w14:paraId="2CA6A130" w14:textId="77777777">
      <w:pPr>
        <w:numPr>
          <w:ilvl w:val="0"/>
          <w:numId w:val="5"/>
        </w:numPr>
      </w:pPr>
      <w:r w:rsidRPr="004319BA">
        <w:t>het</w:t>
      </w:r>
      <w:r w:rsidRPr="004319BA">
        <w:t xml:space="preserve"> gebruik van financiële kengetallen met signaalwaarden (model VNG). </w:t>
      </w:r>
    </w:p>
    <w:p w:rsidRPr="004319BA" w:rsidR="008E2557" w:rsidP="008E2557" w14:paraId="0F8275B3" w14:textId="77777777">
      <w:pPr>
        <w:keepNext/>
      </w:pPr>
    </w:p>
    <w:p w:rsidRPr="004319BA" w:rsidR="008E2557" w:rsidP="008E2557" w14:paraId="1AE9FD8A" w14:textId="77777777">
      <w:pPr>
        <w:keepNext/>
        <w:rPr>
          <w:rFonts w:cstheme="minorHAnsi"/>
        </w:rPr>
      </w:pPr>
      <w:r w:rsidRPr="004319BA">
        <w:rPr>
          <w:rFonts w:cstheme="minorHAnsi"/>
        </w:rPr>
        <w:t>Beide opties beogen het toezicht te verbreden ten opzichte van de huidige SRE-norm, door naast het structureel begrotingsevenwicht ook andere aspecten van de financiële positie van gemeenten mee te nemen. Ik ga nu nader in op beide opties</w:t>
      </w:r>
      <w:r>
        <w:rPr>
          <w:rFonts w:cstheme="minorHAnsi"/>
        </w:rPr>
        <w:t xml:space="preserve"> en op het tijdspad dat ik </w:t>
      </w:r>
      <w:r w:rsidR="0064380F">
        <w:rPr>
          <w:rFonts w:cstheme="minorHAnsi"/>
        </w:rPr>
        <w:t xml:space="preserve">hierbij </w:t>
      </w:r>
      <w:r>
        <w:rPr>
          <w:rFonts w:cstheme="minorHAnsi"/>
        </w:rPr>
        <w:t>voor ogen heb.</w:t>
      </w:r>
    </w:p>
    <w:p w:rsidRPr="004319BA" w:rsidR="008E2557" w:rsidP="008E2557" w14:paraId="1DB062BD" w14:textId="77777777">
      <w:pPr>
        <w:keepNext/>
        <w:rPr>
          <w:rFonts w:cstheme="minorHAnsi"/>
        </w:rPr>
      </w:pPr>
    </w:p>
    <w:p w:rsidRPr="004319BA" w:rsidR="008E2557" w:rsidP="008E2557" w14:paraId="12C8AAB4" w14:textId="77777777">
      <w:pPr>
        <w:rPr>
          <w:rFonts w:cstheme="minorHAnsi"/>
          <w:i/>
          <w:iCs/>
        </w:rPr>
      </w:pPr>
      <w:r w:rsidRPr="004319BA">
        <w:rPr>
          <w:rFonts w:cstheme="minorHAnsi"/>
          <w:i/>
          <w:iCs/>
        </w:rPr>
        <w:t>Risicomodel provinciale toezichthouders</w:t>
      </w:r>
    </w:p>
    <w:p w:rsidRPr="004319BA" w:rsidR="008E2557" w:rsidP="008E2557" w14:paraId="37497E27" w14:textId="77777777">
      <w:pPr>
        <w:rPr>
          <w:rFonts w:cstheme="minorHAnsi"/>
        </w:rPr>
      </w:pPr>
      <w:r w:rsidRPr="004319BA">
        <w:rPr>
          <w:rFonts w:cstheme="minorHAnsi"/>
        </w:rPr>
        <w:t xml:space="preserve">De provinciale financiële toezichthouders hebben een risicomodel ontwikkeld op basis van 20 indicatoren. Deze indicatoren zijn verdeeld over de categorieën SRE, onderhoud kapitaalgoederen, taakstellingen/bezuinigingen/ombuigingen, weerstandsvermogen, kengetallen, grondexploitaties en verbonden partijen. Dit model wordt ingevuld op basis van informatie uit de begroting en jaarrekening van </w:t>
      </w:r>
      <w:r w:rsidRPr="004319BA">
        <w:rPr>
          <w:rFonts w:cstheme="minorHAnsi"/>
        </w:rPr>
        <w:t>de</w:t>
      </w:r>
      <w:r w:rsidRPr="004319BA">
        <w:rPr>
          <w:rFonts w:cstheme="minorHAnsi"/>
        </w:rPr>
        <w:t xml:space="preserve"> gemeenten. Aan elke indicator worden punten toegerekend. In totaal tellen de punten op tot een score van maximaal 100. Hoe hoger de totaalscore, hoe beter een gemeente er (naar oordeel van de toezichthouder) financieel voor staat en wordt geacht aan haar financiële verplichtingen te kunnen voldoen. Toezichthouders gebruiken de totaalscore om risicogericht en proportioneel financieel toezicht uit te voeren. Het risicomodel biedt </w:t>
      </w:r>
      <w:r>
        <w:rPr>
          <w:rFonts w:cstheme="minorHAnsi"/>
        </w:rPr>
        <w:t xml:space="preserve">dan ook </w:t>
      </w:r>
      <w:r w:rsidRPr="004319BA">
        <w:rPr>
          <w:rFonts w:cstheme="minorHAnsi"/>
        </w:rPr>
        <w:t>een brede set indicatoren</w:t>
      </w:r>
      <w:r w:rsidR="0064380F">
        <w:rPr>
          <w:rFonts w:cstheme="minorHAnsi"/>
        </w:rPr>
        <w:t>,</w:t>
      </w:r>
      <w:r w:rsidRPr="004319BA">
        <w:rPr>
          <w:rFonts w:cstheme="minorHAnsi"/>
        </w:rPr>
        <w:t xml:space="preserve"> die verschillende financiële risico’s in beeld brengen. Mogelijk zou dit risicomodel gebruikt kunnen worden als </w:t>
      </w:r>
      <w:r>
        <w:rPr>
          <w:rFonts w:cstheme="minorHAnsi"/>
        </w:rPr>
        <w:t xml:space="preserve">instrument </w:t>
      </w:r>
      <w:r w:rsidRPr="004319BA">
        <w:rPr>
          <w:rFonts w:cstheme="minorHAnsi"/>
        </w:rPr>
        <w:t>voor het toezichtoordeel</w:t>
      </w:r>
      <w:r w:rsidR="007E6440">
        <w:rPr>
          <w:rFonts w:cstheme="minorHAnsi"/>
        </w:rPr>
        <w:t xml:space="preserve"> door de provinciale toezichthouders</w:t>
      </w:r>
      <w:r w:rsidRPr="004319BA">
        <w:rPr>
          <w:rFonts w:cstheme="minorHAnsi"/>
        </w:rPr>
        <w:t>.</w:t>
      </w:r>
    </w:p>
    <w:p w:rsidRPr="004319BA" w:rsidR="008E2557" w:rsidP="008E2557" w14:paraId="197971F1" w14:textId="77777777">
      <w:pPr>
        <w:keepNext/>
        <w:rPr>
          <w:rFonts w:cstheme="minorHAnsi"/>
        </w:rPr>
      </w:pPr>
      <w:r>
        <w:rPr>
          <w:rFonts w:cstheme="minorHAnsi"/>
        </w:rPr>
        <w:t xml:space="preserve"> </w:t>
      </w:r>
    </w:p>
    <w:p w:rsidRPr="004319BA" w:rsidR="008E2557" w:rsidP="008E2557" w14:paraId="6314E0DF" w14:textId="77777777">
      <w:r w:rsidRPr="004319BA">
        <w:t xml:space="preserve">Het risicomodel van de provincies </w:t>
      </w:r>
      <w:r w:rsidR="0064380F">
        <w:t>is</w:t>
      </w:r>
      <w:r w:rsidRPr="004319BA">
        <w:t xml:space="preserve"> nog in ontwikkeling.</w:t>
      </w:r>
      <w:r>
        <w:t xml:space="preserve"> In</w:t>
      </w:r>
      <w:r w:rsidRPr="004319BA">
        <w:t xml:space="preserve"> samenwerking met de VNG, </w:t>
      </w:r>
      <w:r w:rsidR="0064380F">
        <w:t xml:space="preserve">het </w:t>
      </w:r>
      <w:r w:rsidRPr="004319BA">
        <w:t>IPO en provinciale toezichthouders</w:t>
      </w:r>
      <w:r>
        <w:t xml:space="preserve"> wordt d</w:t>
      </w:r>
      <w:r w:rsidRPr="004319BA">
        <w:t xml:space="preserve">e komende periode ingezet op verdere inhoudelijke doorontwikkeling van het risicomodel en het toetsen van de bruikbaarheid in de praktijk. Zodra het risicomodel verder is uitgewerkt en de belangrijkste verbeterpunten zijn doorgevoerd, wordt </w:t>
      </w:r>
      <w:r>
        <w:t xml:space="preserve">aan een aantal </w:t>
      </w:r>
      <w:r w:rsidRPr="004319BA">
        <w:t>provinciale toezichthoude</w:t>
      </w:r>
      <w:r>
        <w:t xml:space="preserve">rs </w:t>
      </w:r>
      <w:r w:rsidRPr="004319BA">
        <w:t xml:space="preserve">voorgesteld </w:t>
      </w:r>
      <w:r w:rsidR="00060791">
        <w:t xml:space="preserve">om </w:t>
      </w:r>
      <w:r w:rsidRPr="004319BA">
        <w:t>een pilot te starten. In deze pilot wordt verkend</w:t>
      </w:r>
      <w:r w:rsidR="00060791">
        <w:t>,</w:t>
      </w:r>
      <w:r w:rsidRPr="004319BA">
        <w:t xml:space="preserve"> in hoeverre het </w:t>
      </w:r>
      <w:r w:rsidR="007E6440">
        <w:t>risico</w:t>
      </w:r>
      <w:r w:rsidRPr="004319BA">
        <w:t>model kan worden toegepast als (meer) oordeelvormend instrument binnen het toezicht, in plaats van uitsluitend als ondersteunend hulpmiddel. De pilot kan daarbij inzicht geven in:</w:t>
      </w:r>
    </w:p>
    <w:p w:rsidRPr="004319BA" w:rsidR="008E2557" w:rsidP="008E2557" w14:paraId="3303BF4D" w14:textId="77777777">
      <w:pPr>
        <w:numPr>
          <w:ilvl w:val="0"/>
          <w:numId w:val="7"/>
        </w:numPr>
      </w:pPr>
      <w:r w:rsidRPr="004319BA">
        <w:t>de</w:t>
      </w:r>
      <w:r w:rsidRPr="004319BA">
        <w:t xml:space="preserve"> bruikbaarheid van het model in de praktijk; </w:t>
      </w:r>
    </w:p>
    <w:p w:rsidRPr="004319BA" w:rsidR="008E2557" w:rsidP="008E2557" w14:paraId="31CEC337" w14:textId="77777777">
      <w:pPr>
        <w:numPr>
          <w:ilvl w:val="0"/>
          <w:numId w:val="7"/>
        </w:numPr>
      </w:pPr>
      <w:r w:rsidRPr="004319BA">
        <w:t>de</w:t>
      </w:r>
      <w:r w:rsidRPr="004319BA">
        <w:t xml:space="preserve"> mate waarin het model bijdraagt aan consistentere en beter uitlegbare toezichtoordelen; </w:t>
      </w:r>
    </w:p>
    <w:p w:rsidRPr="004319BA" w:rsidR="008E2557" w:rsidP="008E2557" w14:paraId="6423F171" w14:textId="77777777">
      <w:pPr>
        <w:numPr>
          <w:ilvl w:val="0"/>
          <w:numId w:val="7"/>
        </w:numPr>
      </w:pPr>
      <w:r w:rsidRPr="004319BA">
        <w:t>de</w:t>
      </w:r>
      <w:r w:rsidRPr="004319BA">
        <w:t xml:space="preserve"> wijze waarop het model zich verhoudt tot de huidige SRE-norm.</w:t>
      </w:r>
    </w:p>
    <w:p w:rsidRPr="004319BA" w:rsidR="008E2557" w:rsidP="008E2557" w14:paraId="51F25B6F" w14:textId="77777777"/>
    <w:p w:rsidRPr="004319BA" w:rsidR="008E2557" w:rsidP="008E2557" w14:paraId="59AA93EE" w14:textId="77777777">
      <w:pPr>
        <w:keepNext/>
      </w:pPr>
      <w:r w:rsidRPr="004319BA">
        <w:t>De uitkomsten van deze pilot kunnen vervolgens worden betrokken bij de verdere besluitvorming over de doorontwikkeling van het financieel toezicht en de positionering van het model binnen de regelgeving en het toezichtkader.</w:t>
      </w:r>
      <w:r w:rsidRPr="004319BA">
        <w:rPr>
          <w:rFonts w:cstheme="minorHAnsi"/>
        </w:rPr>
        <w:t xml:space="preserve"> </w:t>
      </w:r>
    </w:p>
    <w:p w:rsidRPr="004319BA" w:rsidR="008E2557" w:rsidP="008E2557" w14:paraId="7FF9ECCC" w14:textId="77777777">
      <w:pPr>
        <w:keepNext/>
      </w:pPr>
    </w:p>
    <w:p w:rsidRPr="004319BA" w:rsidR="008E2557" w:rsidP="008E2557" w14:paraId="31FE380F" w14:textId="77777777">
      <w:pPr>
        <w:keepNext/>
        <w:rPr>
          <w:i/>
          <w:iCs/>
        </w:rPr>
      </w:pPr>
      <w:r w:rsidRPr="004319BA">
        <w:rPr>
          <w:i/>
          <w:iCs/>
        </w:rPr>
        <w:t>Financiële kengetallen met signaalwaarden</w:t>
      </w:r>
    </w:p>
    <w:p w:rsidRPr="004319BA" w:rsidR="008E2557" w:rsidP="008E2557" w14:paraId="00B96B4C" w14:textId="77777777">
      <w:pPr>
        <w:keepNext/>
        <w:rPr>
          <w:rFonts w:cstheme="minorHAnsi"/>
        </w:rPr>
      </w:pPr>
      <w:r w:rsidRPr="004319BA">
        <w:rPr>
          <w:rFonts w:cstheme="minorHAnsi"/>
        </w:rPr>
        <w:t xml:space="preserve">Door de VNG is een voorstel gedaan om onderstaande financiële kengetallen en bijbehorende signaalwaarden te hanteren:  </w:t>
      </w:r>
    </w:p>
    <w:p w:rsidRPr="004319BA" w:rsidR="008E2557" w:rsidP="008E2557" w14:paraId="6455FFE6" w14:textId="77777777">
      <w:pPr>
        <w:pStyle w:val="ListParagraph"/>
        <w:numPr>
          <w:ilvl w:val="0"/>
          <w:numId w:val="6"/>
        </w:numPr>
        <w:autoSpaceDN/>
        <w:textAlignment w:val="auto"/>
        <w:rPr>
          <w:rFonts w:cstheme="minorHAnsi"/>
        </w:rPr>
      </w:pPr>
      <w:r w:rsidRPr="004319BA">
        <w:rPr>
          <w:rFonts w:cstheme="minorHAnsi"/>
        </w:rPr>
        <w:t xml:space="preserve">Aantal negatieve exploitatieresultaten (voor bestemming reserves) in de afgelopen drie jaar is kleiner dan twee. </w:t>
      </w:r>
    </w:p>
    <w:p w:rsidRPr="004319BA" w:rsidR="008E2557" w:rsidP="008E2557" w14:paraId="52470AB9" w14:textId="77777777">
      <w:pPr>
        <w:pStyle w:val="ListParagraph"/>
        <w:numPr>
          <w:ilvl w:val="0"/>
          <w:numId w:val="6"/>
        </w:numPr>
        <w:autoSpaceDN/>
        <w:textAlignment w:val="auto"/>
        <w:rPr>
          <w:rFonts w:cstheme="minorHAnsi"/>
        </w:rPr>
      </w:pPr>
      <w:r w:rsidRPr="004319BA">
        <w:rPr>
          <w:rFonts w:cstheme="minorHAnsi"/>
        </w:rPr>
        <w:t xml:space="preserve">Solvabiliteitsratio is groter dan 10%. </w:t>
      </w:r>
    </w:p>
    <w:p w:rsidRPr="004319BA" w:rsidR="008E2557" w:rsidP="008E2557" w14:paraId="0A733D4B" w14:textId="77777777">
      <w:pPr>
        <w:pStyle w:val="ListParagraph"/>
        <w:numPr>
          <w:ilvl w:val="0"/>
          <w:numId w:val="6"/>
        </w:numPr>
        <w:autoSpaceDN/>
        <w:textAlignment w:val="auto"/>
        <w:rPr>
          <w:rFonts w:cstheme="minorHAnsi"/>
        </w:rPr>
      </w:pPr>
      <w:r w:rsidRPr="004319BA">
        <w:rPr>
          <w:rFonts w:cstheme="minorHAnsi"/>
        </w:rPr>
        <w:t xml:space="preserve">De som van het exploitatieresultaat (voor bestemming reserves) en de onbenutte belastingcapaciteit (berekend op basis van </w:t>
      </w:r>
      <w:r w:rsidR="007E6440">
        <w:rPr>
          <w:rFonts w:cstheme="minorHAnsi"/>
        </w:rPr>
        <w:t>het OZB-</w:t>
      </w:r>
      <w:r w:rsidRPr="004319BA">
        <w:rPr>
          <w:rFonts w:cstheme="minorHAnsi"/>
        </w:rPr>
        <w:t>tarief) van de jaarrekening is minimaal positief.</w:t>
      </w:r>
    </w:p>
    <w:p w:rsidRPr="004319BA" w:rsidR="008E2557" w:rsidP="008E2557" w14:paraId="020310CF" w14:textId="77777777">
      <w:pPr>
        <w:rPr>
          <w:rFonts w:cstheme="minorHAnsi"/>
        </w:rPr>
      </w:pPr>
    </w:p>
    <w:p w:rsidRPr="004319BA" w:rsidR="008E2557" w:rsidP="008E2557" w14:paraId="4AA88F45" w14:textId="77777777">
      <w:pPr>
        <w:rPr>
          <w:rFonts w:cstheme="minorHAnsi"/>
        </w:rPr>
      </w:pPr>
      <w:r w:rsidRPr="004319BA">
        <w:rPr>
          <w:rFonts w:cstheme="minorHAnsi"/>
        </w:rPr>
        <w:t>Voor het derde kengetal kan ook worden uitgegaan van de som van het exploitatieresultaat en 1/20ste</w:t>
      </w:r>
      <w:r w:rsidRPr="004319BA">
        <w:rPr>
          <w:rFonts w:cstheme="minorHAnsi"/>
          <w:vertAlign w:val="superscript"/>
        </w:rPr>
        <w:t xml:space="preserve"> </w:t>
      </w:r>
      <w:r w:rsidRPr="004319BA">
        <w:rPr>
          <w:rFonts w:cstheme="minorHAnsi"/>
        </w:rPr>
        <w:t xml:space="preserve">deel van de omvang van het eigen vermogen (waar nog geen bestemming op zit). Dat dient dan minimaal positief te zijn. De VNG stelt voor dat bij een score van twee negatieve uitkomsten op bovengenoemde aspecten de gemeente onder preventief toezicht moet worden gesteld. Met deze kengetallen zouden gemeenten meer financiële ruimte krijgen om bij een gezond financieel vermogen dit vermogen aan te wenden voor de exploitatie. </w:t>
      </w:r>
    </w:p>
    <w:p w:rsidRPr="004319BA" w:rsidR="008E2557" w:rsidP="008E2557" w14:paraId="3F8D1B24" w14:textId="77777777"/>
    <w:p w:rsidR="008E2557" w:rsidP="008E2557" w14:paraId="23571317" w14:textId="77777777">
      <w:r w:rsidRPr="004319BA">
        <w:rPr>
          <w:rFonts w:cstheme="minorHAnsi"/>
        </w:rPr>
        <w:t xml:space="preserve">De VNG-benadering met kengetallen met signaalwaarden biedt een eenvoudiger alternatief, met een beperktere set indicatoren. De komende periode vindt een </w:t>
      </w:r>
      <w:r w:rsidRPr="004319BA">
        <w:t xml:space="preserve">doorrekening van de VNG-kengetallen plaats over de afgelopen jaren, om inzicht </w:t>
      </w:r>
      <w:r w:rsidRPr="004319BA">
        <w:t>te krijgen in de werking en toepasbaarheid van deze benadering in de praktijk. Ook voor deze optie wordt aangesloten bij bovengenoemde pilot, om te verkennen in hoeverre het model kan worden toegepast als (meer) oordeelsvormend instrument binnen het toezicht.</w:t>
      </w:r>
    </w:p>
    <w:p w:rsidR="008E2557" w:rsidP="008E2557" w14:paraId="5E84191E" w14:textId="77777777"/>
    <w:p w:rsidR="008E2557" w:rsidP="008E2557" w14:paraId="0CC483D8" w14:textId="77777777">
      <w:pPr>
        <w:rPr>
          <w:i/>
          <w:iCs/>
        </w:rPr>
      </w:pPr>
      <w:r>
        <w:rPr>
          <w:i/>
          <w:iCs/>
        </w:rPr>
        <w:t>Tijdspad</w:t>
      </w:r>
    </w:p>
    <w:p w:rsidR="008E2557" w:rsidP="008E2557" w14:paraId="6A02B72E" w14:textId="77777777">
      <w:r>
        <w:t xml:space="preserve">Het </w:t>
      </w:r>
      <w:r w:rsidR="00CB2C66">
        <w:t xml:space="preserve">verwachte </w:t>
      </w:r>
      <w:r>
        <w:t xml:space="preserve">tijdspad dat ik voor ogen heb voor de </w:t>
      </w:r>
      <w:r w:rsidRPr="004319BA">
        <w:t xml:space="preserve">doorontwikkeling van het </w:t>
      </w:r>
      <w:r>
        <w:t xml:space="preserve">financiële </w:t>
      </w:r>
      <w:r w:rsidRPr="004319BA">
        <w:t>toezicht</w:t>
      </w:r>
      <w:r>
        <w:t xml:space="preserve"> staat in onderstaande tabel. </w:t>
      </w:r>
    </w:p>
    <w:p w:rsidR="008E2557" w:rsidP="008E2557" w14:paraId="053A4505" w14:textId="77777777"/>
    <w:tbl>
      <w:tblPr>
        <w:tblW w:w="0" w:type="auto"/>
        <w:tblCellMar>
          <w:left w:w="0" w:type="dxa"/>
          <w:right w:w="0" w:type="dxa"/>
        </w:tblCellMar>
        <w:tblLook w:val="04A0"/>
      </w:tblPr>
      <w:tblGrid>
        <w:gridCol w:w="2579"/>
        <w:gridCol w:w="4942"/>
      </w:tblGrid>
      <w:tr w:rsidTr="00C01474" w14:paraId="71197260" w14:textId="77777777">
        <w:tblPrEx>
          <w:tblW w:w="0" w:type="auto"/>
          <w:tblCellMar>
            <w:left w:w="0" w:type="dxa"/>
            <w:right w:w="0" w:type="dxa"/>
          </w:tblCellMar>
          <w:tblLook w:val="04A0"/>
        </w:tblPrEx>
        <w:tc>
          <w:tcPr>
            <w:tcW w:w="310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CF3A8A" w:rsidR="008E2557" w:rsidP="00C01474" w14:paraId="2776741C" w14:textId="77777777">
            <w:r w:rsidRPr="00CF3A8A">
              <w:t>Eerste kwartaal 2027</w:t>
            </w:r>
          </w:p>
        </w:tc>
        <w:tc>
          <w:tcPr>
            <w:tcW w:w="5943"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CF3A8A" w:rsidR="008E2557" w:rsidP="00C01474" w14:paraId="06511EDB" w14:textId="77777777">
            <w:r w:rsidRPr="00CF3A8A">
              <w:t>Afronden uitwerking verbeteringen en aanvullingen risicomodel met werkgroep.</w:t>
            </w:r>
          </w:p>
        </w:tc>
      </w:tr>
      <w:tr w:rsidTr="00C01474" w14:paraId="4EED0EB9" w14:textId="77777777">
        <w:tblPrEx>
          <w:tblW w:w="0" w:type="auto"/>
          <w:tblCellMar>
            <w:left w:w="0" w:type="dxa"/>
            <w:right w:w="0" w:type="dxa"/>
          </w:tblCellMar>
          <w:tblLook w:val="04A0"/>
        </w:tblPrEx>
        <w:tc>
          <w:tcPr>
            <w:tcW w:w="3109"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F3A8A" w:rsidR="008E2557" w:rsidP="00C01474" w14:paraId="7845BD44" w14:textId="77777777">
            <w:pPr>
              <w:rPr>
                <w:b/>
                <w:bCs/>
              </w:rPr>
            </w:pPr>
            <w:r w:rsidRPr="00CF3A8A">
              <w:t>Eerste kwartaal 2027</w:t>
            </w:r>
          </w:p>
        </w:tc>
        <w:tc>
          <w:tcPr>
            <w:tcW w:w="5943" w:type="dxa"/>
            <w:tcBorders>
              <w:top w:val="nil"/>
              <w:left w:val="nil"/>
              <w:bottom w:val="single" w:color="auto" w:sz="8" w:space="0"/>
              <w:right w:val="single" w:color="auto" w:sz="8" w:space="0"/>
            </w:tcBorders>
            <w:tcMar>
              <w:top w:w="0" w:type="dxa"/>
              <w:left w:w="108" w:type="dxa"/>
              <w:bottom w:w="0" w:type="dxa"/>
              <w:right w:w="108" w:type="dxa"/>
            </w:tcMar>
            <w:hideMark/>
          </w:tcPr>
          <w:p w:rsidRPr="00CF3A8A" w:rsidR="008E2557" w:rsidP="00C01474" w14:paraId="267AC53A" w14:textId="77777777">
            <w:pPr>
              <w:rPr>
                <w:b/>
                <w:bCs/>
              </w:rPr>
            </w:pPr>
            <w:r w:rsidRPr="00CF3A8A">
              <w:t xml:space="preserve">Afstemming en overeenstemming bereiken over risicomodel en pilots met VNG, IPO en </w:t>
            </w:r>
            <w:r w:rsidRPr="00CF3A8A">
              <w:t>vakberaad</w:t>
            </w:r>
            <w:r w:rsidRPr="00CF3A8A">
              <w:t>.</w:t>
            </w:r>
          </w:p>
        </w:tc>
      </w:tr>
      <w:tr w:rsidTr="00C01474" w14:paraId="4730AB8A" w14:textId="77777777">
        <w:tblPrEx>
          <w:tblW w:w="0" w:type="auto"/>
          <w:tblCellMar>
            <w:left w:w="0" w:type="dxa"/>
            <w:right w:w="0" w:type="dxa"/>
          </w:tblCellMar>
          <w:tblLook w:val="04A0"/>
        </w:tblPrEx>
        <w:tc>
          <w:tcPr>
            <w:tcW w:w="3109"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F3A8A" w:rsidR="008E2557" w:rsidP="00C01474" w14:paraId="775AA213" w14:textId="77777777">
            <w:r w:rsidRPr="00CF3A8A">
              <w:t>Derde en vierde kwartaal 2027</w:t>
            </w:r>
          </w:p>
        </w:tc>
        <w:tc>
          <w:tcPr>
            <w:tcW w:w="5943" w:type="dxa"/>
            <w:tcBorders>
              <w:top w:val="nil"/>
              <w:left w:val="nil"/>
              <w:bottom w:val="single" w:color="auto" w:sz="8" w:space="0"/>
              <w:right w:val="single" w:color="auto" w:sz="8" w:space="0"/>
            </w:tcBorders>
            <w:tcMar>
              <w:top w:w="0" w:type="dxa"/>
              <w:left w:w="108" w:type="dxa"/>
              <w:bottom w:w="0" w:type="dxa"/>
              <w:right w:w="108" w:type="dxa"/>
            </w:tcMar>
            <w:hideMark/>
          </w:tcPr>
          <w:p w:rsidRPr="00CF3A8A" w:rsidR="008E2557" w:rsidP="00C01474" w14:paraId="6B08AF0E" w14:textId="77777777">
            <w:r w:rsidRPr="00CF3A8A">
              <w:t>Start pilots in samenwerking met een aantal provincies voor begroting 2028, naast reguliere toezichtmethodiek.</w:t>
            </w:r>
          </w:p>
        </w:tc>
      </w:tr>
      <w:tr w:rsidTr="00C01474" w14:paraId="0703B0EA" w14:textId="77777777">
        <w:tblPrEx>
          <w:tblW w:w="0" w:type="auto"/>
          <w:tblCellMar>
            <w:left w:w="0" w:type="dxa"/>
            <w:right w:w="0" w:type="dxa"/>
          </w:tblCellMar>
          <w:tblLook w:val="04A0"/>
        </w:tblPrEx>
        <w:tc>
          <w:tcPr>
            <w:tcW w:w="3109"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F3A8A" w:rsidR="008E2557" w:rsidP="00C01474" w14:paraId="3131A5ED" w14:textId="77777777">
            <w:r w:rsidRPr="00CF3A8A">
              <w:t>Eerste kwartaal 2028</w:t>
            </w:r>
          </w:p>
        </w:tc>
        <w:tc>
          <w:tcPr>
            <w:tcW w:w="5943" w:type="dxa"/>
            <w:tcBorders>
              <w:top w:val="nil"/>
              <w:left w:val="nil"/>
              <w:bottom w:val="single" w:color="auto" w:sz="8" w:space="0"/>
              <w:right w:val="single" w:color="auto" w:sz="8" w:space="0"/>
            </w:tcBorders>
            <w:tcMar>
              <w:top w:w="0" w:type="dxa"/>
              <w:left w:w="108" w:type="dxa"/>
              <w:bottom w:w="0" w:type="dxa"/>
              <w:right w:w="108" w:type="dxa"/>
            </w:tcMar>
            <w:hideMark/>
          </w:tcPr>
          <w:p w:rsidRPr="00CF3A8A" w:rsidR="008E2557" w:rsidP="00C01474" w14:paraId="58B731F0" w14:textId="77777777">
            <w:pPr>
              <w:rPr>
                <w:b/>
                <w:bCs/>
              </w:rPr>
            </w:pPr>
            <w:r w:rsidRPr="00CF3A8A">
              <w:t>Uitkomsten pilots verwerken in definitief voorstel voor aanpassing toezichtnorm. Brede ambtelijke (en bestuurlijke) afstemming over het voorstel.</w:t>
            </w:r>
          </w:p>
        </w:tc>
      </w:tr>
      <w:tr w:rsidTr="00C01474" w14:paraId="1F98BCD6" w14:textId="77777777">
        <w:tblPrEx>
          <w:tblW w:w="0" w:type="auto"/>
          <w:tblCellMar>
            <w:left w:w="0" w:type="dxa"/>
            <w:right w:w="0" w:type="dxa"/>
          </w:tblCellMar>
          <w:tblLook w:val="04A0"/>
        </w:tblPrEx>
        <w:tc>
          <w:tcPr>
            <w:tcW w:w="3109"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F3A8A" w:rsidR="008E2557" w:rsidP="00C01474" w14:paraId="33A6A3A0" w14:textId="77777777">
            <w:r w:rsidRPr="00CF3A8A">
              <w:t>Tweede kwartaal 2028</w:t>
            </w:r>
          </w:p>
        </w:tc>
        <w:tc>
          <w:tcPr>
            <w:tcW w:w="5943" w:type="dxa"/>
            <w:tcBorders>
              <w:top w:val="nil"/>
              <w:left w:val="nil"/>
              <w:bottom w:val="single" w:color="auto" w:sz="8" w:space="0"/>
              <w:right w:val="single" w:color="auto" w:sz="8" w:space="0"/>
            </w:tcBorders>
            <w:tcMar>
              <w:top w:w="0" w:type="dxa"/>
              <w:left w:w="108" w:type="dxa"/>
              <w:bottom w:w="0" w:type="dxa"/>
              <w:right w:w="108" w:type="dxa"/>
            </w:tcMar>
            <w:hideMark/>
          </w:tcPr>
          <w:p w:rsidRPr="00CF3A8A" w:rsidR="008E2557" w:rsidP="00C01474" w14:paraId="1AE007D2" w14:textId="77777777">
            <w:r w:rsidRPr="00CF3A8A">
              <w:t>Voorbereiden wetswijziging.</w:t>
            </w:r>
          </w:p>
        </w:tc>
      </w:tr>
      <w:tr w:rsidTr="00C01474" w14:paraId="21A34DDB" w14:textId="77777777">
        <w:tblPrEx>
          <w:tblW w:w="0" w:type="auto"/>
          <w:tblCellMar>
            <w:left w:w="0" w:type="dxa"/>
            <w:right w:w="0" w:type="dxa"/>
          </w:tblCellMar>
          <w:tblLook w:val="04A0"/>
        </w:tblPrEx>
        <w:tc>
          <w:tcPr>
            <w:tcW w:w="3109"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CF3A8A" w:rsidR="008E2557" w:rsidP="00C01474" w14:paraId="41912466" w14:textId="77777777">
            <w:r w:rsidRPr="00CF3A8A">
              <w:t>2028-2029</w:t>
            </w:r>
          </w:p>
        </w:tc>
        <w:tc>
          <w:tcPr>
            <w:tcW w:w="5943" w:type="dxa"/>
            <w:tcBorders>
              <w:top w:val="nil"/>
              <w:left w:val="nil"/>
              <w:bottom w:val="single" w:color="auto" w:sz="8" w:space="0"/>
              <w:right w:val="single" w:color="auto" w:sz="8" w:space="0"/>
            </w:tcBorders>
            <w:tcMar>
              <w:top w:w="0" w:type="dxa"/>
              <w:left w:w="108" w:type="dxa"/>
              <w:bottom w:w="0" w:type="dxa"/>
              <w:right w:w="108" w:type="dxa"/>
            </w:tcMar>
            <w:hideMark/>
          </w:tcPr>
          <w:p w:rsidRPr="00CF3A8A" w:rsidR="008E2557" w:rsidP="00C01474" w14:paraId="782E41E8" w14:textId="77777777">
            <w:r w:rsidRPr="00CF3A8A">
              <w:t>Mogelijke aanpassing wetgeving (gemeente- en provinciewet).</w:t>
            </w:r>
          </w:p>
        </w:tc>
      </w:tr>
    </w:tbl>
    <w:p w:rsidR="008E2557" w:rsidP="008E2557" w14:paraId="10EE85AE" w14:textId="77777777"/>
    <w:p w:rsidRPr="004319BA" w:rsidR="008E2557" w:rsidP="008E2557" w14:paraId="298B23C0" w14:textId="77777777"/>
    <w:p w:rsidRPr="004319BA" w:rsidR="008E2557" w:rsidP="008E2557" w14:paraId="59E757C9" w14:textId="77777777">
      <w:pPr>
        <w:rPr>
          <w:b/>
          <w:bCs/>
        </w:rPr>
      </w:pPr>
      <w:r w:rsidRPr="004319BA">
        <w:rPr>
          <w:b/>
          <w:bCs/>
        </w:rPr>
        <w:t xml:space="preserve">Stelpost </w:t>
      </w:r>
      <w:r w:rsidRPr="004319BA">
        <w:rPr>
          <w:b/>
          <w:bCs/>
        </w:rPr>
        <w:t>onderuitputting</w:t>
      </w:r>
    </w:p>
    <w:p w:rsidRPr="004319BA" w:rsidR="008E2557" w:rsidP="008E2557" w14:paraId="1B1FAE76" w14:textId="77777777">
      <w:pPr>
        <w:contextualSpacing/>
      </w:pPr>
      <w:r w:rsidRPr="004319BA">
        <w:t xml:space="preserve">In de brief van 10 december 2025 is aangegeven dat het mogelijk is om stelposten op te nemen voor specifieke baten en lasten. Dit kan wanneer deze lastig nauwkeurig te ramen zijn. Voorwaarden zijn wel dat de stelposten goed onderbouwd zijn en aansluiten bij reële verwachtingen. Daarbij kan gebruik worden gemaakt van historische patronen ter ondersteuning van de onderbouwing. Voorbeelden hiervan zijn investeringen die mogelijk later tot realisatie kunnen komen dan begroot en middelen van het </w:t>
      </w:r>
      <w:r>
        <w:t>R</w:t>
      </w:r>
      <w:r w:rsidRPr="004319BA">
        <w:t>ijk die laat in het jaar beschikbaar komen. Daarbij is het aan de toezichthouder om de opgenomen stelpost op hardheid en haalbaarheid te toetsen. Ook wordt beoordeeld of deze binnen de termijn van de raming gerealiseerd worden. Het is noodzakelijk dat de ramingen hiervan reëel zijn onderbouwd.</w:t>
      </w:r>
    </w:p>
    <w:p w:rsidRPr="004319BA" w:rsidR="008E2557" w:rsidP="008E2557" w14:paraId="2974A2AF" w14:textId="77777777">
      <w:pPr>
        <w:pStyle w:val="BodyText"/>
        <w:spacing w:line="240" w:lineRule="atLeast"/>
        <w:ind w:right="641"/>
        <w:rPr>
          <w:rFonts w:ascii="Verdana" w:hAnsi="Verdana"/>
          <w:sz w:val="18"/>
          <w:szCs w:val="18"/>
        </w:rPr>
      </w:pPr>
    </w:p>
    <w:p w:rsidRPr="004319BA" w:rsidR="008E2557" w:rsidP="76596AB4" w14:paraId="7A91E7CA" w14:textId="77777777">
      <w:pPr>
        <w:pStyle w:val="BodyText"/>
        <w:spacing w:line="240" w:lineRule="atLeast"/>
        <w:ind w:right="641"/>
        <w:rPr>
          <w:rFonts w:ascii="Verdana" w:hAnsi="Verdana"/>
          <w:sz w:val="18"/>
          <w:szCs w:val="18"/>
        </w:rPr>
      </w:pPr>
      <w:r w:rsidRPr="76596AB4">
        <w:rPr>
          <w:rFonts w:ascii="Verdana" w:hAnsi="Verdana"/>
          <w:sz w:val="18"/>
          <w:szCs w:val="18"/>
        </w:rPr>
        <w:t xml:space="preserve">Ik acht het hierbij van belang om te benadrukken dat er geen ruimte is voor een algemene stelpost </w:t>
      </w:r>
      <w:r w:rsidRPr="76596AB4">
        <w:rPr>
          <w:rFonts w:ascii="Verdana" w:hAnsi="Verdana"/>
          <w:sz w:val="18"/>
          <w:szCs w:val="18"/>
        </w:rPr>
        <w:t>onderuitputting</w:t>
      </w:r>
      <w:r w:rsidRPr="76596AB4">
        <w:rPr>
          <w:rFonts w:ascii="Verdana" w:hAnsi="Verdana"/>
          <w:sz w:val="18"/>
          <w:szCs w:val="18"/>
        </w:rPr>
        <w:t xml:space="preserve">. Op basis van de Gemeentewet en de Provinciewet is het aan de gemeente respectievelijk de provincie om bij het opstellen van de begroting reëel te ramen. Een algemene stelpost ontneemt het zicht op realistisch begroten, de basis van het stelsel volgens de Gemeentewet en de Provinciewet, en maakt het voor toezichthouders ondoenlijk om goed te controleren of er structureel en reëel evenwicht is. Ook gemeenteraadsleden of statenleden kunnen dan niet goed beoordelen of er een reële begroting ligt. </w:t>
      </w:r>
    </w:p>
    <w:p w:rsidRPr="004319BA" w:rsidR="008E2557" w:rsidP="008E2557" w14:paraId="4A7636E1" w14:textId="77777777">
      <w:pPr>
        <w:pStyle w:val="BodyText"/>
        <w:spacing w:line="240" w:lineRule="atLeast"/>
        <w:ind w:right="641"/>
        <w:rPr>
          <w:rFonts w:ascii="Verdana" w:hAnsi="Verdana"/>
          <w:sz w:val="18"/>
          <w:szCs w:val="18"/>
        </w:rPr>
      </w:pPr>
    </w:p>
    <w:p w:rsidRPr="004319BA" w:rsidR="008E2557" w:rsidP="008E2557" w14:paraId="34243160" w14:textId="77777777">
      <w:r w:rsidRPr="004319BA">
        <w:t xml:space="preserve">Zoals toegezegd is inmiddels bredere bekendheid gegeven aan </w:t>
      </w:r>
      <w:r>
        <w:t>de hierboven</w:t>
      </w:r>
      <w:r w:rsidRPr="004319BA">
        <w:t xml:space="preserve"> beschreven mogelijkheden van wat</w:t>
      </w:r>
      <w:r>
        <w:t xml:space="preserve"> er</w:t>
      </w:r>
      <w:r w:rsidRPr="004319BA">
        <w:t xml:space="preserve"> nu al wel kan op dit vlak. Zo heeft de </w:t>
      </w:r>
      <w:r w:rsidRPr="004319BA">
        <w:t>commissie B</w:t>
      </w:r>
      <w:r>
        <w:t>esluit Begroting en Verantwoording (BBV)</w:t>
      </w:r>
      <w:r w:rsidRPr="004319BA">
        <w:t>, een commissie van experts op het vlak van financiële regelgeving, een nadere duiding gegeven over wat mogelijk is bij het gebruik van stelposten in haar Notitie Structurele en incidentele baten en lasten</w:t>
      </w:r>
      <w:r>
        <w:rPr>
          <w:rStyle w:val="FootnoteReference"/>
        </w:rPr>
        <w:footnoteReference w:id="3"/>
      </w:r>
      <w:r w:rsidRPr="004319BA">
        <w:t xml:space="preserve">. Daarnaast hebben de provinciale financiële toezichthouders hun gemeenschappelijke toezichtkader (GTK) aangepast om dit te verduidelijken.  </w:t>
      </w:r>
    </w:p>
    <w:p w:rsidRPr="004319BA" w:rsidR="008E2557" w:rsidP="008E2557" w14:paraId="6B870F55" w14:textId="77777777"/>
    <w:p w:rsidRPr="004319BA" w:rsidR="008E2557" w:rsidP="008E2557" w14:paraId="37641974" w14:textId="77777777">
      <w:pPr>
        <w:keepNext/>
        <w:rPr>
          <w:b/>
          <w:bCs/>
        </w:rPr>
      </w:pPr>
      <w:r w:rsidRPr="004319BA">
        <w:rPr>
          <w:b/>
          <w:bCs/>
        </w:rPr>
        <w:t>Conclusie</w:t>
      </w:r>
    </w:p>
    <w:p w:rsidRPr="004319BA" w:rsidR="00BF72B0" w:rsidP="00BF72B0" w14:paraId="16314E6F" w14:textId="77777777">
      <w:r>
        <w:t>Ik heb er vertrouwen in</w:t>
      </w:r>
      <w:r w:rsidRPr="004319BA">
        <w:t xml:space="preserve"> dat met bovenstaande belangrijke stappen zijn en worden gezet ter verbetering van de begrotingsregels en het toezicht. Als minister </w:t>
      </w:r>
      <w:r w:rsidR="00060791">
        <w:t xml:space="preserve">van </w:t>
      </w:r>
      <w:r w:rsidRPr="004319BA">
        <w:t xml:space="preserve">BZK blijf ik oog houden, samen met uw Kamer, voor hoe de regels en de werking hiervan in de praktijk nog beter kunnen. </w:t>
      </w:r>
      <w:r w:rsidRPr="004319BA">
        <w:rPr>
          <w:rFonts w:cstheme="minorHAnsi"/>
        </w:rPr>
        <w:t xml:space="preserve">Van belang hierbij is wel dat er geen verzwaring van het toezicht </w:t>
      </w:r>
      <w:r>
        <w:rPr>
          <w:rFonts w:cstheme="minorHAnsi"/>
        </w:rPr>
        <w:t>plaatsvindt</w:t>
      </w:r>
      <w:r w:rsidRPr="004319BA">
        <w:rPr>
          <w:rFonts w:cstheme="minorHAnsi"/>
        </w:rPr>
        <w:t xml:space="preserve"> en dat er geen verhoging van de administratieve lasten </w:t>
      </w:r>
      <w:r>
        <w:rPr>
          <w:rFonts w:cstheme="minorHAnsi"/>
        </w:rPr>
        <w:t>optreed</w:t>
      </w:r>
      <w:r w:rsidRPr="004319BA">
        <w:rPr>
          <w:rFonts w:cstheme="minorHAnsi"/>
        </w:rPr>
        <w:t xml:space="preserve">t voor de gemeenten en provincies. Aangesloten wordt dan ook bij </w:t>
      </w:r>
      <w:r>
        <w:rPr>
          <w:rFonts w:cstheme="minorHAnsi"/>
        </w:rPr>
        <w:t>al</w:t>
      </w:r>
      <w:r w:rsidRPr="004319BA">
        <w:rPr>
          <w:rFonts w:cstheme="minorHAnsi"/>
        </w:rPr>
        <w:t xml:space="preserve"> beschikbare informatie op basis van de Informatie voor derden (Iv3) en Planning &amp; Control-documenten. </w:t>
      </w:r>
      <w:r w:rsidRPr="004319BA">
        <w:t xml:space="preserve"> </w:t>
      </w:r>
    </w:p>
    <w:p w:rsidRPr="004319BA" w:rsidR="008E2557" w:rsidP="008E2557" w14:paraId="7C9AC340" w14:textId="77777777">
      <w:r w:rsidRPr="004319BA">
        <w:t xml:space="preserve">Het gesprek </w:t>
      </w:r>
      <w:r w:rsidR="00BF72B0">
        <w:t>over de toekomst van het financieel toezicht</w:t>
      </w:r>
      <w:r w:rsidRPr="004319BA" w:rsidR="00BF72B0">
        <w:t xml:space="preserve"> </w:t>
      </w:r>
      <w:r w:rsidRPr="004319BA">
        <w:t xml:space="preserve">ga ik waar nodig graag </w:t>
      </w:r>
      <w:r w:rsidR="00060791">
        <w:t xml:space="preserve">verder </w:t>
      </w:r>
      <w:r w:rsidR="00BF72B0">
        <w:t xml:space="preserve">met u </w:t>
      </w:r>
      <w:r w:rsidRPr="004319BA">
        <w:t>aan.</w:t>
      </w:r>
    </w:p>
    <w:p w:rsidRPr="004319BA" w:rsidR="008E2557" w:rsidP="008E2557" w14:paraId="584160AA" w14:textId="77777777"/>
    <w:p w:rsidR="00A9144E" w14:paraId="5F2641AF" w14:textId="77777777"/>
    <w:p w:rsidR="00A9144E" w14:paraId="59B2ADF0" w14:textId="77777777">
      <w:r>
        <w:t>De minister van Binnenlandse Zaken en Koninkrijksrelaties,</w:t>
      </w:r>
    </w:p>
    <w:p w:rsidR="008E2557" w14:paraId="36C7C873" w14:textId="77777777"/>
    <w:p w:rsidR="008E2557" w14:paraId="2961ABB6" w14:textId="77777777"/>
    <w:p w:rsidR="008E2557" w14:paraId="230526FB" w14:textId="77777777"/>
    <w:p w:rsidR="008E2557" w14:paraId="17B53810" w14:textId="77777777"/>
    <w:p w:rsidR="00E04CA5" w14:paraId="1E347F3A" w14:textId="77777777"/>
    <w:p w:rsidR="00E04CA5" w14:paraId="5F019D80" w14:textId="77777777"/>
    <w:p w:rsidR="008E2557" w14:paraId="5C0411A3" w14:textId="77777777">
      <w:r>
        <w:t>Pieter Heerma</w:t>
      </w:r>
    </w:p>
    <w:p w:rsidR="008E2557" w14:paraId="232587C3" w14:textId="77777777"/>
    <w:p w:rsidR="00A9144E" w14:paraId="71D60CBE" w14:textId="77777777"/>
    <w:p w:rsidR="00A9144E" w14:paraId="3BB3CB1C" w14:textId="77777777"/>
    <w:p w:rsidR="00A9144E" w14:paraId="7B83D533" w14:textId="77777777"/>
    <w:p w:rsidR="00A9144E" w14:paraId="0B96F22D" w14:textId="77777777"/>
    <w:p w:rsidR="00A9144E" w14:paraId="38D56A83" w14:textId="77777777"/>
    <w:p w:rsidR="00A9144E" w14:paraId="6E63E5F9" w14:textId="77777777"/>
    <w:tbl>
      <w:tblPr>
        <w:tblStyle w:val="Tabelzonderranden"/>
        <w:tblW w:w="7541" w:type="dxa"/>
        <w:tblInd w:w="0" w:type="dxa"/>
        <w:tblLayout w:type="fixed"/>
        <w:tblLook w:val="0740"/>
      </w:tblPr>
      <w:tblGrid>
        <w:gridCol w:w="3394"/>
        <w:gridCol w:w="754"/>
        <w:gridCol w:w="3393"/>
      </w:tblGrid>
      <w:tr w14:paraId="1E496467" w14:textId="77777777">
        <w:tblPrEx>
          <w:tblW w:w="7541" w:type="dxa"/>
          <w:tblInd w:w="0" w:type="dxa"/>
          <w:tblLayout w:type="fixed"/>
          <w:tblLook w:val="0740"/>
        </w:tblPrEx>
        <w:tc>
          <w:tcPr>
            <w:tcW w:w="3393" w:type="dxa"/>
          </w:tcPr>
          <w:p w:rsidR="00A9144E" w14:paraId="097A7F1E" w14:textId="77777777"/>
          <w:p w:rsidR="00A9144E" w14:paraId="3B6B468A" w14:textId="77777777"/>
          <w:p w:rsidR="00A9144E" w14:paraId="1D7DEF28" w14:textId="77777777"/>
          <w:p w:rsidR="00A9144E" w14:paraId="034C8EE7" w14:textId="77777777"/>
          <w:p w:rsidR="00A9144E" w14:paraId="2B12DE54" w14:textId="77777777"/>
        </w:tc>
        <w:tc>
          <w:tcPr>
            <w:tcW w:w="754" w:type="dxa"/>
          </w:tcPr>
          <w:p w:rsidR="00A9144E" w14:paraId="0DE80F04" w14:textId="77777777"/>
          <w:p w:rsidR="00A9144E" w14:paraId="1A94D669" w14:textId="77777777"/>
          <w:p w:rsidR="00A9144E" w14:paraId="5AF23855" w14:textId="77777777"/>
          <w:p w:rsidR="00A9144E" w14:paraId="19680BF1" w14:textId="77777777"/>
          <w:p w:rsidR="00A9144E" w14:paraId="479EE814" w14:textId="77777777"/>
        </w:tc>
        <w:tc>
          <w:tcPr>
            <w:tcW w:w="3393" w:type="dxa"/>
          </w:tcPr>
          <w:p w:rsidR="00A9144E" w14:paraId="363A24B4" w14:textId="77777777"/>
          <w:p w:rsidR="00A9144E" w14:paraId="6F9ED445" w14:textId="77777777"/>
          <w:p w:rsidR="00A9144E" w14:paraId="3B4254D3" w14:textId="77777777"/>
          <w:p w:rsidR="00A9144E" w14:paraId="7ABD02EF" w14:textId="77777777"/>
          <w:p w:rsidR="00A9144E" w14:paraId="40267453" w14:textId="77777777"/>
        </w:tc>
      </w:tr>
      <w:tr w14:paraId="35BCB79C" w14:textId="77777777">
        <w:tblPrEx>
          <w:tblW w:w="7541" w:type="dxa"/>
          <w:tblInd w:w="0" w:type="dxa"/>
          <w:tblLayout w:type="fixed"/>
          <w:tblLook w:val="0740"/>
        </w:tblPrEx>
        <w:trPr>
          <w:gridAfter w:val="1"/>
          <w:wAfter w:w="360" w:type="dxa"/>
        </w:trPr>
        <w:tc>
          <w:tcPr>
            <w:tcW w:w="3393" w:type="dxa"/>
          </w:tcPr>
          <w:p w:rsidR="00A9144E" w14:paraId="009D8B81" w14:textId="77777777"/>
        </w:tc>
        <w:tc>
          <w:tcPr>
            <w:tcW w:w="754" w:type="dxa"/>
          </w:tcPr>
          <w:p w:rsidR="00A9144E" w14:paraId="36FD7D4D" w14:textId="77777777"/>
        </w:tc>
      </w:tr>
      <w:tr w14:paraId="35085B8D" w14:textId="77777777">
        <w:tblPrEx>
          <w:tblW w:w="7541" w:type="dxa"/>
          <w:tblInd w:w="0" w:type="dxa"/>
          <w:tblLayout w:type="fixed"/>
          <w:tblLook w:val="0740"/>
        </w:tblPrEx>
        <w:trPr>
          <w:gridAfter w:val="1"/>
          <w:wAfter w:w="360" w:type="dxa"/>
        </w:trPr>
        <w:tc>
          <w:tcPr>
            <w:tcW w:w="3393" w:type="dxa"/>
          </w:tcPr>
          <w:p w:rsidR="00A9144E" w14:paraId="23DCA94D" w14:textId="77777777"/>
        </w:tc>
        <w:tc>
          <w:tcPr>
            <w:tcW w:w="754" w:type="dxa"/>
          </w:tcPr>
          <w:p w:rsidR="00A9144E" w14:paraId="6357A957" w14:textId="77777777"/>
        </w:tc>
      </w:tr>
    </w:tbl>
    <w:p w:rsidR="00CB2C66" w14:paraId="1CAD0E1C" w14:textId="77777777"/>
    <w:sectPr>
      <w:headerReference w:type="even" r:id="rId10"/>
      <w:headerReference w:type="default" r:id="rId11"/>
      <w:footerReference w:type="even" r:id="rId12"/>
      <w:footerReference w:type="default" r:id="rId13"/>
      <w:headerReference w:type="first" r:id="rId14"/>
      <w:footerReference w:type="first" r:id="rId15"/>
      <w:pgSz w:w="11905" w:h="16837"/>
      <w:pgMar w:top="3764"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4380F" w14:paraId="39C7BFC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9144E" w14:paraId="38E96298"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9144E" w14:paraId="50C63C54"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A9144E" w14:paraId="10379DE2" w14:textId="77777777">
      <w:pPr>
        <w:pStyle w:val="FootnoteText"/>
      </w:pPr>
    </w:p>
  </w:footnote>
  <w:footnote w:type="continuationSeparator" w:id="1">
    <w:p w:rsidR="00A9144E" w14:paraId="52845D3C" w14:textId="77777777">
      <w:pPr>
        <w:pStyle w:val="FootnoteText"/>
      </w:pPr>
    </w:p>
  </w:footnote>
  <w:footnote w:id="2">
    <w:p w:rsidR="008E2557" w:rsidRPr="00BF72B0" w:rsidP="008E2557" w14:paraId="0368F0B6" w14:textId="77777777">
      <w:pPr>
        <w:pStyle w:val="FootnoteText"/>
        <w:rPr>
          <w:sz w:val="16"/>
          <w:szCs w:val="16"/>
        </w:rPr>
      </w:pPr>
      <w:r w:rsidRPr="00BF72B0">
        <w:rPr>
          <w:rStyle w:val="FootnoteReference"/>
          <w:sz w:val="16"/>
          <w:szCs w:val="16"/>
        </w:rPr>
        <w:footnoteRef/>
      </w:r>
      <w:r w:rsidRPr="00BF72B0">
        <w:rPr>
          <w:sz w:val="16"/>
          <w:szCs w:val="16"/>
        </w:rPr>
        <w:t xml:space="preserve"> Tweede Kamer, vergaderjaar 2025–2026, 36 800 B, nr. 12</w:t>
      </w:r>
    </w:p>
  </w:footnote>
  <w:footnote w:id="3">
    <w:p w:rsidR="008E2557" w:rsidRPr="00D16931" w:rsidP="008E2557" w14:paraId="6BE73A26" w14:textId="77777777">
      <w:pPr>
        <w:pStyle w:val="FootnoteText"/>
      </w:pPr>
      <w:r w:rsidRPr="00D16931">
        <w:rPr>
          <w:rStyle w:val="FootnoteReference"/>
          <w:sz w:val="18"/>
          <w:szCs w:val="18"/>
        </w:rPr>
        <w:footnoteRef/>
      </w:r>
      <w:r w:rsidRPr="00D16931">
        <w:rPr>
          <w:sz w:val="18"/>
          <w:szCs w:val="18"/>
        </w:rPr>
        <w:t xml:space="preserve"> </w:t>
      </w:r>
      <w:hyperlink r:id="rId1" w:history="1">
        <w:r w:rsidRPr="00D16931">
          <w:rPr>
            <w:rStyle w:val="Hyperlink"/>
            <w:sz w:val="18"/>
            <w:szCs w:val="18"/>
          </w:rPr>
          <w:t>5. Posten met een specifieke handelwijze · Commissie BBV (Besluit Begroting en Verantwoording)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4380F" w14:paraId="11D11D0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9144E" w14:paraId="5A6CFADA" w14:textId="77777777">
    <w:r>
      <w:rPr>
        <w:noProof/>
      </w:rPr>
      <mc:AlternateContent>
        <mc:Choice Requires="wps">
          <w:drawing>
            <wp:anchor distT="0" distB="0" distL="0" distR="0" simplePos="0" relativeHeight="251658240" behindDoc="0" locked="1" layoutInCell="1" allowOverlap="1">
              <wp:simplePos x="0" y="0"/>
              <wp:positionH relativeFrom="page">
                <wp:posOffset>1007744</wp:posOffset>
              </wp:positionH>
              <wp:positionV relativeFrom="paragraph">
                <wp:posOffset>1965325</wp:posOffset>
              </wp:positionV>
              <wp:extent cx="4787900" cy="161290"/>
              <wp:effectExtent l="0" t="0" r="0" b="0"/>
              <wp:wrapNone/>
              <wp:docPr id="1" name="46feee07-aa3c-11ea-a756-beb5f67e67b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CB2C66" w14:textId="77777777"/>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ee07-aa3c-11ea-a756-beb5f67e67be" o:spid="_x0000_s2049" type="#_x0000_t202" style="width:377pt;height:12.7pt;margin-top:154.75pt;margin-left:79.35pt;mso-position-horizontal-relative:page;mso-wrap-distance-bottom:0;mso-wrap-distance-left:0;mso-wrap-distance-right:0;mso-wrap-distance-top:0;mso-wrap-style:square;position:absolute;v-text-anchor:top;visibility:visible;z-index:251659264" filled="f" stroked="f">
              <v:textbox inset="0,0,0,0">
                <w:txbxContent>
                  <w:p w:rsidR="00CB2C66" w14:paraId="6B3AD720" w14:textId="77777777"/>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2"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A9144E" w14:textId="77777777">
                          <w:pPr>
                            <w:pStyle w:val="Referentiegegevensbold"/>
                          </w:pPr>
                          <w:r>
                            <w:t xml:space="preserve">DG Openbaar Bestuur &amp; </w:t>
                          </w:r>
                          <w:r>
                            <w:t>Democr Rechtsstaat</w:t>
                          </w:r>
                        </w:p>
                        <w:p w:rsidR="00A9144E" w14:textId="77777777">
                          <w:pPr>
                            <w:pStyle w:val="Referentiegegevens"/>
                          </w:pPr>
                          <w:r>
                            <w:t>DGOBDR-BFR-Regelg. Toezicht &amp; Monitoring</w:t>
                          </w:r>
                        </w:p>
                        <w:p w:rsidR="00A9144E" w14:textId="77777777">
                          <w:pPr>
                            <w:pStyle w:val="WitregelW2"/>
                          </w:pPr>
                        </w:p>
                        <w:p w:rsidR="00A9144E" w14:textId="77777777">
                          <w:pPr>
                            <w:pStyle w:val="Referentiegegevensbold"/>
                          </w:pPr>
                          <w:r>
                            <w:t>Datum</w:t>
                          </w:r>
                        </w:p>
                        <w:p w:rsidR="0038409B" w14:textId="77777777">
                          <w:pPr>
                            <w:pStyle w:val="Referentiegegevens"/>
                          </w:pPr>
                          <w:r>
                            <w:fldChar w:fldCharType="begin"/>
                          </w:r>
                          <w:r>
                            <w:instrText xml:space="preserve"> DOCPROPERTY  "Datum"  \* MERGEFORMAT </w:instrText>
                          </w:r>
                          <w:r>
                            <w:fldChar w:fldCharType="separate"/>
                          </w:r>
                          <w:r>
                            <w:t>30 oktober 2026</w:t>
                          </w:r>
                          <w:r>
                            <w:fldChar w:fldCharType="end"/>
                          </w:r>
                        </w:p>
                        <w:p w:rsidR="00A9144E" w14:textId="77777777">
                          <w:pPr>
                            <w:pStyle w:val="WitregelW1"/>
                          </w:pPr>
                        </w:p>
                        <w:p w:rsidR="00A9144E" w14:textId="77777777">
                          <w:pPr>
                            <w:pStyle w:val="Referentiegegevensbold"/>
                          </w:pPr>
                          <w:r>
                            <w:t>Onze referentie</w:t>
                          </w:r>
                        </w:p>
                        <w:p w:rsidR="0038409B" w14:textId="77777777">
                          <w:pPr>
                            <w:pStyle w:val="Referentiegegevens"/>
                          </w:pPr>
                          <w:r>
                            <w:fldChar w:fldCharType="begin"/>
                          </w:r>
                          <w:r>
                            <w:instrText xml:space="preserve"> DOCPROPERTY  "Kenmerk"  \* MERGEFORMAT </w:instrText>
                          </w:r>
                          <w:r>
                            <w:fldChar w:fldCharType="separate"/>
                          </w:r>
                          <w:r>
                            <w:t>2026-0000503723</w:t>
                          </w:r>
                          <w:r>
                            <w:fldChar w:fldCharType="end"/>
                          </w:r>
                        </w:p>
                      </w:txbxContent>
                    </wps:txbx>
                    <wps:bodyPr vert="horz" wrap="square" lIns="0" tIns="0" rIns="0" bIns="0" anchor="t" anchorCtr="0"/>
                  </wps:wsp>
                </a:graphicData>
              </a:graphic>
            </wp:anchor>
          </w:drawing>
        </mc:Choice>
        <mc:Fallback>
          <w:pict>
            <v:shape id="46fef022-aa3c-11ea-a756-beb5f67e67be" o:spid="_x0000_s2050" type="#_x0000_t202" alt="Colofon" style="width:100.6pt;height:630.7pt;margin-top:154.75pt;margin-left:466.25pt;mso-position-horizontal-relative:page;mso-wrap-distance-bottom:0;mso-wrap-distance-left:0;mso-wrap-distance-right:0;mso-wrap-distance-top:0;mso-wrap-style:square;position:absolute;v-text-anchor:top;visibility:visible;z-index:251661312" filled="f" stroked="f">
              <v:textbox inset="0,0,0,0">
                <w:txbxContent>
                  <w:p w:rsidR="00A9144E" w14:paraId="1FE9C262" w14:textId="77777777">
                    <w:pPr>
                      <w:pStyle w:val="Referentiegegevensbold"/>
                    </w:pPr>
                    <w:r>
                      <w:t xml:space="preserve">DG Openbaar Bestuur &amp; </w:t>
                    </w:r>
                    <w:r>
                      <w:t>Democr Rechtsstaat</w:t>
                    </w:r>
                  </w:p>
                  <w:p w:rsidR="00A9144E" w14:paraId="65D2E8FD" w14:textId="77777777">
                    <w:pPr>
                      <w:pStyle w:val="Referentiegegevens"/>
                    </w:pPr>
                    <w:r>
                      <w:t>DGOBDR-BFR-Regelg. Toezicht &amp; Monitoring</w:t>
                    </w:r>
                  </w:p>
                  <w:p w:rsidR="00A9144E" w14:paraId="6741255F" w14:textId="77777777">
                    <w:pPr>
                      <w:pStyle w:val="WitregelW2"/>
                    </w:pPr>
                  </w:p>
                  <w:p w:rsidR="00A9144E" w14:paraId="4943AA31" w14:textId="77777777">
                    <w:pPr>
                      <w:pStyle w:val="Referentiegegevensbold"/>
                    </w:pPr>
                    <w:r>
                      <w:t>Datum</w:t>
                    </w:r>
                  </w:p>
                  <w:p w:rsidR="0038409B" w14:paraId="43E4FD3B" w14:textId="77777777">
                    <w:pPr>
                      <w:pStyle w:val="Referentiegegevens"/>
                    </w:pPr>
                    <w:r>
                      <w:fldChar w:fldCharType="begin"/>
                    </w:r>
                    <w:r>
                      <w:instrText xml:space="preserve"> DOCPROPERTY  "Datum"  \* MERGEFORMAT </w:instrText>
                    </w:r>
                    <w:r>
                      <w:fldChar w:fldCharType="separate"/>
                    </w:r>
                    <w:r>
                      <w:t>30 oktober 2026</w:t>
                    </w:r>
                    <w:r>
                      <w:fldChar w:fldCharType="end"/>
                    </w:r>
                  </w:p>
                  <w:p w:rsidR="00A9144E" w14:paraId="42D39BB2" w14:textId="77777777">
                    <w:pPr>
                      <w:pStyle w:val="WitregelW1"/>
                    </w:pPr>
                  </w:p>
                  <w:p w:rsidR="00A9144E" w14:paraId="4B08DEA5" w14:textId="77777777">
                    <w:pPr>
                      <w:pStyle w:val="Referentiegegevensbold"/>
                    </w:pPr>
                    <w:r>
                      <w:t>Onze referentie</w:t>
                    </w:r>
                  </w:p>
                  <w:p w:rsidR="0038409B" w14:paraId="2E5237C2" w14:textId="77777777">
                    <w:pPr>
                      <w:pStyle w:val="Referentiegegevens"/>
                    </w:pPr>
                    <w:r>
                      <w:fldChar w:fldCharType="begin"/>
                    </w:r>
                    <w:r>
                      <w:instrText xml:space="preserve"> DOCPROPERTY  "Kenmerk"  \* MERGEFORMAT </w:instrText>
                    </w:r>
                    <w:r>
                      <w:fldChar w:fldCharType="separate"/>
                    </w:r>
                    <w:r>
                      <w:t>2026-0000503723</w:t>
                    </w:r>
                    <w:r>
                      <w:fldChar w:fldCharType="end"/>
                    </w:r>
                  </w:p>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1007744</wp:posOffset>
              </wp:positionH>
              <wp:positionV relativeFrom="paragraph">
                <wp:posOffset>10194925</wp:posOffset>
              </wp:positionV>
              <wp:extent cx="4787900" cy="161925"/>
              <wp:effectExtent l="0" t="0" r="0" b="0"/>
              <wp:wrapNone/>
              <wp:docPr id="3" name="46fef0b8-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CB2C66" w14:textId="77777777"/>
                      </w:txbxContent>
                    </wps:txbx>
                    <wps:bodyPr vert="horz" wrap="square" lIns="0" tIns="0" rIns="0" bIns="0" anchor="t" anchorCtr="0"/>
                  </wps:wsp>
                </a:graphicData>
              </a:graphic>
            </wp:anchor>
          </w:drawing>
        </mc:Choice>
        <mc:Fallback>
          <w:pict>
            <v:shape id="46fef0b8-aa3c-11ea-a756-beb5f67e67be" o:spid="_x0000_s2051" type="#_x0000_t202" alt="Voettekst" style="width:377pt;height:12.75pt;margin-top:802.75pt;margin-left:79.35pt;mso-position-horizontal-relative:page;mso-wrap-distance-bottom:0;mso-wrap-distance-left:0;mso-wrap-distance-right:0;mso-wrap-distance-top:0;mso-wrap-style:square;position:absolute;v-text-anchor:top;visibility:visible;z-index:251663360" filled="f" stroked="f">
              <v:textbox inset="0,0,0,0">
                <w:txbxContent>
                  <w:p w:rsidR="00CB2C66" w14:paraId="4BD767DB" w14:textId="77777777"/>
                </w:txbxContent>
              </v:textbox>
              <w10:anchorlock/>
            </v:shape>
          </w:pict>
        </mc:Fallback>
      </mc:AlternateContent>
    </w:r>
    <w:r>
      <w:rPr>
        <w:noProof/>
      </w:rPr>
      <mc:AlternateContent>
        <mc:Choice Requires="wps">
          <w:drawing>
            <wp:anchor distT="0" distB="0" distL="0" distR="0" simplePos="0" relativeHeight="251664384" behindDoc="0" locked="1" layoutInCell="1" allowOverlap="1">
              <wp:simplePos x="0" y="0"/>
              <wp:positionH relativeFrom="page">
                <wp:posOffset>5921375</wp:posOffset>
              </wp:positionH>
              <wp:positionV relativeFrom="paragraph">
                <wp:posOffset>10194925</wp:posOffset>
              </wp:positionV>
              <wp:extent cx="1285875" cy="161925"/>
              <wp:effectExtent l="0" t="0" r="0" b="0"/>
              <wp:wrapNone/>
              <wp:docPr id="4" name="46fef06f-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925"/>
                      </a:xfrm>
                      <a:prstGeom prst="rect">
                        <a:avLst/>
                      </a:prstGeom>
                      <a:noFill/>
                    </wps:spPr>
                    <wps:txbx>
                      <w:txbxContent>
                        <w:p w:rsidR="0038409B" w14:textId="77777777">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wps:txbx>
                    <wps:bodyPr vert="horz" wrap="square" lIns="0" tIns="0" rIns="0" bIns="0" anchor="t" anchorCtr="0"/>
                  </wps:wsp>
                </a:graphicData>
              </a:graphic>
            </wp:anchor>
          </w:drawing>
        </mc:Choice>
        <mc:Fallback>
          <w:pict>
            <v:shape id="46fef06f-aa3c-11ea-a756-beb5f67e67be" o:spid="_x0000_s2052" type="#_x0000_t202" alt="Paginanummering" style="width:101.25pt;height:12.75pt;margin-top:802.75pt;margin-left:466.25pt;mso-position-horizontal-relative:page;mso-wrap-distance-bottom:0;mso-wrap-distance-left:0;mso-wrap-distance-right:0;mso-wrap-distance-top:0;mso-wrap-style:square;position:absolute;v-text-anchor:top;visibility:visible;z-index:251665408" filled="f" stroked="f">
              <v:textbox inset="0,0,0,0">
                <w:txbxContent>
                  <w:p w:rsidR="0038409B" w14:paraId="30BE3C04" w14:textId="77777777">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9144E" w14:paraId="58EC3DBC" w14:textId="77777777">
    <w:pPr>
      <w:spacing w:after="6377"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A66F4133"/>
    <w:multiLevelType w:val="multilevel"/>
    <w:tmpl w:val="6B638C29"/>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nsid w:val="DA0B92E7"/>
    <w:multiLevelType w:val="multilevel"/>
    <w:tmpl w:val="4AEB32A4"/>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nsid w:val="FFCC3023"/>
    <w:multiLevelType w:val="multilevel"/>
    <w:tmpl w:val="B2576650"/>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nsid w:val="1A6B40C7"/>
    <w:multiLevelType w:val="multilevel"/>
    <w:tmpl w:val="C8F294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nsid w:val="28F9CB97"/>
    <w:multiLevelType w:val="multilevel"/>
    <w:tmpl w:val="C6FE44BC"/>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abstractNum w:abstractNumId="5">
    <w:nsid w:val="36C73E2B"/>
    <w:multiLevelType w:val="multilevel"/>
    <w:tmpl w:val="71D0CC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nsid w:val="7CCE2CDF"/>
    <w:multiLevelType w:val="hybridMultilevel"/>
    <w:tmpl w:val="6A1ACE52"/>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1021665475">
    <w:abstractNumId w:val="4"/>
  </w:num>
  <w:num w:numId="2" w16cid:durableId="1096369466">
    <w:abstractNumId w:val="1"/>
  </w:num>
  <w:num w:numId="3" w16cid:durableId="1764448105">
    <w:abstractNumId w:val="0"/>
  </w:num>
  <w:num w:numId="4" w16cid:durableId="1056002669">
    <w:abstractNumId w:val="2"/>
  </w:num>
  <w:num w:numId="5" w16cid:durableId="260576901">
    <w:abstractNumId w:val="5"/>
  </w:num>
  <w:num w:numId="6" w16cid:durableId="898589034">
    <w:abstractNumId w:val="6"/>
  </w:num>
  <w:num w:numId="7" w16cid:durableId="5484237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efaultTableStyle w:val="TableNormal"/>
  <w:hyphenationZone w:val="425"/>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44E"/>
    <w:rsid w:val="00060791"/>
    <w:rsid w:val="000F0D04"/>
    <w:rsid w:val="00182417"/>
    <w:rsid w:val="001E1A1A"/>
    <w:rsid w:val="00200702"/>
    <w:rsid w:val="00207C69"/>
    <w:rsid w:val="0038409B"/>
    <w:rsid w:val="004319BA"/>
    <w:rsid w:val="0064380F"/>
    <w:rsid w:val="00673C67"/>
    <w:rsid w:val="00690929"/>
    <w:rsid w:val="00755C63"/>
    <w:rsid w:val="00761D7A"/>
    <w:rsid w:val="007D5D39"/>
    <w:rsid w:val="007E6440"/>
    <w:rsid w:val="0083783E"/>
    <w:rsid w:val="008E2557"/>
    <w:rsid w:val="0091107C"/>
    <w:rsid w:val="009A37B4"/>
    <w:rsid w:val="009B278A"/>
    <w:rsid w:val="009B7DFB"/>
    <w:rsid w:val="00A122E9"/>
    <w:rsid w:val="00A47FB0"/>
    <w:rsid w:val="00A9144E"/>
    <w:rsid w:val="00AD7A97"/>
    <w:rsid w:val="00AD7F5F"/>
    <w:rsid w:val="00AE2630"/>
    <w:rsid w:val="00B40B7E"/>
    <w:rsid w:val="00BD24CB"/>
    <w:rsid w:val="00BF6F5C"/>
    <w:rsid w:val="00BF72B0"/>
    <w:rsid w:val="00C01474"/>
    <w:rsid w:val="00C71518"/>
    <w:rsid w:val="00CB2C66"/>
    <w:rsid w:val="00CE066E"/>
    <w:rsid w:val="00CF3A8A"/>
    <w:rsid w:val="00D16931"/>
    <w:rsid w:val="00DA3C84"/>
    <w:rsid w:val="00E04CA5"/>
    <w:rsid w:val="00EC40DF"/>
    <w:rsid w:val="00F24A8D"/>
    <w:rsid w:val="00F833B7"/>
    <w:rsid w:val="00FB7470"/>
    <w:rsid w:val="76596AB4"/>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0D8B72B5"/>
  <w15:docId w15:val="{D697BEC8-A1AA-414B-90C6-1C6DD1A55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FootnoteText">
    <w:name w:val="footnote text"/>
    <w:link w:val="VoetnoottekstChar"/>
    <w:uiPriority w:val="99"/>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character" w:styleId="UnresolvedMention">
    <w:name w:val="Unresolved Mention"/>
    <w:basedOn w:val="DefaultParagraphFont"/>
    <w:uiPriority w:val="99"/>
    <w:semiHidden/>
    <w:unhideWhenUsed/>
    <w:rsid w:val="008E2557"/>
    <w:rPr>
      <w:color w:val="605E5C"/>
      <w:shd w:val="clear" w:color="auto" w:fill="E1DFDD"/>
    </w:rPr>
  </w:style>
  <w:style w:type="paragraph" w:styleId="ListParagraph">
    <w:name w:val="List Paragraph"/>
    <w:aliases w:val="Dot pt,F5 List Paragraph,List Paragraph1,No Spacing1,List Paragraph Char Char Char,Indicator Text,Numbered Para 1,Bullet 1,Bullet Points,Párrafo de lista,MAIN CONTENT,Recommendation,List Paragraph2,Normal numbere,Colorful List - Accent 11,L"/>
    <w:basedOn w:val="Normal"/>
    <w:link w:val="LijstalineaChar"/>
    <w:uiPriority w:val="34"/>
    <w:qFormat/>
    <w:rsid w:val="008E2557"/>
    <w:pPr>
      <w:ind w:left="720"/>
      <w:contextualSpacing/>
    </w:pPr>
  </w:style>
  <w:style w:type="character" w:customStyle="1" w:styleId="VoetnoottekstChar">
    <w:name w:val="Voetnoottekst Char"/>
    <w:basedOn w:val="DefaultParagraphFont"/>
    <w:link w:val="FootnoteText"/>
    <w:uiPriority w:val="99"/>
    <w:rsid w:val="008E2557"/>
    <w:rPr>
      <w:rFonts w:ascii="Verdana" w:hAnsi="Verdana"/>
      <w:sz w:val="13"/>
      <w:szCs w:val="13"/>
    </w:rPr>
  </w:style>
  <w:style w:type="character" w:styleId="FootnoteReference">
    <w:name w:val="footnote reference"/>
    <w:basedOn w:val="DefaultParagraphFont"/>
    <w:uiPriority w:val="99"/>
    <w:semiHidden/>
    <w:unhideWhenUsed/>
    <w:rsid w:val="008E2557"/>
    <w:rPr>
      <w:vertAlign w:val="superscript"/>
    </w:rPr>
  </w:style>
  <w:style w:type="paragraph" w:styleId="BodyText">
    <w:name w:val="Body Text"/>
    <w:basedOn w:val="Normal"/>
    <w:link w:val="PlattetekstChar"/>
    <w:uiPriority w:val="1"/>
    <w:qFormat/>
    <w:rsid w:val="008E2557"/>
    <w:pPr>
      <w:widowControl w:val="0"/>
      <w:autoSpaceDE w:val="0"/>
      <w:spacing w:line="240" w:lineRule="auto"/>
      <w:textAlignment w:val="auto"/>
    </w:pPr>
    <w:rPr>
      <w:rFonts w:ascii="Calibri" w:eastAsia="Calibri" w:hAnsi="Calibri" w:cs="Calibri"/>
      <w:color w:val="auto"/>
      <w:sz w:val="22"/>
      <w:szCs w:val="22"/>
      <w:lang w:eastAsia="en-US"/>
    </w:rPr>
  </w:style>
  <w:style w:type="character" w:customStyle="1" w:styleId="PlattetekstChar">
    <w:name w:val="Platte tekst Char"/>
    <w:basedOn w:val="DefaultParagraphFont"/>
    <w:link w:val="BodyText"/>
    <w:uiPriority w:val="1"/>
    <w:rsid w:val="008E2557"/>
    <w:rPr>
      <w:rFonts w:ascii="Calibri" w:eastAsia="Calibri" w:hAnsi="Calibri" w:cs="Calibri"/>
      <w:sz w:val="22"/>
      <w:szCs w:val="22"/>
      <w:lang w:eastAsia="en-US"/>
    </w:rPr>
  </w:style>
  <w:style w:type="character" w:customStyle="1" w:styleId="LijstalineaChar">
    <w:name w:val="Lijstalinea Char"/>
    <w:aliases w:val="Dot pt Char,F5 List Paragraph Char,List Paragraph1 Char,No Spacing1 Char,List Paragraph Char Char Char Char,Indicator Text Char,Numbered Para 1 Char,Bullet 1 Char,Bullet Points Char,Párrafo de lista Char,MAIN CONTENT Char,L Char"/>
    <w:basedOn w:val="DefaultParagraphFont"/>
    <w:link w:val="ListParagraph"/>
    <w:uiPriority w:val="34"/>
    <w:qFormat/>
    <w:locked/>
    <w:rsid w:val="008E2557"/>
    <w:rPr>
      <w:rFonts w:ascii="Verdana" w:hAnsi="Verdana"/>
      <w:color w:val="000000"/>
      <w:sz w:val="18"/>
      <w:szCs w:val="18"/>
    </w:rPr>
  </w:style>
  <w:style w:type="paragraph" w:styleId="Header">
    <w:name w:val="header"/>
    <w:basedOn w:val="Normal"/>
    <w:link w:val="KoptekstChar"/>
    <w:uiPriority w:val="99"/>
    <w:unhideWhenUsed/>
    <w:rsid w:val="0064380F"/>
    <w:pPr>
      <w:tabs>
        <w:tab w:val="center" w:pos="4536"/>
        <w:tab w:val="right" w:pos="9072"/>
      </w:tabs>
      <w:spacing w:line="240" w:lineRule="auto"/>
    </w:pPr>
  </w:style>
  <w:style w:type="character" w:customStyle="1" w:styleId="KoptekstChar">
    <w:name w:val="Koptekst Char"/>
    <w:basedOn w:val="DefaultParagraphFont"/>
    <w:link w:val="Header"/>
    <w:uiPriority w:val="99"/>
    <w:rsid w:val="0064380F"/>
    <w:rPr>
      <w:rFonts w:ascii="Verdana" w:hAnsi="Verdana"/>
      <w:color w:val="000000"/>
      <w:sz w:val="18"/>
      <w:szCs w:val="18"/>
    </w:rPr>
  </w:style>
  <w:style w:type="paragraph" w:styleId="Footer">
    <w:name w:val="footer"/>
    <w:basedOn w:val="Normal"/>
    <w:link w:val="VoettekstChar"/>
    <w:uiPriority w:val="99"/>
    <w:unhideWhenUsed/>
    <w:rsid w:val="0064380F"/>
    <w:pPr>
      <w:tabs>
        <w:tab w:val="center" w:pos="4536"/>
        <w:tab w:val="right" w:pos="9072"/>
      </w:tabs>
      <w:spacing w:line="240" w:lineRule="auto"/>
    </w:pPr>
  </w:style>
  <w:style w:type="character" w:customStyle="1" w:styleId="VoettekstChar">
    <w:name w:val="Voettekst Char"/>
    <w:basedOn w:val="DefaultParagraphFont"/>
    <w:link w:val="Footer"/>
    <w:uiPriority w:val="99"/>
    <w:rsid w:val="0064380F"/>
    <w:rPr>
      <w:rFonts w:ascii="Verdana" w:hAnsi="Verdana"/>
      <w:color w:val="000000"/>
      <w:sz w:val="18"/>
      <w:szCs w:val="18"/>
    </w:rPr>
  </w:style>
  <w:style w:type="character" w:styleId="CommentReference">
    <w:name w:val="annotation reference"/>
    <w:basedOn w:val="DefaultParagraphFont"/>
    <w:uiPriority w:val="99"/>
    <w:semiHidden/>
    <w:unhideWhenUsed/>
    <w:rsid w:val="00BF72B0"/>
    <w:rPr>
      <w:sz w:val="16"/>
      <w:szCs w:val="16"/>
    </w:rPr>
  </w:style>
  <w:style w:type="paragraph" w:styleId="CommentText">
    <w:name w:val="annotation text"/>
    <w:basedOn w:val="Normal"/>
    <w:link w:val="TekstopmerkingChar"/>
    <w:uiPriority w:val="99"/>
    <w:unhideWhenUsed/>
    <w:rsid w:val="00BF72B0"/>
    <w:pPr>
      <w:spacing w:line="240" w:lineRule="auto"/>
    </w:pPr>
    <w:rPr>
      <w:sz w:val="20"/>
      <w:szCs w:val="20"/>
    </w:rPr>
  </w:style>
  <w:style w:type="character" w:customStyle="1" w:styleId="TekstopmerkingChar">
    <w:name w:val="Tekst opmerking Char"/>
    <w:basedOn w:val="DefaultParagraphFont"/>
    <w:link w:val="CommentText"/>
    <w:uiPriority w:val="99"/>
    <w:rsid w:val="00BF72B0"/>
    <w:rPr>
      <w:rFonts w:ascii="Verdana" w:hAnsi="Verdana"/>
      <w:color w:val="000000"/>
    </w:rPr>
  </w:style>
  <w:style w:type="paragraph" w:styleId="CommentSubject">
    <w:name w:val="annotation subject"/>
    <w:basedOn w:val="CommentText"/>
    <w:next w:val="CommentText"/>
    <w:link w:val="OnderwerpvanopmerkingChar"/>
    <w:uiPriority w:val="99"/>
    <w:semiHidden/>
    <w:unhideWhenUsed/>
    <w:rsid w:val="00BF72B0"/>
    <w:rPr>
      <w:b/>
      <w:bCs/>
    </w:rPr>
  </w:style>
  <w:style w:type="character" w:customStyle="1" w:styleId="OnderwerpvanopmerkingChar">
    <w:name w:val="Onderwerp van opmerking Char"/>
    <w:basedOn w:val="TekstopmerkingChar"/>
    <w:link w:val="CommentSubject"/>
    <w:uiPriority w:val="99"/>
    <w:semiHidden/>
    <w:rsid w:val="00BF72B0"/>
    <w:rPr>
      <w:rFonts w:ascii="Verdana" w:hAnsi="Verdana"/>
      <w:b/>
      <w:bCs/>
      <w:color w:val="000000"/>
    </w:rPr>
  </w:style>
  <w:style w:type="paragraph" w:styleId="Revision">
    <w:name w:val="Revision"/>
    <w:hidden/>
    <w:uiPriority w:val="99"/>
    <w:semiHidden/>
    <w:rsid w:val="00BF72B0"/>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footnotes" Target="footnotes.xml" Id="rId1" /><Relationship Type="http://schemas.openxmlformats.org/officeDocument/2006/relationships/header" Target="header1.xml" Id="rId10" /><Relationship Type="http://schemas.openxmlformats.org/officeDocument/2006/relationships/header" Target="header2.xml" Id="rId11" /><Relationship Type="http://schemas.openxmlformats.org/officeDocument/2006/relationships/footer" Target="footer1.xml" Id="rId12" /><Relationship Type="http://schemas.openxmlformats.org/officeDocument/2006/relationships/footer" Target="footer2.xml" Id="rId13" /><Relationship Type="http://schemas.openxmlformats.org/officeDocument/2006/relationships/header" Target="header3.xml" Id="rId14" /><Relationship Type="http://schemas.openxmlformats.org/officeDocument/2006/relationships/footer" Target="footer3.xml" Id="rId15" /><Relationship Type="http://schemas.openxmlformats.org/officeDocument/2006/relationships/theme" Target="theme/theme1.xml" Id="rId16" /><Relationship Type="http://schemas.openxmlformats.org/officeDocument/2006/relationships/numbering" Target="numbering.xml" Id="rId17" /><Relationship Type="http://schemas.openxmlformats.org/officeDocument/2006/relationships/styles" Target="styles.xml" Id="rId18"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image" Target="media/image1.png" Id="rId7" /><Relationship Type="http://schemas.openxmlformats.org/officeDocument/2006/relationships/image" Target="media/image2.png" Id="rId8" /><Relationship Type="http://schemas.openxmlformats.org/officeDocument/2006/relationships/hyperlink" Target="http://www.rijksoverheid.nl" TargetMode="External" Id="rId9" /></Relationships>
</file>

<file path=word/_rels/footnotes.xml.rels><?xml version="1.0" encoding="utf-8" standalone="yes"?><Relationships xmlns="http://schemas.openxmlformats.org/package/2006/relationships"><Relationship Id="rId1" Type="http://schemas.openxmlformats.org/officeDocument/2006/relationships/hyperlink" Target="https://commissiebbv.nl/page/view/07a5b1b1-f85f-4537-b86a-ff74bdb852e2/5-posten-met-een-specifieke-handelwijze" TargetMode="External"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4</ap:Pages>
  <ap:Words>1489</ap:Words>
  <ap:Characters>8191</ap:Characters>
  <ap:DocSecurity>0</ap:DocSecurity>
  <ap:Lines>68</ap:Lines>
  <ap:Paragraphs>19</ap:Paragraphs>
  <ap:ScaleCrop>false</ap:ScaleCrop>
  <ap:LinksUpToDate>false</ap:LinksUpToDate>
  <ap:CharactersWithSpaces>9661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2026-09-24T06:40:00.0000000Z</dcterms:created>
  <dcterms:modified xsi:type="dcterms:W3CDTF">2026-10-30T09:24:00.0000000Z</dcterms:modified>
  <dc:creator/>
  <lastModifiedBy/>
  <dc:description>------------------------</dc:description>
  <dc:subject/>
  <keywords/>
  <version/>
  <category/>
</coreProperties>
</file>