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2B66" w:rsidR="00A02B66" w:rsidRDefault="00A02B66" w14:paraId="443D3980" w14:textId="44919CC4"/>
    <w:tbl>
      <w:tblPr>
        <w:tblStyle w:val="Rastertabel3"/>
        <w:tblpPr w:leftFromText="141" w:rightFromText="141" w:vertAnchor="text" w:horzAnchor="margin" w:tblpXSpec="center" w:tblpY="742"/>
        <w:tblW w:w="6127" w:type="pct"/>
        <w:tblLook w:val="04A0" w:firstRow="1" w:lastRow="0" w:firstColumn="1" w:lastColumn="0" w:noHBand="0" w:noVBand="1"/>
      </w:tblPr>
      <w:tblGrid>
        <w:gridCol w:w="3072"/>
        <w:gridCol w:w="5905"/>
        <w:gridCol w:w="2140"/>
      </w:tblGrid>
      <w:tr w:rsidR="00753549" w:rsidTr="0019563B" w14:paraId="2E5D09C8" w14:textId="023A2FF2">
        <w:trPr>
          <w:cnfStyle w:val="100000000000" w:firstRow="1" w:lastRow="0" w:firstColumn="0" w:lastColumn="0" w:oddVBand="0" w:evenVBand="0" w:oddHBand="0" w:evenHBand="0" w:firstRowFirstColumn="0" w:firstRowLastColumn="0" w:lastRowFirstColumn="0" w:lastRowLastColumn="0"/>
          <w:trHeight w:val="546"/>
        </w:trPr>
        <w:tc>
          <w:tcPr>
            <w:cnfStyle w:val="001000000100" w:firstRow="0" w:lastRow="0" w:firstColumn="1" w:lastColumn="0" w:oddVBand="0" w:evenVBand="0" w:oddHBand="0" w:evenHBand="0" w:firstRowFirstColumn="1" w:firstRowLastColumn="0" w:lastRowFirstColumn="0" w:lastRowLastColumn="0"/>
            <w:tcW w:w="1382" w:type="pct"/>
          </w:tcPr>
          <w:p w:rsidRPr="00277B9E" w:rsidR="00753549" w:rsidP="00D10A3E" w:rsidRDefault="00753549" w14:paraId="7432EE73" w14:textId="77777777">
            <w:pPr>
              <w:jc w:val="center"/>
              <w:rPr>
                <w:i w:val="0"/>
                <w:iCs w:val="0"/>
                <w:sz w:val="16"/>
                <w:szCs w:val="16"/>
              </w:rPr>
            </w:pPr>
            <w:r w:rsidRPr="00277B9E">
              <w:rPr>
                <w:i w:val="0"/>
                <w:iCs w:val="0"/>
                <w:sz w:val="16"/>
                <w:szCs w:val="16"/>
              </w:rPr>
              <w:t>Maatregel</w:t>
            </w:r>
          </w:p>
        </w:tc>
        <w:tc>
          <w:tcPr>
            <w:tcW w:w="2656" w:type="pct"/>
          </w:tcPr>
          <w:p w:rsidRPr="00DB5FA3" w:rsidR="00753549" w:rsidP="00D10A3E" w:rsidRDefault="00753549" w14:paraId="0CAD0350" w14:textId="46CEBAD0">
            <w:pPr>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Appreciatie BNC-fiche</w:t>
            </w:r>
          </w:p>
        </w:tc>
        <w:tc>
          <w:tcPr>
            <w:tcW w:w="962" w:type="pct"/>
          </w:tcPr>
          <w:p w:rsidRPr="00DB5FA3" w:rsidR="00753549" w:rsidP="00D10A3E" w:rsidRDefault="00753549" w14:paraId="60F2AF35" w14:textId="5032C44F">
            <w:pPr>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S</w:t>
            </w:r>
            <w:r w:rsidRPr="00DB5FA3">
              <w:rPr>
                <w:sz w:val="16"/>
                <w:szCs w:val="16"/>
              </w:rPr>
              <w:t xml:space="preserve">tructurele derving (in € </w:t>
            </w:r>
            <w:proofErr w:type="spellStart"/>
            <w:r w:rsidRPr="00DB5FA3">
              <w:rPr>
                <w:sz w:val="16"/>
                <w:szCs w:val="16"/>
              </w:rPr>
              <w:t>mln</w:t>
            </w:r>
            <w:proofErr w:type="spellEnd"/>
            <w:r w:rsidRPr="00DB5FA3">
              <w:rPr>
                <w:sz w:val="16"/>
                <w:szCs w:val="16"/>
              </w:rPr>
              <w:t>)</w:t>
            </w:r>
          </w:p>
        </w:tc>
      </w:tr>
      <w:tr w:rsidRPr="00463DDE" w:rsidR="00753549" w:rsidTr="0019563B" w14:paraId="29266436" w14:textId="77777777">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1382" w:type="pct"/>
          </w:tcPr>
          <w:p w:rsidR="00753549" w:rsidP="00D10A3E" w:rsidRDefault="00753549" w14:paraId="4D91D17E" w14:textId="77777777">
            <w:pPr>
              <w:autoSpaceDN/>
              <w:spacing w:line="240" w:lineRule="auto"/>
              <w:textAlignment w:val="auto"/>
              <w:rPr>
                <w:rFonts w:eastAsia="Times New Roman" w:cs="Segoe UI"/>
                <w:i w:val="0"/>
                <w:iCs w:val="0"/>
                <w:color w:val="171717"/>
                <w:sz w:val="16"/>
                <w:szCs w:val="16"/>
              </w:rPr>
            </w:pPr>
            <w:r>
              <w:rPr>
                <w:rFonts w:eastAsia="Times New Roman" w:cs="Segoe UI"/>
                <w:b/>
                <w:bCs/>
                <w:color w:val="171717"/>
                <w:sz w:val="16"/>
                <w:szCs w:val="16"/>
              </w:rPr>
              <w:t>Interest &amp; Royaltyrichtlijn &amp; Moederdochterrichtlijn</w:t>
            </w:r>
          </w:p>
          <w:p w:rsidRPr="00C961F5" w:rsidR="00753549" w:rsidP="00D10A3E" w:rsidRDefault="00753549" w14:paraId="263D1F3E" w14:textId="64F1477D">
            <w:pPr>
              <w:autoSpaceDN/>
              <w:spacing w:line="240" w:lineRule="auto"/>
              <w:textAlignment w:val="auto"/>
              <w:rPr>
                <w:rFonts w:eastAsia="Times New Roman" w:cs="Segoe UI"/>
                <w:color w:val="171717"/>
                <w:sz w:val="16"/>
                <w:szCs w:val="16"/>
              </w:rPr>
            </w:pPr>
            <w:r>
              <w:rPr>
                <w:rFonts w:eastAsia="Times New Roman" w:cs="Segoe UI"/>
                <w:color w:val="171717"/>
                <w:sz w:val="16"/>
                <w:szCs w:val="16"/>
              </w:rPr>
              <w:t>Afschaffing</w:t>
            </w:r>
            <w:r w:rsidR="00526AC4">
              <w:rPr>
                <w:rFonts w:eastAsia="Times New Roman" w:cs="Segoe UI"/>
                <w:color w:val="171717"/>
                <w:sz w:val="16"/>
                <w:szCs w:val="16"/>
              </w:rPr>
              <w:t xml:space="preserve"> vereiste </w:t>
            </w:r>
            <w:proofErr w:type="spellStart"/>
            <w:r w:rsidR="00526AC4">
              <w:rPr>
                <w:rFonts w:eastAsia="Times New Roman" w:cs="Segoe UI"/>
                <w:color w:val="171717"/>
                <w:sz w:val="16"/>
                <w:szCs w:val="16"/>
              </w:rPr>
              <w:t>gelieerdheid</w:t>
            </w:r>
            <w:proofErr w:type="spellEnd"/>
          </w:p>
        </w:tc>
        <w:tc>
          <w:tcPr>
            <w:tcW w:w="2656" w:type="pct"/>
            <w:shd w:val="clear" w:color="auto" w:fill="FFC000"/>
          </w:tcPr>
          <w:p w:rsidRPr="00DB5FA3" w:rsidR="00753549" w:rsidP="00D10A3E" w:rsidRDefault="00753549" w14:paraId="11E4425A" w14:textId="7F6D9576">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b/>
                <w:bCs/>
                <w:color w:val="171717"/>
                <w:sz w:val="16"/>
                <w:szCs w:val="16"/>
              </w:rPr>
              <w:t xml:space="preserve">Doelstelling wordt gesteund, </w:t>
            </w:r>
            <w:r w:rsidR="00526AC4">
              <w:rPr>
                <w:rFonts w:eastAsia="Times New Roman" w:cs="Segoe UI"/>
                <w:b/>
                <w:bCs/>
                <w:color w:val="171717"/>
                <w:sz w:val="16"/>
                <w:szCs w:val="16"/>
              </w:rPr>
              <w:t>gevolgen</w:t>
            </w:r>
            <w:r>
              <w:rPr>
                <w:rFonts w:eastAsia="Times New Roman" w:cs="Segoe UI"/>
                <w:b/>
                <w:bCs/>
                <w:color w:val="171717"/>
                <w:sz w:val="16"/>
                <w:szCs w:val="16"/>
              </w:rPr>
              <w:t xml:space="preserve"> </w:t>
            </w:r>
            <w:r w:rsidR="00526AC4">
              <w:rPr>
                <w:rFonts w:eastAsia="Times New Roman" w:cs="Segoe UI"/>
                <w:b/>
                <w:bCs/>
                <w:color w:val="171717"/>
                <w:sz w:val="16"/>
                <w:szCs w:val="16"/>
              </w:rPr>
              <w:t xml:space="preserve">en nadere invulling vergen </w:t>
            </w:r>
            <w:r>
              <w:rPr>
                <w:rFonts w:eastAsia="Times New Roman" w:cs="Segoe UI"/>
                <w:b/>
                <w:bCs/>
                <w:color w:val="171717"/>
                <w:sz w:val="16"/>
                <w:szCs w:val="16"/>
              </w:rPr>
              <w:t>aandacht</w:t>
            </w:r>
          </w:p>
        </w:tc>
        <w:tc>
          <w:tcPr>
            <w:tcW w:w="962" w:type="pct"/>
          </w:tcPr>
          <w:p w:rsidR="00753549" w:rsidP="00D10A3E" w:rsidRDefault="00753549" w14:paraId="786E13DA" w14:textId="77777777">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 xml:space="preserve">2.000 – 2.800 </w:t>
            </w:r>
            <w:r w:rsidR="00526AC4">
              <w:rPr>
                <w:rFonts w:eastAsia="Times New Roman" w:cs="Segoe UI"/>
                <w:color w:val="171717"/>
                <w:sz w:val="16"/>
                <w:szCs w:val="16"/>
              </w:rPr>
              <w:t>dividendbelasting</w:t>
            </w:r>
          </w:p>
          <w:p w:rsidRPr="00DB5FA3" w:rsidR="00526AC4" w:rsidP="00D10A3E" w:rsidRDefault="00526AC4" w14:paraId="7CD22C57" w14:textId="5F4D286D">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500 – 1</w:t>
            </w:r>
            <w:r w:rsidR="005E63F6">
              <w:rPr>
                <w:rFonts w:eastAsia="Times New Roman" w:cs="Segoe UI"/>
                <w:color w:val="171717"/>
                <w:sz w:val="16"/>
                <w:szCs w:val="16"/>
              </w:rPr>
              <w:t>.</w:t>
            </w:r>
            <w:r>
              <w:rPr>
                <w:rFonts w:eastAsia="Times New Roman" w:cs="Segoe UI"/>
                <w:color w:val="171717"/>
                <w:sz w:val="16"/>
                <w:szCs w:val="16"/>
              </w:rPr>
              <w:t>000 vennootschapsbelasting</w:t>
            </w:r>
          </w:p>
        </w:tc>
      </w:tr>
      <w:tr w:rsidRPr="00463DDE" w:rsidR="00753549" w:rsidTr="0019563B" w14:paraId="01F099BE" w14:textId="77777777">
        <w:trPr>
          <w:trHeight w:val="683"/>
        </w:trPr>
        <w:tc>
          <w:tcPr>
            <w:cnfStyle w:val="001000000000" w:firstRow="0" w:lastRow="0" w:firstColumn="1" w:lastColumn="0" w:oddVBand="0" w:evenVBand="0" w:oddHBand="0" w:evenHBand="0" w:firstRowFirstColumn="0" w:firstRowLastColumn="0" w:lastRowFirstColumn="0" w:lastRowLastColumn="0"/>
            <w:tcW w:w="1382" w:type="pct"/>
          </w:tcPr>
          <w:p w:rsidR="00753549" w:rsidP="00D10A3E" w:rsidRDefault="00753549" w14:paraId="0646BA4F" w14:textId="77777777">
            <w:pPr>
              <w:autoSpaceDN/>
              <w:spacing w:line="240" w:lineRule="auto"/>
              <w:textAlignment w:val="auto"/>
              <w:rPr>
                <w:rFonts w:eastAsia="Times New Roman" w:cs="Segoe UI"/>
                <w:i w:val="0"/>
                <w:iCs w:val="0"/>
                <w:color w:val="171717"/>
                <w:sz w:val="16"/>
                <w:szCs w:val="16"/>
              </w:rPr>
            </w:pPr>
            <w:r>
              <w:rPr>
                <w:rFonts w:eastAsia="Times New Roman" w:cs="Segoe UI"/>
                <w:b/>
                <w:bCs/>
                <w:color w:val="171717"/>
                <w:sz w:val="16"/>
                <w:szCs w:val="16"/>
              </w:rPr>
              <w:t>Interest &amp; Royaltyrichtlijn &amp; Moederdochterrichtlijn</w:t>
            </w:r>
          </w:p>
          <w:p w:rsidR="00753549" w:rsidP="00D10A3E" w:rsidRDefault="00753549" w14:paraId="4C4DA656" w14:textId="46FF3C29">
            <w:pPr>
              <w:autoSpaceDN/>
              <w:spacing w:line="240" w:lineRule="auto"/>
              <w:textAlignment w:val="auto"/>
              <w:rPr>
                <w:rFonts w:eastAsia="Times New Roman" w:cs="Segoe UI"/>
                <w:b/>
                <w:bCs/>
                <w:color w:val="171717"/>
                <w:sz w:val="16"/>
                <w:szCs w:val="16"/>
              </w:rPr>
            </w:pPr>
            <w:r>
              <w:rPr>
                <w:rFonts w:eastAsia="Times New Roman" w:cs="Segoe UI"/>
                <w:color w:val="171717"/>
                <w:sz w:val="16"/>
                <w:szCs w:val="16"/>
              </w:rPr>
              <w:t>Vereenvoudiging procedures</w:t>
            </w:r>
          </w:p>
        </w:tc>
        <w:tc>
          <w:tcPr>
            <w:tcW w:w="2656" w:type="pct"/>
            <w:shd w:val="clear" w:color="auto" w:fill="00B050"/>
          </w:tcPr>
          <w:p w:rsidRPr="00C961F5" w:rsidR="00753549" w:rsidP="00D10A3E" w:rsidRDefault="00753549" w14:paraId="59F318DE" w14:textId="7607AD16">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Positief</w:t>
            </w:r>
          </w:p>
        </w:tc>
        <w:tc>
          <w:tcPr>
            <w:tcW w:w="962" w:type="pct"/>
          </w:tcPr>
          <w:p w:rsidR="00753549" w:rsidP="00D10A3E" w:rsidRDefault="00753549" w14:paraId="5E0DDE81" w14:textId="3E072707">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0</w:t>
            </w:r>
          </w:p>
        </w:tc>
      </w:tr>
      <w:tr w:rsidRPr="00463DDE" w:rsidR="00753549" w:rsidTr="0019563B" w14:paraId="7C7F560B" w14:textId="77777777">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1382" w:type="pct"/>
          </w:tcPr>
          <w:p w:rsidR="00753549" w:rsidP="00D10A3E" w:rsidRDefault="00753549" w14:paraId="4E4650B0" w14:textId="77777777">
            <w:pPr>
              <w:autoSpaceDN/>
              <w:spacing w:line="240" w:lineRule="auto"/>
              <w:textAlignment w:val="auto"/>
              <w:rPr>
                <w:rFonts w:eastAsia="Times New Roman" w:cs="Segoe UI"/>
                <w:i w:val="0"/>
                <w:iCs w:val="0"/>
                <w:color w:val="171717"/>
                <w:sz w:val="16"/>
                <w:szCs w:val="16"/>
              </w:rPr>
            </w:pPr>
            <w:r>
              <w:rPr>
                <w:rFonts w:eastAsia="Times New Roman" w:cs="Segoe UI"/>
                <w:b/>
                <w:bCs/>
                <w:color w:val="171717"/>
                <w:sz w:val="16"/>
                <w:szCs w:val="16"/>
              </w:rPr>
              <w:t>Moederdochterrichtlijn</w:t>
            </w:r>
          </w:p>
          <w:p w:rsidR="00753549" w:rsidP="00D10A3E" w:rsidRDefault="00753549" w14:paraId="73F73BB5" w14:textId="257ECA83">
            <w:pPr>
              <w:autoSpaceDN/>
              <w:spacing w:line="240" w:lineRule="auto"/>
              <w:textAlignment w:val="auto"/>
              <w:rPr>
                <w:rFonts w:eastAsia="Times New Roman" w:cs="Segoe UI"/>
                <w:b/>
                <w:bCs/>
                <w:color w:val="171717"/>
                <w:sz w:val="16"/>
                <w:szCs w:val="16"/>
              </w:rPr>
            </w:pPr>
            <w:r>
              <w:rPr>
                <w:rFonts w:eastAsia="Times New Roman" w:cs="Segoe UI"/>
                <w:color w:val="171717"/>
                <w:sz w:val="16"/>
                <w:szCs w:val="16"/>
              </w:rPr>
              <w:t>Uitbreiding pensioenfondsen</w:t>
            </w:r>
          </w:p>
        </w:tc>
        <w:tc>
          <w:tcPr>
            <w:tcW w:w="2656" w:type="pct"/>
            <w:shd w:val="clear" w:color="auto" w:fill="00B050"/>
          </w:tcPr>
          <w:p w:rsidRPr="0013083A" w:rsidR="00753549" w:rsidP="00D10A3E" w:rsidRDefault="00753549" w14:paraId="6EBA9240" w14:textId="3610A3C0">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Positief</w:t>
            </w:r>
          </w:p>
        </w:tc>
        <w:tc>
          <w:tcPr>
            <w:tcW w:w="962" w:type="pct"/>
          </w:tcPr>
          <w:p w:rsidRPr="00E574F2" w:rsidR="00753549" w:rsidP="00D10A3E" w:rsidRDefault="00526AC4" w14:paraId="06899910" w14:textId="6338F6C3">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Niet te ramen</w:t>
            </w:r>
          </w:p>
        </w:tc>
      </w:tr>
      <w:tr w:rsidRPr="00463DDE" w:rsidR="00753549" w:rsidTr="0019563B" w14:paraId="254A823E" w14:textId="03AFAA00">
        <w:trPr>
          <w:trHeight w:val="818"/>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78CE1D26"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424D195E" w14:textId="1B03B89D">
            <w:pPr>
              <w:autoSpaceDN/>
              <w:spacing w:line="240" w:lineRule="auto"/>
              <w:textAlignment w:val="auto"/>
              <w:rPr>
                <w:rFonts w:eastAsia="Times New Roman" w:cs="Segoe UI"/>
                <w:color w:val="171717"/>
                <w:sz w:val="16"/>
                <w:szCs w:val="16"/>
              </w:rPr>
            </w:pPr>
            <w:r w:rsidRPr="00DB5FA3">
              <w:rPr>
                <w:rFonts w:eastAsia="Times New Roman" w:cs="Segoe UI"/>
                <w:color w:val="171717"/>
                <w:sz w:val="16"/>
                <w:szCs w:val="16"/>
              </w:rPr>
              <w:t>Drempel naar €</w:t>
            </w:r>
            <w:r>
              <w:rPr>
                <w:rFonts w:eastAsia="Times New Roman" w:cs="Segoe UI"/>
                <w:color w:val="171717"/>
                <w:sz w:val="16"/>
                <w:szCs w:val="16"/>
              </w:rPr>
              <w:t>3</w:t>
            </w:r>
            <w:r w:rsidRPr="00DB5FA3">
              <w:rPr>
                <w:rFonts w:eastAsia="Times New Roman" w:cs="Segoe UI"/>
                <w:color w:val="171717"/>
                <w:sz w:val="16"/>
                <w:szCs w:val="16"/>
              </w:rPr>
              <w:t xml:space="preserve"> </w:t>
            </w:r>
            <w:proofErr w:type="spellStart"/>
            <w:r w:rsidRPr="00DB5FA3">
              <w:rPr>
                <w:rFonts w:eastAsia="Times New Roman" w:cs="Segoe UI"/>
                <w:color w:val="171717"/>
                <w:sz w:val="16"/>
                <w:szCs w:val="16"/>
              </w:rPr>
              <w:t>mln</w:t>
            </w:r>
            <w:proofErr w:type="spellEnd"/>
          </w:p>
        </w:tc>
        <w:tc>
          <w:tcPr>
            <w:tcW w:w="2656" w:type="pct"/>
            <w:shd w:val="clear" w:color="auto" w:fill="00B050"/>
          </w:tcPr>
          <w:p w:rsidRPr="00612E49" w:rsidR="00753549" w:rsidP="00D10A3E" w:rsidRDefault="00753549" w14:paraId="0C9D8466" w14:textId="7A640E0E">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Positief</w:t>
            </w:r>
          </w:p>
        </w:tc>
        <w:tc>
          <w:tcPr>
            <w:tcW w:w="962" w:type="pct"/>
            <w:hideMark/>
          </w:tcPr>
          <w:p w:rsidRPr="00DB5FA3" w:rsidR="00753549" w:rsidP="00D10A3E" w:rsidRDefault="00753549" w14:paraId="22D31194" w14:textId="0909C830">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3</w:t>
            </w:r>
            <w:r w:rsidRPr="00DB5FA3">
              <w:rPr>
                <w:rFonts w:eastAsia="Times New Roman" w:cs="Segoe UI"/>
                <w:color w:val="171717"/>
                <w:sz w:val="16"/>
                <w:szCs w:val="16"/>
              </w:rPr>
              <w:t>00</w:t>
            </w:r>
            <w:r>
              <w:rPr>
                <w:rFonts w:eastAsia="Times New Roman" w:cs="Segoe UI"/>
                <w:color w:val="171717"/>
                <w:sz w:val="16"/>
                <w:szCs w:val="16"/>
              </w:rPr>
              <w:t xml:space="preserve"> - 400</w:t>
            </w:r>
          </w:p>
        </w:tc>
      </w:tr>
      <w:tr w:rsidRPr="00463DDE" w:rsidR="00753549" w:rsidTr="0019563B" w14:paraId="76D13FBA" w14:textId="3DC4B31C">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311B970C"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367355E2" w14:textId="5D178934">
            <w:pPr>
              <w:autoSpaceDN/>
              <w:spacing w:line="240" w:lineRule="auto"/>
              <w:textAlignment w:val="auto"/>
              <w:rPr>
                <w:rFonts w:eastAsia="Times New Roman" w:cs="Segoe UI"/>
                <w:color w:val="171717"/>
                <w:sz w:val="16"/>
                <w:szCs w:val="16"/>
              </w:rPr>
            </w:pPr>
            <w:r w:rsidRPr="00DB5FA3">
              <w:rPr>
                <w:rFonts w:eastAsia="Times New Roman" w:cs="Segoe UI"/>
                <w:color w:val="171717"/>
                <w:sz w:val="16"/>
                <w:szCs w:val="16"/>
              </w:rPr>
              <w:t>Drempel 30% EBITDA</w:t>
            </w:r>
          </w:p>
        </w:tc>
        <w:tc>
          <w:tcPr>
            <w:tcW w:w="2656" w:type="pct"/>
            <w:shd w:val="clear" w:color="auto" w:fill="00B050"/>
          </w:tcPr>
          <w:p w:rsidRPr="00DB5FA3" w:rsidR="00753549" w:rsidP="00D10A3E" w:rsidRDefault="00753549" w14:paraId="4A4FFD84" w14:textId="2F03C772">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b/>
                <w:bCs/>
                <w:color w:val="171717"/>
                <w:sz w:val="16"/>
                <w:szCs w:val="16"/>
              </w:rPr>
              <w:t>Positief</w:t>
            </w:r>
          </w:p>
        </w:tc>
        <w:tc>
          <w:tcPr>
            <w:tcW w:w="962" w:type="pct"/>
            <w:hideMark/>
          </w:tcPr>
          <w:p w:rsidRPr="00DB5FA3" w:rsidR="00753549" w:rsidP="00D10A3E" w:rsidRDefault="00753549" w14:paraId="01B2A319" w14:textId="1D7AEC88">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4</w:t>
            </w:r>
            <w:r w:rsidRPr="00DB5FA3">
              <w:rPr>
                <w:rFonts w:eastAsia="Times New Roman" w:cs="Segoe UI"/>
                <w:color w:val="171717"/>
                <w:sz w:val="16"/>
                <w:szCs w:val="16"/>
              </w:rPr>
              <w:t>00</w:t>
            </w:r>
          </w:p>
        </w:tc>
      </w:tr>
      <w:tr w:rsidRPr="00463DDE" w:rsidR="0019563B" w:rsidTr="0019563B" w14:paraId="3DA2AC0E" w14:textId="77777777">
        <w:trPr>
          <w:trHeight w:val="408"/>
        </w:trPr>
        <w:tc>
          <w:tcPr>
            <w:cnfStyle w:val="001000000000" w:firstRow="0" w:lastRow="0" w:firstColumn="1" w:lastColumn="0" w:oddVBand="0" w:evenVBand="0" w:oddHBand="0" w:evenHBand="0" w:firstRowFirstColumn="0" w:firstRowLastColumn="0" w:lastRowFirstColumn="0" w:lastRowLastColumn="0"/>
            <w:tcW w:w="1382" w:type="pct"/>
          </w:tcPr>
          <w:p w:rsidR="0019563B" w:rsidP="0019563B" w:rsidRDefault="0019563B" w14:paraId="07895308"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0019563B" w:rsidP="0019563B" w:rsidRDefault="0019563B" w14:paraId="59444DB1" w14:textId="1F8467D1">
            <w:pPr>
              <w:autoSpaceDN/>
              <w:spacing w:line="240" w:lineRule="auto"/>
              <w:textAlignment w:val="auto"/>
              <w:rPr>
                <w:rFonts w:eastAsia="Times New Roman" w:cs="Segoe UI"/>
                <w:b/>
                <w:bCs/>
                <w:color w:val="171717"/>
                <w:sz w:val="16"/>
                <w:szCs w:val="16"/>
              </w:rPr>
            </w:pPr>
            <w:r w:rsidRPr="00DB5FA3">
              <w:rPr>
                <w:rFonts w:eastAsia="Times New Roman" w:cs="Segoe UI"/>
                <w:color w:val="171717"/>
                <w:sz w:val="16"/>
                <w:szCs w:val="16"/>
              </w:rPr>
              <w:t xml:space="preserve">Drempel </w:t>
            </w:r>
            <w:r>
              <w:rPr>
                <w:rFonts w:eastAsia="Times New Roman" w:cs="Segoe UI"/>
                <w:color w:val="171717"/>
                <w:sz w:val="16"/>
                <w:szCs w:val="16"/>
              </w:rPr>
              <w:t xml:space="preserve">naar € 3mln en </w:t>
            </w:r>
            <w:r w:rsidRPr="00DB5FA3">
              <w:rPr>
                <w:rFonts w:eastAsia="Times New Roman" w:cs="Segoe UI"/>
                <w:color w:val="171717"/>
                <w:sz w:val="16"/>
                <w:szCs w:val="16"/>
              </w:rPr>
              <w:t>30% EBITDA</w:t>
            </w:r>
          </w:p>
        </w:tc>
        <w:tc>
          <w:tcPr>
            <w:tcW w:w="2656" w:type="pct"/>
            <w:shd w:val="clear" w:color="auto" w:fill="00B050"/>
          </w:tcPr>
          <w:p w:rsidR="0019563B" w:rsidP="00D10A3E" w:rsidRDefault="0019563B" w14:paraId="2C656847" w14:textId="4579F712">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Positief</w:t>
            </w:r>
          </w:p>
        </w:tc>
        <w:tc>
          <w:tcPr>
            <w:tcW w:w="962" w:type="pct"/>
          </w:tcPr>
          <w:p w:rsidR="0019563B" w:rsidP="00D10A3E" w:rsidRDefault="0019563B" w14:paraId="495E31A0" w14:textId="0562B5F2">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600 - 700</w:t>
            </w:r>
          </w:p>
        </w:tc>
      </w:tr>
      <w:tr w:rsidRPr="00463DDE" w:rsidR="00753549" w:rsidTr="0019563B" w14:paraId="28870056" w14:textId="3E051F96">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0A7E6913"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5486C159" w14:textId="0DE1E5AE">
            <w:pPr>
              <w:autoSpaceDN/>
              <w:spacing w:line="240" w:lineRule="auto"/>
              <w:textAlignment w:val="auto"/>
              <w:rPr>
                <w:rFonts w:eastAsia="Times New Roman" w:cs="Segoe UI"/>
                <w:color w:val="171717"/>
                <w:sz w:val="16"/>
                <w:szCs w:val="16"/>
              </w:rPr>
            </w:pPr>
            <w:r>
              <w:rPr>
                <w:rFonts w:eastAsia="Times New Roman" w:cs="Segoe UI"/>
                <w:color w:val="171717"/>
                <w:sz w:val="16"/>
                <w:szCs w:val="16"/>
              </w:rPr>
              <w:t>Publiek belang</w:t>
            </w:r>
          </w:p>
        </w:tc>
        <w:tc>
          <w:tcPr>
            <w:tcW w:w="2656" w:type="pct"/>
            <w:shd w:val="clear" w:color="auto" w:fill="00B050"/>
          </w:tcPr>
          <w:p w:rsidRPr="00612E49" w:rsidR="00753549" w:rsidP="00D10A3E" w:rsidRDefault="00753549" w14:paraId="79A1A6F9" w14:textId="4FE82DFC">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Positief</w:t>
            </w:r>
            <w:r w:rsidR="0019563B">
              <w:rPr>
                <w:rFonts w:eastAsia="Times New Roman" w:cs="Segoe UI"/>
                <w:b/>
                <w:bCs/>
                <w:color w:val="171717"/>
                <w:sz w:val="16"/>
                <w:szCs w:val="16"/>
              </w:rPr>
              <w:t>, maar nationale maatregelen genomen.</w:t>
            </w:r>
          </w:p>
        </w:tc>
        <w:tc>
          <w:tcPr>
            <w:tcW w:w="962" w:type="pct"/>
            <w:hideMark/>
          </w:tcPr>
          <w:p w:rsidRPr="00DB5FA3" w:rsidR="00753549" w:rsidP="00D10A3E" w:rsidRDefault="0019563B" w14:paraId="50B45A0F" w14:textId="28395B1D">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0</w:t>
            </w:r>
          </w:p>
        </w:tc>
      </w:tr>
      <w:tr w:rsidRPr="00463DDE" w:rsidR="00753549" w:rsidTr="0019563B" w14:paraId="5742D252" w14:textId="4D782A45">
        <w:trPr>
          <w:trHeight w:val="1114"/>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2E91BCD8"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5E24B716" w14:textId="77777777">
            <w:pPr>
              <w:autoSpaceDN/>
              <w:spacing w:line="240" w:lineRule="auto"/>
              <w:textAlignment w:val="auto"/>
              <w:rPr>
                <w:rFonts w:eastAsia="Times New Roman" w:cs="Segoe UI"/>
                <w:color w:val="171717"/>
                <w:sz w:val="16"/>
                <w:szCs w:val="16"/>
              </w:rPr>
            </w:pPr>
            <w:r w:rsidRPr="00DB5FA3">
              <w:rPr>
                <w:rFonts w:eastAsia="Times New Roman" w:cs="Segoe UI"/>
                <w:color w:val="171717"/>
                <w:sz w:val="16"/>
                <w:szCs w:val="16"/>
              </w:rPr>
              <w:t>Uitzondering derde leningen</w:t>
            </w:r>
          </w:p>
        </w:tc>
        <w:tc>
          <w:tcPr>
            <w:tcW w:w="2656" w:type="pct"/>
            <w:shd w:val="clear" w:color="auto" w:fill="FF0000"/>
          </w:tcPr>
          <w:p w:rsidR="00753549" w:rsidP="00D10A3E" w:rsidRDefault="00753549" w14:paraId="65BD2529" w14:textId="77777777">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sidRPr="00123BDF">
              <w:rPr>
                <w:rFonts w:eastAsia="Times New Roman" w:cs="Segoe UI"/>
                <w:b/>
                <w:bCs/>
                <w:color w:val="171717"/>
                <w:sz w:val="16"/>
                <w:szCs w:val="16"/>
              </w:rPr>
              <w:t xml:space="preserve">Geen voorstander van </w:t>
            </w:r>
            <w:r>
              <w:rPr>
                <w:rFonts w:eastAsia="Times New Roman" w:cs="Segoe UI"/>
                <w:b/>
                <w:bCs/>
                <w:color w:val="171717"/>
                <w:sz w:val="16"/>
                <w:szCs w:val="16"/>
              </w:rPr>
              <w:t xml:space="preserve">nieuwe, verplichte uitzonderingen </w:t>
            </w:r>
          </w:p>
          <w:p w:rsidRPr="00277B9E" w:rsidR="00277B9E" w:rsidP="00D10A3E" w:rsidRDefault="00277B9E" w14:paraId="23FA9FD6" w14:textId="67044EB0">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Mogelijke heroverweging wanneer de baten groter zijn dan de kosten (inclusief dekking)</w:t>
            </w:r>
          </w:p>
        </w:tc>
        <w:tc>
          <w:tcPr>
            <w:tcW w:w="962" w:type="pct"/>
            <w:hideMark/>
          </w:tcPr>
          <w:p w:rsidRPr="00DB5FA3" w:rsidR="00753549" w:rsidP="00D10A3E" w:rsidRDefault="00F9760B" w14:paraId="4190AAA6" w14:textId="636CF82E">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1.300</w:t>
            </w:r>
          </w:p>
        </w:tc>
      </w:tr>
      <w:tr w:rsidRPr="00463DDE" w:rsidR="00753549" w:rsidTr="0019563B" w14:paraId="5E4A39E5" w14:textId="450B54F6">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28067420"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398B84EE" w14:textId="77777777">
            <w:pPr>
              <w:autoSpaceDN/>
              <w:spacing w:line="240" w:lineRule="auto"/>
              <w:textAlignment w:val="auto"/>
              <w:rPr>
                <w:rFonts w:eastAsia="Times New Roman" w:cs="Segoe UI"/>
                <w:color w:val="171717"/>
                <w:sz w:val="16"/>
                <w:szCs w:val="16"/>
              </w:rPr>
            </w:pPr>
            <w:r w:rsidRPr="00DB5FA3">
              <w:rPr>
                <w:rFonts w:eastAsia="Times New Roman" w:cs="Segoe UI"/>
                <w:color w:val="171717"/>
                <w:sz w:val="16"/>
                <w:szCs w:val="16"/>
              </w:rPr>
              <w:t>Groepsuitzondering</w:t>
            </w:r>
          </w:p>
        </w:tc>
        <w:tc>
          <w:tcPr>
            <w:tcW w:w="2656" w:type="pct"/>
            <w:shd w:val="clear" w:color="auto" w:fill="FF0000"/>
          </w:tcPr>
          <w:p w:rsidR="00753549" w:rsidP="00D10A3E" w:rsidRDefault="00753549" w14:paraId="30E72CA0" w14:textId="77777777">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Geen voorstander van verplichte uitzondering</w:t>
            </w:r>
          </w:p>
          <w:p w:rsidRPr="00ED64DF" w:rsidR="00277B9E" w:rsidP="00D10A3E" w:rsidRDefault="00277B9E" w14:paraId="09CEA65A" w14:textId="2FA7D19D">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color w:val="171717"/>
                <w:sz w:val="16"/>
                <w:szCs w:val="16"/>
              </w:rPr>
              <w:t>Mogelijke heroverweging wanneer de baten groter zijn dan de kosten (inclusief dekking)</w:t>
            </w:r>
          </w:p>
        </w:tc>
        <w:tc>
          <w:tcPr>
            <w:tcW w:w="962" w:type="pct"/>
            <w:hideMark/>
          </w:tcPr>
          <w:p w:rsidRPr="00DB5FA3" w:rsidR="00753549" w:rsidP="00D10A3E" w:rsidRDefault="00753549" w14:paraId="387782F1" w14:textId="06289277">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500 – 1.000</w:t>
            </w:r>
          </w:p>
        </w:tc>
      </w:tr>
      <w:tr w:rsidRPr="00463DDE" w:rsidR="00753549" w:rsidTr="0019563B" w14:paraId="2CC4E630" w14:textId="77777777">
        <w:trPr>
          <w:trHeight w:val="408"/>
        </w:trPr>
        <w:tc>
          <w:tcPr>
            <w:cnfStyle w:val="001000000000" w:firstRow="0" w:lastRow="0" w:firstColumn="1" w:lastColumn="0" w:oddVBand="0" w:evenVBand="0" w:oddHBand="0" w:evenHBand="0" w:firstRowFirstColumn="0" w:firstRowLastColumn="0" w:lastRowFirstColumn="0" w:lastRowLastColumn="0"/>
            <w:tcW w:w="1382" w:type="pct"/>
          </w:tcPr>
          <w:p w:rsidR="00753549" w:rsidP="00D10A3E" w:rsidRDefault="00753549" w14:paraId="1AA1B84F"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00753549" w:rsidP="00D10A3E" w:rsidRDefault="00753549" w14:paraId="45D12CD5" w14:textId="38183040">
            <w:pPr>
              <w:autoSpaceDN/>
              <w:spacing w:line="240" w:lineRule="auto"/>
              <w:textAlignment w:val="auto"/>
              <w:rPr>
                <w:rFonts w:eastAsia="Times New Roman" w:cs="Segoe UI"/>
                <w:color w:val="171717"/>
                <w:sz w:val="16"/>
                <w:szCs w:val="16"/>
              </w:rPr>
            </w:pPr>
            <w:r>
              <w:rPr>
                <w:rFonts w:eastAsia="Times New Roman" w:cs="Segoe UI"/>
                <w:color w:val="171717"/>
                <w:sz w:val="16"/>
                <w:szCs w:val="16"/>
              </w:rPr>
              <w:t>Volledige aftrek bij EBITDA-daling</w:t>
            </w:r>
          </w:p>
        </w:tc>
        <w:tc>
          <w:tcPr>
            <w:tcW w:w="2656" w:type="pct"/>
            <w:shd w:val="clear" w:color="auto" w:fill="FF0000"/>
          </w:tcPr>
          <w:p w:rsidR="00753549" w:rsidP="00D10A3E" w:rsidRDefault="00753549" w14:paraId="1B764A68" w14:textId="77777777">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sidRPr="00123BDF">
              <w:rPr>
                <w:rFonts w:eastAsia="Times New Roman" w:cs="Segoe UI"/>
                <w:b/>
                <w:bCs/>
                <w:color w:val="171717"/>
                <w:sz w:val="16"/>
                <w:szCs w:val="16"/>
              </w:rPr>
              <w:t xml:space="preserve">Geen voorstander van </w:t>
            </w:r>
            <w:r>
              <w:rPr>
                <w:rFonts w:eastAsia="Times New Roman" w:cs="Segoe UI"/>
                <w:b/>
                <w:bCs/>
                <w:color w:val="171717"/>
                <w:sz w:val="16"/>
                <w:szCs w:val="16"/>
              </w:rPr>
              <w:t xml:space="preserve">nieuwe, verplichte uitzonderingen </w:t>
            </w:r>
          </w:p>
          <w:p w:rsidRPr="00123BDF" w:rsidR="00277B9E" w:rsidP="00D10A3E" w:rsidRDefault="00277B9E" w14:paraId="04B1B7A2" w14:textId="241127E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color w:val="171717"/>
                <w:sz w:val="16"/>
                <w:szCs w:val="16"/>
              </w:rPr>
              <w:t>Mogelijke heroverweging wanneer de baten groter zijn dan de kosten (inclusief dekking)</w:t>
            </w:r>
          </w:p>
        </w:tc>
        <w:tc>
          <w:tcPr>
            <w:tcW w:w="962" w:type="pct"/>
          </w:tcPr>
          <w:p w:rsidRPr="00DB5FA3" w:rsidR="00753549" w:rsidP="00D10A3E" w:rsidRDefault="00F9760B" w14:paraId="30DE6392" w14:textId="3B6F0F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300</w:t>
            </w:r>
          </w:p>
        </w:tc>
      </w:tr>
      <w:tr w:rsidRPr="00463DDE" w:rsidR="00753549" w:rsidTr="0019563B" w14:paraId="67FADC24" w14:textId="1B655B5E">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hideMark/>
          </w:tcPr>
          <w:p w:rsidR="00753549" w:rsidP="00D10A3E" w:rsidRDefault="00753549" w14:paraId="49286985"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DB5FA3" w:rsidR="00753549" w:rsidP="00D10A3E" w:rsidRDefault="00753549" w14:paraId="609BF6F5" w14:textId="55585511">
            <w:pPr>
              <w:autoSpaceDN/>
              <w:spacing w:line="240" w:lineRule="auto"/>
              <w:textAlignment w:val="auto"/>
              <w:rPr>
                <w:rFonts w:eastAsia="Times New Roman" w:cs="Segoe UI"/>
                <w:color w:val="171717"/>
                <w:sz w:val="16"/>
                <w:szCs w:val="16"/>
              </w:rPr>
            </w:pPr>
            <w:r>
              <w:rPr>
                <w:rFonts w:eastAsia="Times New Roman" w:cs="Segoe UI"/>
                <w:color w:val="171717"/>
                <w:sz w:val="16"/>
                <w:szCs w:val="16"/>
              </w:rPr>
              <w:t>Tijdelijk</w:t>
            </w:r>
            <w:r w:rsidRPr="00DB5FA3">
              <w:rPr>
                <w:rFonts w:eastAsia="Times New Roman" w:cs="Segoe UI"/>
                <w:color w:val="171717"/>
                <w:sz w:val="16"/>
                <w:szCs w:val="16"/>
              </w:rPr>
              <w:t>e</w:t>
            </w:r>
            <w:r>
              <w:rPr>
                <w:rFonts w:eastAsia="Times New Roman" w:cs="Segoe UI"/>
                <w:color w:val="171717"/>
                <w:sz w:val="16"/>
                <w:szCs w:val="16"/>
              </w:rPr>
              <w:t xml:space="preserve"> defensie-uitzondering</w:t>
            </w:r>
          </w:p>
        </w:tc>
        <w:tc>
          <w:tcPr>
            <w:tcW w:w="2656" w:type="pct"/>
            <w:shd w:val="clear" w:color="auto" w:fill="FF0000"/>
          </w:tcPr>
          <w:p w:rsidR="00277B9E" w:rsidP="00D10A3E" w:rsidRDefault="00277B9E" w14:paraId="021CA09E" w14:textId="07B8DB79">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Tijdelijke, sectorale uitzondering zou een zeer grote impact op de uitvoering hebben.</w:t>
            </w:r>
          </w:p>
          <w:p w:rsidRPr="00DB5FA3" w:rsidR="00753549" w:rsidP="00D10A3E" w:rsidRDefault="00753549" w14:paraId="766AF9CC" w14:textId="09BA51FB">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p>
        </w:tc>
        <w:tc>
          <w:tcPr>
            <w:tcW w:w="962" w:type="pct"/>
            <w:hideMark/>
          </w:tcPr>
          <w:p w:rsidRPr="00DB5FA3" w:rsidR="00753549" w:rsidP="00D10A3E" w:rsidRDefault="00753549" w14:paraId="5A5DFD01" w14:textId="6A6E1EC9">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Ni</w:t>
            </w:r>
            <w:r w:rsidR="005E63F6">
              <w:rPr>
                <w:rFonts w:eastAsia="Times New Roman" w:cs="Segoe UI"/>
                <w:color w:val="171717"/>
                <w:sz w:val="16"/>
                <w:szCs w:val="16"/>
              </w:rPr>
              <w:t>et te ramen</w:t>
            </w:r>
          </w:p>
        </w:tc>
      </w:tr>
      <w:tr w:rsidRPr="00463DDE" w:rsidR="00C366FD" w:rsidTr="0019563B" w14:paraId="0CCB0240" w14:textId="77777777">
        <w:trPr>
          <w:trHeight w:val="408"/>
        </w:trPr>
        <w:tc>
          <w:tcPr>
            <w:cnfStyle w:val="001000000000" w:firstRow="0" w:lastRow="0" w:firstColumn="1" w:lastColumn="0" w:oddVBand="0" w:evenVBand="0" w:oddHBand="0" w:evenHBand="0" w:firstRowFirstColumn="0" w:firstRowLastColumn="0" w:lastRowFirstColumn="0" w:lastRowLastColumn="0"/>
            <w:tcW w:w="1382" w:type="pct"/>
          </w:tcPr>
          <w:p w:rsidR="00C366FD" w:rsidP="00D10A3E" w:rsidRDefault="00C366FD" w14:paraId="14BC3070"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Pr="00204774" w:rsidR="00C366FD" w:rsidP="00D10A3E" w:rsidRDefault="00C366FD" w14:paraId="2CE6BD85" w14:textId="6A0E668A">
            <w:pPr>
              <w:autoSpaceDN/>
              <w:spacing w:line="240" w:lineRule="auto"/>
              <w:textAlignment w:val="auto"/>
              <w:rPr>
                <w:rFonts w:eastAsia="Times New Roman" w:cs="Segoe UI"/>
                <w:color w:val="171717"/>
                <w:sz w:val="16"/>
                <w:szCs w:val="16"/>
              </w:rPr>
            </w:pPr>
            <w:r>
              <w:rPr>
                <w:rFonts w:eastAsia="Times New Roman" w:cs="Segoe UI"/>
                <w:color w:val="171717"/>
                <w:sz w:val="16"/>
                <w:szCs w:val="16"/>
              </w:rPr>
              <w:t>Drempel naar € 3 mln., 30% EBITDA en groepsuitzondering</w:t>
            </w:r>
          </w:p>
        </w:tc>
        <w:tc>
          <w:tcPr>
            <w:tcW w:w="2656" w:type="pct"/>
            <w:shd w:val="clear" w:color="auto" w:fill="FF0000"/>
          </w:tcPr>
          <w:p w:rsidR="00C366FD" w:rsidP="00D10A3E" w:rsidRDefault="00374A15" w14:paraId="2B016B03" w14:textId="1C3AF4D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In beginsel geen voorstander van verplichte uitzonderingen</w:t>
            </w:r>
          </w:p>
        </w:tc>
        <w:tc>
          <w:tcPr>
            <w:tcW w:w="962" w:type="pct"/>
          </w:tcPr>
          <w:p w:rsidR="00C366FD" w:rsidP="00D10A3E" w:rsidRDefault="00C366FD" w14:paraId="707327CE" w14:textId="3322CBF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1.000 – 1.600</w:t>
            </w:r>
          </w:p>
        </w:tc>
      </w:tr>
      <w:tr w:rsidRPr="00463DDE" w:rsidR="00C366FD" w:rsidTr="0019563B" w14:paraId="11ECB968" w14:textId="7777777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tcPr>
          <w:p w:rsidR="00C366FD" w:rsidP="00C366FD" w:rsidRDefault="00C366FD" w14:paraId="68E6E6FE"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ATAD-renteaftrekbeperking</w:t>
            </w:r>
          </w:p>
          <w:p w:rsidR="00C366FD" w:rsidP="00C366FD" w:rsidRDefault="00C366FD" w14:paraId="5137A368" w14:textId="43BB2344">
            <w:pPr>
              <w:autoSpaceDN/>
              <w:spacing w:line="240" w:lineRule="auto"/>
              <w:textAlignment w:val="auto"/>
              <w:rPr>
                <w:rFonts w:eastAsia="Times New Roman" w:cs="Segoe UI"/>
                <w:b/>
                <w:bCs/>
                <w:color w:val="171717"/>
                <w:sz w:val="16"/>
                <w:szCs w:val="16"/>
              </w:rPr>
            </w:pPr>
            <w:r>
              <w:rPr>
                <w:rFonts w:eastAsia="Times New Roman" w:cs="Segoe UI"/>
                <w:color w:val="171717"/>
                <w:sz w:val="16"/>
                <w:szCs w:val="16"/>
              </w:rPr>
              <w:t>Drempel naar € 3 mln., 30% EBITDA, groepsuitzondering, uitzondering derde leningen en volledige aftrek bij EBITDA-daling</w:t>
            </w:r>
          </w:p>
        </w:tc>
        <w:tc>
          <w:tcPr>
            <w:tcW w:w="2656" w:type="pct"/>
            <w:shd w:val="clear" w:color="auto" w:fill="FF0000"/>
          </w:tcPr>
          <w:p w:rsidR="00C366FD" w:rsidP="00D10A3E" w:rsidRDefault="00374A15" w14:paraId="5E84A785" w14:textId="1CD01BC6">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Geen voorstander van verplichte uitzonderingen en de stapeling van uitzonderingen.</w:t>
            </w:r>
          </w:p>
        </w:tc>
        <w:tc>
          <w:tcPr>
            <w:tcW w:w="962" w:type="pct"/>
          </w:tcPr>
          <w:p w:rsidR="00C366FD" w:rsidP="00D10A3E" w:rsidRDefault="00C366FD" w14:paraId="221B71E2" w14:textId="1903B092">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1.500 – 2.500</w:t>
            </w:r>
          </w:p>
        </w:tc>
      </w:tr>
      <w:tr w:rsidRPr="00E5497F" w:rsidR="00753549" w:rsidTr="0019563B" w14:paraId="7D687CE5" w14:textId="77777777">
        <w:trPr>
          <w:trHeight w:val="408"/>
        </w:trPr>
        <w:tc>
          <w:tcPr>
            <w:cnfStyle w:val="001000000000" w:firstRow="0" w:lastRow="0" w:firstColumn="1" w:lastColumn="0" w:oddVBand="0" w:evenVBand="0" w:oddHBand="0" w:evenHBand="0" w:firstRowFirstColumn="0" w:firstRowLastColumn="0" w:lastRowFirstColumn="0" w:lastRowLastColumn="0"/>
            <w:tcW w:w="1382" w:type="pct"/>
          </w:tcPr>
          <w:p w:rsidRPr="00F24627" w:rsidR="00753549" w:rsidP="00D10A3E" w:rsidRDefault="00753549" w14:paraId="2E64DD59" w14:textId="6A16CC72">
            <w:pPr>
              <w:autoSpaceDN/>
              <w:spacing w:line="240" w:lineRule="auto"/>
              <w:textAlignment w:val="auto"/>
              <w:rPr>
                <w:rFonts w:eastAsia="Times New Roman" w:cs="Segoe UI"/>
                <w:b/>
                <w:bCs/>
                <w:i w:val="0"/>
                <w:iCs w:val="0"/>
                <w:color w:val="171717"/>
                <w:sz w:val="16"/>
                <w:szCs w:val="16"/>
              </w:rPr>
            </w:pPr>
            <w:r w:rsidRPr="00F24627">
              <w:rPr>
                <w:rFonts w:eastAsia="Times New Roman" w:cs="Segoe UI"/>
                <w:b/>
                <w:bCs/>
                <w:color w:val="171717"/>
                <w:sz w:val="16"/>
                <w:szCs w:val="16"/>
              </w:rPr>
              <w:t>ATAD-CFC</w:t>
            </w:r>
          </w:p>
          <w:p w:rsidRPr="00E5497F" w:rsidR="00753549" w:rsidP="00D10A3E" w:rsidRDefault="00753549" w14:paraId="2F90F570" w14:textId="044D7CBE">
            <w:pPr>
              <w:autoSpaceDN/>
              <w:spacing w:line="240" w:lineRule="auto"/>
              <w:textAlignment w:val="auto"/>
              <w:rPr>
                <w:rFonts w:eastAsia="Times New Roman" w:cs="Segoe UI"/>
                <w:color w:val="171717"/>
                <w:sz w:val="16"/>
                <w:szCs w:val="16"/>
              </w:rPr>
            </w:pPr>
            <w:r w:rsidRPr="00E5497F">
              <w:rPr>
                <w:rFonts w:eastAsia="Times New Roman" w:cs="Segoe UI"/>
                <w:color w:val="171717"/>
                <w:sz w:val="16"/>
                <w:szCs w:val="16"/>
              </w:rPr>
              <w:t>Model A + uitzondering P2 en</w:t>
            </w:r>
            <w:r>
              <w:rPr>
                <w:rFonts w:eastAsia="Times New Roman" w:cs="Segoe UI"/>
                <w:color w:val="171717"/>
                <w:sz w:val="16"/>
                <w:szCs w:val="16"/>
              </w:rPr>
              <w:t xml:space="preserve"> mkb</w:t>
            </w:r>
          </w:p>
        </w:tc>
        <w:tc>
          <w:tcPr>
            <w:tcW w:w="2656" w:type="pct"/>
            <w:shd w:val="clear" w:color="auto" w:fill="FFC000"/>
          </w:tcPr>
          <w:p w:rsidR="00753549" w:rsidP="00D10A3E" w:rsidRDefault="00753549" w14:paraId="4BA0F442" w14:textId="3500053C">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Neutraal</w:t>
            </w:r>
            <w:r w:rsidR="00F9760B">
              <w:rPr>
                <w:rFonts w:eastAsia="Times New Roman" w:cs="Segoe UI"/>
                <w:b/>
                <w:bCs/>
                <w:color w:val="171717"/>
                <w:sz w:val="16"/>
                <w:szCs w:val="16"/>
              </w:rPr>
              <w:t xml:space="preserve">. </w:t>
            </w:r>
          </w:p>
          <w:p w:rsidRPr="00C2021D" w:rsidR="00753549" w:rsidP="00D10A3E" w:rsidRDefault="00753549" w14:paraId="67249537" w14:textId="4E64DAA4">
            <w:pPr>
              <w:ind w:firstLine="708"/>
              <w:cnfStyle w:val="000000000000" w:firstRow="0" w:lastRow="0" w:firstColumn="0" w:lastColumn="0" w:oddVBand="0" w:evenVBand="0" w:oddHBand="0" w:evenHBand="0" w:firstRowFirstColumn="0" w:firstRowLastColumn="0" w:lastRowFirstColumn="0" w:lastRowLastColumn="0"/>
              <w:rPr>
                <w:rFonts w:eastAsia="Times New Roman" w:cs="Segoe UI"/>
                <w:sz w:val="16"/>
                <w:szCs w:val="16"/>
              </w:rPr>
            </w:pPr>
          </w:p>
        </w:tc>
        <w:tc>
          <w:tcPr>
            <w:tcW w:w="962" w:type="pct"/>
          </w:tcPr>
          <w:p w:rsidRPr="00E5497F" w:rsidR="00753549" w:rsidP="00D10A3E" w:rsidRDefault="00753549" w14:paraId="017D3C6C" w14:textId="259A86AB">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Nihil/licht positief</w:t>
            </w:r>
          </w:p>
        </w:tc>
      </w:tr>
      <w:tr w:rsidRPr="00A51C66" w:rsidR="00753549" w:rsidTr="0019563B" w14:paraId="67149523" w14:textId="7777777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tcPr>
          <w:p w:rsidR="00753549" w:rsidP="00D10A3E" w:rsidRDefault="00753549" w14:paraId="1BAA5355" w14:textId="3017570C">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ATAD-R&amp;D-aftrek</w:t>
            </w:r>
          </w:p>
          <w:p w:rsidRPr="00A51C66" w:rsidR="00753549" w:rsidP="00D10A3E" w:rsidRDefault="00753549" w14:paraId="7C5EBFD9" w14:textId="77777777">
            <w:pPr>
              <w:autoSpaceDN/>
              <w:spacing w:line="240" w:lineRule="auto"/>
              <w:textAlignment w:val="auto"/>
              <w:rPr>
                <w:rFonts w:eastAsia="Times New Roman" w:cs="Segoe UI"/>
                <w:b/>
                <w:bCs/>
                <w:color w:val="171717"/>
                <w:sz w:val="16"/>
                <w:szCs w:val="16"/>
                <w:lang w:val="es-ES"/>
              </w:rPr>
            </w:pPr>
          </w:p>
        </w:tc>
        <w:tc>
          <w:tcPr>
            <w:tcW w:w="2656" w:type="pct"/>
            <w:shd w:val="clear" w:color="auto" w:fill="00B050"/>
          </w:tcPr>
          <w:p w:rsidRPr="00277B9E" w:rsidR="00753549" w:rsidP="00D10A3E" w:rsidRDefault="00753549" w14:paraId="59F2D8D3" w14:textId="6839F63E">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sidRPr="00277B9E">
              <w:rPr>
                <w:rFonts w:eastAsia="Times New Roman" w:cs="Segoe UI"/>
                <w:b/>
                <w:bCs/>
                <w:color w:val="171717"/>
                <w:sz w:val="16"/>
                <w:szCs w:val="16"/>
              </w:rPr>
              <w:t>Positief</w:t>
            </w:r>
          </w:p>
        </w:tc>
        <w:tc>
          <w:tcPr>
            <w:tcW w:w="962" w:type="pct"/>
          </w:tcPr>
          <w:p w:rsidRPr="00A51C66" w:rsidR="00753549" w:rsidP="00D10A3E" w:rsidRDefault="00F9760B" w14:paraId="5474ED32" w14:textId="7F800EA5">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 xml:space="preserve">300 – 400 </w:t>
            </w:r>
            <w:r w:rsidRPr="00F9760B">
              <w:rPr>
                <w:rFonts w:eastAsia="Times New Roman" w:cs="Segoe UI"/>
                <w:color w:val="171717"/>
                <w:sz w:val="16"/>
                <w:szCs w:val="16"/>
              </w:rPr>
              <w:t>die langzaam afneemt richting enkele miljoenen structureel.</w:t>
            </w:r>
          </w:p>
        </w:tc>
      </w:tr>
      <w:tr w:rsidRPr="00A51C66" w:rsidR="00277B9E" w:rsidTr="0019563B" w14:paraId="2B737069" w14:textId="77777777">
        <w:trPr>
          <w:trHeight w:val="408"/>
        </w:trPr>
        <w:tc>
          <w:tcPr>
            <w:cnfStyle w:val="001000000000" w:firstRow="0" w:lastRow="0" w:firstColumn="1" w:lastColumn="0" w:oddVBand="0" w:evenVBand="0" w:oddHBand="0" w:evenHBand="0" w:firstRowFirstColumn="0" w:firstRowLastColumn="0" w:lastRowFirstColumn="0" w:lastRowLastColumn="0"/>
            <w:tcW w:w="1382" w:type="pct"/>
          </w:tcPr>
          <w:p w:rsidR="00277B9E" w:rsidP="00D10A3E" w:rsidRDefault="00277B9E" w14:paraId="791E1044" w14:textId="77777777">
            <w:pPr>
              <w:autoSpaceDN/>
              <w:spacing w:line="240" w:lineRule="auto"/>
              <w:textAlignment w:val="auto"/>
              <w:rPr>
                <w:rFonts w:eastAsia="Times New Roman" w:cs="Segoe UI"/>
                <w:i w:val="0"/>
                <w:iCs w:val="0"/>
                <w:color w:val="171717"/>
                <w:sz w:val="16"/>
                <w:szCs w:val="16"/>
              </w:rPr>
            </w:pPr>
            <w:r>
              <w:rPr>
                <w:rFonts w:eastAsia="Times New Roman" w:cs="Segoe UI"/>
                <w:b/>
                <w:bCs/>
                <w:color w:val="171717"/>
                <w:sz w:val="16"/>
                <w:szCs w:val="16"/>
              </w:rPr>
              <w:t xml:space="preserve">ATAD </w:t>
            </w:r>
          </w:p>
          <w:p w:rsidRPr="00C2021D" w:rsidR="00277B9E" w:rsidP="00D10A3E" w:rsidRDefault="00277B9E" w14:paraId="23DA13D9" w14:textId="6EA6185B">
            <w:pPr>
              <w:autoSpaceDN/>
              <w:spacing w:line="240" w:lineRule="auto"/>
              <w:textAlignment w:val="auto"/>
              <w:rPr>
                <w:rFonts w:eastAsia="Times New Roman" w:cs="Segoe UI"/>
                <w:color w:val="171717"/>
                <w:sz w:val="16"/>
                <w:szCs w:val="16"/>
              </w:rPr>
            </w:pPr>
            <w:r>
              <w:rPr>
                <w:rFonts w:eastAsia="Times New Roman" w:cs="Segoe UI"/>
                <w:color w:val="171717"/>
                <w:sz w:val="16"/>
                <w:szCs w:val="16"/>
              </w:rPr>
              <w:t>Geen flankerende maatregelen</w:t>
            </w:r>
          </w:p>
        </w:tc>
        <w:tc>
          <w:tcPr>
            <w:tcW w:w="2656" w:type="pct"/>
            <w:shd w:val="clear" w:color="auto" w:fill="FF0000"/>
          </w:tcPr>
          <w:p w:rsidRPr="00277B9E" w:rsidR="00277B9E" w:rsidP="00D10A3E" w:rsidRDefault="00277B9E" w14:paraId="00383471" w14:textId="58234EEB">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b/>
                <w:bCs/>
                <w:color w:val="171717"/>
                <w:sz w:val="16"/>
                <w:szCs w:val="16"/>
              </w:rPr>
            </w:pPr>
            <w:r w:rsidRPr="00277B9E">
              <w:rPr>
                <w:rFonts w:eastAsia="Times New Roman" w:cs="Segoe UI"/>
                <w:b/>
                <w:bCs/>
                <w:color w:val="171717"/>
                <w:sz w:val="16"/>
                <w:szCs w:val="16"/>
              </w:rPr>
              <w:t>Negatief</w:t>
            </w:r>
          </w:p>
        </w:tc>
        <w:tc>
          <w:tcPr>
            <w:tcW w:w="962" w:type="pct"/>
          </w:tcPr>
          <w:p w:rsidR="00277B9E" w:rsidP="00D10A3E" w:rsidRDefault="00277B9E" w14:paraId="074086E8" w14:textId="1735AB87">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Niet te ramen</w:t>
            </w:r>
          </w:p>
        </w:tc>
      </w:tr>
      <w:tr w:rsidRPr="00A51C66" w:rsidR="00277B9E" w:rsidTr="0019563B" w14:paraId="4A6A7C6F" w14:textId="7777777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382" w:type="pct"/>
          </w:tcPr>
          <w:p w:rsidR="00277B9E" w:rsidP="00D10A3E" w:rsidRDefault="00277B9E" w14:paraId="2A830EB9" w14:textId="77777777">
            <w:pPr>
              <w:autoSpaceDN/>
              <w:spacing w:line="240" w:lineRule="auto"/>
              <w:textAlignment w:val="auto"/>
              <w:rPr>
                <w:rFonts w:eastAsia="Times New Roman" w:cs="Segoe UI"/>
                <w:b/>
                <w:bCs/>
                <w:i w:val="0"/>
                <w:iCs w:val="0"/>
                <w:color w:val="171717"/>
                <w:sz w:val="16"/>
                <w:szCs w:val="16"/>
              </w:rPr>
            </w:pPr>
            <w:r>
              <w:rPr>
                <w:rFonts w:eastAsia="Times New Roman" w:cs="Segoe UI"/>
                <w:b/>
                <w:bCs/>
                <w:color w:val="171717"/>
                <w:sz w:val="16"/>
                <w:szCs w:val="16"/>
              </w:rPr>
              <w:t>ATAD</w:t>
            </w:r>
          </w:p>
          <w:p w:rsidRPr="00277B9E" w:rsidR="00277B9E" w:rsidP="00D10A3E" w:rsidRDefault="00277B9E" w14:paraId="38961A82" w14:textId="4763DDA3">
            <w:pPr>
              <w:autoSpaceDN/>
              <w:spacing w:line="240" w:lineRule="auto"/>
              <w:textAlignment w:val="auto"/>
              <w:rPr>
                <w:rFonts w:eastAsia="Times New Roman" w:cs="Segoe UI"/>
                <w:color w:val="171717"/>
                <w:sz w:val="16"/>
                <w:szCs w:val="16"/>
              </w:rPr>
            </w:pPr>
            <w:r>
              <w:rPr>
                <w:rFonts w:eastAsia="Times New Roman" w:cs="Segoe UI"/>
                <w:color w:val="171717"/>
                <w:sz w:val="16"/>
                <w:szCs w:val="16"/>
              </w:rPr>
              <w:t>Geïmporteerde hybride mismatch</w:t>
            </w:r>
          </w:p>
        </w:tc>
        <w:tc>
          <w:tcPr>
            <w:tcW w:w="2656" w:type="pct"/>
            <w:shd w:val="clear" w:color="auto" w:fill="FF0000"/>
          </w:tcPr>
          <w:p w:rsidRPr="00277B9E" w:rsidR="00277B9E" w:rsidP="00D10A3E" w:rsidRDefault="00277B9E" w14:paraId="7183BEBF" w14:textId="104F4043">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b/>
                <w:bCs/>
                <w:color w:val="171717"/>
                <w:sz w:val="16"/>
                <w:szCs w:val="16"/>
              </w:rPr>
            </w:pPr>
            <w:r>
              <w:rPr>
                <w:rFonts w:eastAsia="Times New Roman" w:cs="Segoe UI"/>
                <w:b/>
                <w:bCs/>
                <w:color w:val="171717"/>
                <w:sz w:val="16"/>
                <w:szCs w:val="16"/>
              </w:rPr>
              <w:t>Negatief</w:t>
            </w:r>
          </w:p>
        </w:tc>
        <w:tc>
          <w:tcPr>
            <w:tcW w:w="962" w:type="pct"/>
          </w:tcPr>
          <w:p w:rsidR="00277B9E" w:rsidP="00D10A3E" w:rsidRDefault="00277B9E" w14:paraId="66399733" w14:textId="1E6F7BC4">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Segoe UI"/>
                <w:color w:val="171717"/>
                <w:sz w:val="16"/>
                <w:szCs w:val="16"/>
              </w:rPr>
            </w:pPr>
            <w:r>
              <w:rPr>
                <w:rFonts w:eastAsia="Times New Roman" w:cs="Segoe UI"/>
                <w:color w:val="171717"/>
                <w:sz w:val="16"/>
                <w:szCs w:val="16"/>
              </w:rPr>
              <w:t>Niet te ramen</w:t>
            </w:r>
          </w:p>
        </w:tc>
      </w:tr>
    </w:tbl>
    <w:p w:rsidR="0091227A" w:rsidP="00D10A3E" w:rsidRDefault="00D10A3E" w14:paraId="021B0698" w14:textId="1A407D08">
      <w:pPr>
        <w:spacing w:line="720" w:lineRule="auto"/>
        <w:rPr>
          <w:b/>
          <w:bCs/>
          <w:sz w:val="28"/>
          <w:szCs w:val="28"/>
        </w:rPr>
      </w:pPr>
      <w:r w:rsidRPr="00D10A3E">
        <w:rPr>
          <w:b/>
          <w:bCs/>
          <w:sz w:val="28"/>
          <w:szCs w:val="28"/>
        </w:rPr>
        <w:t>Tabel Omnibusrichtlijn Directe Belastingen</w:t>
      </w:r>
    </w:p>
    <w:p w:rsidR="0091227A" w:rsidRDefault="0091227A" w14:paraId="37096869" w14:textId="77777777">
      <w:pPr>
        <w:autoSpaceDN/>
        <w:spacing w:line="240" w:lineRule="atLeast"/>
        <w:textAlignment w:val="auto"/>
        <w:rPr>
          <w:b/>
          <w:bCs/>
          <w:sz w:val="28"/>
          <w:szCs w:val="28"/>
        </w:rPr>
      </w:pPr>
      <w:r>
        <w:rPr>
          <w:b/>
          <w:bCs/>
          <w:sz w:val="28"/>
          <w:szCs w:val="28"/>
        </w:rPr>
        <w:br w:type="page"/>
      </w:r>
    </w:p>
    <w:p w:rsidRPr="00204774" w:rsidR="0091227A" w:rsidP="00D10A3E" w:rsidRDefault="0091227A" w14:paraId="1E1E05E5" w14:textId="1D9FFFC1">
      <w:pPr>
        <w:spacing w:line="720" w:lineRule="auto"/>
        <w:rPr>
          <w:b/>
          <w:bCs/>
          <w:sz w:val="24"/>
          <w:szCs w:val="26"/>
        </w:rPr>
      </w:pPr>
      <w:r w:rsidRPr="00204774">
        <w:rPr>
          <w:b/>
          <w:bCs/>
          <w:sz w:val="24"/>
          <w:szCs w:val="26"/>
        </w:rPr>
        <w:lastRenderedPageBreak/>
        <w:t xml:space="preserve">Toelichting bij </w:t>
      </w:r>
      <w:r w:rsidRPr="00204774" w:rsidR="00E70E4F">
        <w:rPr>
          <w:b/>
          <w:bCs/>
          <w:sz w:val="24"/>
          <w:szCs w:val="26"/>
        </w:rPr>
        <w:t xml:space="preserve">de geraamde </w:t>
      </w:r>
      <w:r w:rsidRPr="00204774">
        <w:rPr>
          <w:b/>
          <w:bCs/>
          <w:sz w:val="24"/>
          <w:szCs w:val="26"/>
        </w:rPr>
        <w:t xml:space="preserve">budgettaire </w:t>
      </w:r>
      <w:r w:rsidR="00495E25">
        <w:rPr>
          <w:b/>
          <w:bCs/>
          <w:sz w:val="24"/>
          <w:szCs w:val="26"/>
        </w:rPr>
        <w:t>gevolgen</w:t>
      </w:r>
    </w:p>
    <w:p w:rsidR="00C366FD" w:rsidP="00C366FD" w:rsidRDefault="00495E25" w14:paraId="16E40767" w14:textId="0AD11761">
      <w:pPr>
        <w:spacing w:line="276" w:lineRule="auto"/>
        <w:rPr>
          <w:rFonts w:eastAsia="Aptos"/>
        </w:rPr>
      </w:pPr>
      <w:r>
        <w:rPr>
          <w:rFonts w:eastAsia="Aptos"/>
        </w:rPr>
        <w:t xml:space="preserve">De </w:t>
      </w:r>
      <w:r w:rsidR="0035476B">
        <w:rPr>
          <w:rFonts w:eastAsia="Aptos"/>
        </w:rPr>
        <w:t xml:space="preserve">in de tabel weergegeven </w:t>
      </w:r>
      <w:r>
        <w:rPr>
          <w:rFonts w:eastAsia="Aptos"/>
        </w:rPr>
        <w:t xml:space="preserve">budgettaire gevolgen van de Omnibus-maatregelen </w:t>
      </w:r>
      <w:r w:rsidRPr="00D478FB" w:rsidR="00C366FD">
        <w:rPr>
          <w:rFonts w:eastAsia="Aptos"/>
        </w:rPr>
        <w:t xml:space="preserve">zijn herijkt op basis van nieuwe inzichten ten opzichte van de eerste inschatting van het kabinet in het fiche. Het kabinet gaat bij de inschattingen uit van de gefaseerde planning voor de inwerkingtreding van de maatregelen, zoals gecommuniceerd door de Commissie. Dit betreft inwerkingtreding per 1 januari 2029, met uitzondering van de verhoging van de monetaire drempel in de generieke renteaftrekbeperking (inwerkingtreding per 1 januari 2032) en de voorgestelde aanpassingen in de </w:t>
      </w:r>
      <w:r w:rsidR="00C366FD">
        <w:rPr>
          <w:rFonts w:eastAsia="Aptos"/>
        </w:rPr>
        <w:t>MDR</w:t>
      </w:r>
      <w:r w:rsidRPr="00D478FB" w:rsidR="00C366FD">
        <w:rPr>
          <w:rFonts w:eastAsia="Aptos"/>
        </w:rPr>
        <w:t xml:space="preserve"> en de </w:t>
      </w:r>
      <w:r w:rsidR="00C366FD">
        <w:rPr>
          <w:rFonts w:eastAsia="Aptos"/>
        </w:rPr>
        <w:t>IRR</w:t>
      </w:r>
      <w:r w:rsidRPr="00D478FB" w:rsidR="00C366FD">
        <w:rPr>
          <w:rFonts w:eastAsia="Aptos"/>
        </w:rPr>
        <w:t xml:space="preserve"> (inwerkingtreding per 1 januari 2037).</w:t>
      </w:r>
      <w:r w:rsidR="00C366FD">
        <w:rPr>
          <w:rFonts w:eastAsia="Aptos"/>
        </w:rPr>
        <w:t xml:space="preserve"> </w:t>
      </w:r>
      <w:r w:rsidRPr="006F55D3" w:rsidR="00C366FD">
        <w:rPr>
          <w:rFonts w:eastAsia="Aptos"/>
        </w:rPr>
        <w:t xml:space="preserve">Bij een uitkomst waarbij de aanpassingen leiden tot een lagere inkomsten in </w:t>
      </w:r>
      <w:r w:rsidR="006F55D3">
        <w:rPr>
          <w:rFonts w:eastAsia="Aptos"/>
        </w:rPr>
        <w:t xml:space="preserve">een bepaald </w:t>
      </w:r>
      <w:r w:rsidRPr="006F55D3" w:rsidR="00C366FD">
        <w:rPr>
          <w:rFonts w:eastAsia="Aptos"/>
        </w:rPr>
        <w:t xml:space="preserve">domein, zal dit ook binnen het </w:t>
      </w:r>
      <w:r w:rsidRPr="006F55D3" w:rsidR="00374A15">
        <w:rPr>
          <w:rFonts w:eastAsia="Aptos"/>
        </w:rPr>
        <w:t xml:space="preserve">hetzelfde </w:t>
      </w:r>
      <w:r w:rsidRPr="006F55D3" w:rsidR="00C366FD">
        <w:rPr>
          <w:rFonts w:eastAsia="Aptos"/>
        </w:rPr>
        <w:t>domein worden gedekt. De invulling is afhankelijk van de specifieke uitkomst. Het kabinet zal op het moment dat er duidelijkheid is over een uiteindelijk akkoord inzichtelijk maken hoe dekking van kansrijke varianten er concreet uitziet.</w:t>
      </w:r>
    </w:p>
    <w:p w:rsidRPr="00D478FB" w:rsidR="00C366FD" w:rsidP="00C366FD" w:rsidRDefault="00C366FD" w14:paraId="44FCC8F1" w14:textId="77777777">
      <w:pPr>
        <w:spacing w:line="276" w:lineRule="auto"/>
        <w:rPr>
          <w:rFonts w:eastAsia="Aptos"/>
        </w:rPr>
      </w:pPr>
    </w:p>
    <w:p w:rsidRPr="00204774" w:rsidR="00C366FD" w:rsidP="00C366FD" w:rsidRDefault="00C366FD" w14:paraId="30B5AD2E" w14:textId="77777777">
      <w:pPr>
        <w:spacing w:line="276" w:lineRule="auto"/>
        <w:rPr>
          <w:rFonts w:eastAsia="Aptos"/>
          <w:b/>
          <w:bCs/>
          <w:u w:val="single"/>
        </w:rPr>
      </w:pPr>
      <w:r w:rsidRPr="00204774">
        <w:rPr>
          <w:rFonts w:eastAsia="Aptos"/>
          <w:b/>
          <w:bCs/>
          <w:u w:val="single"/>
        </w:rPr>
        <w:t>Afschaffing bezitsvereisten MDR</w:t>
      </w:r>
    </w:p>
    <w:p w:rsidR="00C366FD" w:rsidP="00C366FD" w:rsidRDefault="00C366FD" w14:paraId="44C17934" w14:textId="77777777">
      <w:pPr>
        <w:spacing w:line="276" w:lineRule="auto"/>
        <w:rPr>
          <w:rFonts w:eastAsia="Aptos"/>
        </w:rPr>
      </w:pPr>
      <w:r>
        <w:rPr>
          <w:rFonts w:eastAsia="Aptos"/>
        </w:rPr>
        <w:t>D</w:t>
      </w:r>
      <w:r w:rsidRPr="00D478FB">
        <w:rPr>
          <w:rFonts w:eastAsia="Aptos"/>
        </w:rPr>
        <w:t xml:space="preserve">e </w:t>
      </w:r>
      <w:r>
        <w:rPr>
          <w:rFonts w:eastAsia="Aptos"/>
        </w:rPr>
        <w:t xml:space="preserve">afschaffing van de bezitseis in de MDR heeft twee gevolgen. Enerzijds worden dividendbetalingen aan andere entiteiten, die voldoen aan de voorwaarden, vrijgesteld van dividendbelasting. Anderzijds worden inkomende dividenden vrijgesteld van vennootschapsbelasting. </w:t>
      </w:r>
    </w:p>
    <w:p w:rsidR="00C366FD" w:rsidP="00C366FD" w:rsidRDefault="00C366FD" w14:paraId="4D53A245" w14:textId="77777777">
      <w:pPr>
        <w:spacing w:line="276" w:lineRule="auto"/>
        <w:rPr>
          <w:rFonts w:eastAsia="Aptos"/>
        </w:rPr>
      </w:pPr>
    </w:p>
    <w:p w:rsidR="00C366FD" w:rsidP="00C366FD" w:rsidRDefault="00C366FD" w14:paraId="1C851DDD" w14:textId="524A1E18">
      <w:pPr>
        <w:spacing w:line="276" w:lineRule="auto"/>
        <w:rPr>
          <w:rFonts w:eastAsia="Aptos"/>
        </w:rPr>
      </w:pPr>
      <w:r w:rsidRPr="00D478FB">
        <w:rPr>
          <w:rFonts w:eastAsia="Aptos"/>
        </w:rPr>
        <w:t xml:space="preserve">Met betrekking tot de </w:t>
      </w:r>
      <w:r>
        <w:rPr>
          <w:rFonts w:eastAsia="Aptos"/>
        </w:rPr>
        <w:t xml:space="preserve">afschaffing van de bezitseis in de MDR gaat </w:t>
      </w:r>
      <w:r w:rsidRPr="00D478FB">
        <w:rPr>
          <w:rFonts w:eastAsia="Aptos"/>
        </w:rPr>
        <w:t>het bij de dividendbelasting om een structurele</w:t>
      </w:r>
      <w:r w:rsidR="005D35EF">
        <w:rPr>
          <w:rFonts w:eastAsia="Aptos"/>
        </w:rPr>
        <w:t xml:space="preserve"> jaarlijkse</w:t>
      </w:r>
      <w:r w:rsidRPr="00D478FB">
        <w:rPr>
          <w:rFonts w:eastAsia="Aptos"/>
        </w:rPr>
        <w:t xml:space="preserve"> derving van tussen de </w:t>
      </w:r>
      <w:proofErr w:type="gramStart"/>
      <w:r w:rsidRPr="00D478FB">
        <w:rPr>
          <w:rFonts w:eastAsia="Aptos"/>
        </w:rPr>
        <w:t>circa</w:t>
      </w:r>
      <w:proofErr w:type="gramEnd"/>
      <w:r w:rsidRPr="00D478FB">
        <w:rPr>
          <w:rFonts w:eastAsia="Aptos"/>
        </w:rPr>
        <w:t xml:space="preserve"> € 2 miljard en de € 2,8 miljard per jaar vanaf 2037. Deze inschatting is hoger dan eerder gegeven, omdat de gedragseffecten waarschijnlijk hoger liggen dan eerder aangenomen.</w:t>
      </w:r>
      <w:r w:rsidR="00471610">
        <w:rPr>
          <w:rFonts w:eastAsia="Aptos"/>
        </w:rPr>
        <w:t xml:space="preserve"> Ten tijde van het fiche ging het kabinet nog niet uit van doorwerking richting derde landen, maar in de huidige raming neemt het kabinet deze doorwerking wel mee via het gedragseffect.</w:t>
      </w:r>
      <w:r w:rsidRPr="00D478FB">
        <w:rPr>
          <w:rFonts w:eastAsia="Aptos"/>
        </w:rPr>
        <w:t xml:space="preserve"> Hierbij is het eveneens aannemelijk dat de maatregel gepaard gaat met anticipatie effecten.</w:t>
      </w:r>
    </w:p>
    <w:p w:rsidRPr="00D478FB" w:rsidR="00C366FD" w:rsidP="00C366FD" w:rsidRDefault="00C366FD" w14:paraId="39D7773C" w14:textId="77777777">
      <w:pPr>
        <w:spacing w:line="276" w:lineRule="auto"/>
        <w:rPr>
          <w:rFonts w:eastAsia="Aptos"/>
        </w:rPr>
      </w:pPr>
    </w:p>
    <w:p w:rsidR="00C366FD" w:rsidP="00C366FD" w:rsidRDefault="00C366FD" w14:paraId="1A060B5F" w14:textId="4CED0FB1">
      <w:pPr>
        <w:spacing w:line="276" w:lineRule="auto"/>
        <w:rPr>
          <w:rFonts w:eastAsia="Aptos"/>
        </w:rPr>
      </w:pPr>
      <w:r w:rsidRPr="00D478FB">
        <w:rPr>
          <w:rFonts w:eastAsia="Aptos"/>
        </w:rPr>
        <w:t>D</w:t>
      </w:r>
      <w:r>
        <w:rPr>
          <w:rFonts w:eastAsia="Aptos"/>
        </w:rPr>
        <w:t>aarnaast heeft d</w:t>
      </w:r>
      <w:r w:rsidRPr="00D478FB">
        <w:rPr>
          <w:rFonts w:eastAsia="Aptos"/>
        </w:rPr>
        <w:t xml:space="preserve">e </w:t>
      </w:r>
      <w:r>
        <w:rPr>
          <w:rFonts w:eastAsia="Aptos"/>
        </w:rPr>
        <w:t xml:space="preserve">afschaffing van de bezitseis </w:t>
      </w:r>
      <w:r w:rsidRPr="00D478FB">
        <w:rPr>
          <w:rFonts w:eastAsia="Aptos"/>
        </w:rPr>
        <w:t xml:space="preserve">in de </w:t>
      </w:r>
      <w:r>
        <w:rPr>
          <w:rFonts w:eastAsia="Aptos"/>
        </w:rPr>
        <w:t>MDR</w:t>
      </w:r>
      <w:r w:rsidRPr="00D478FB">
        <w:rPr>
          <w:rFonts w:eastAsia="Aptos"/>
        </w:rPr>
        <w:t xml:space="preserve"> tot gevolg dat er geen vennootschapsbelasting meer kan worden geheven over dividenden die worden ontvangen vanuit Europese dochterbedrijven. Het kabinet raamt de structurele </w:t>
      </w:r>
      <w:r w:rsidR="005D35EF">
        <w:rPr>
          <w:rFonts w:eastAsia="Aptos"/>
        </w:rPr>
        <w:t xml:space="preserve">jaarlijkse </w:t>
      </w:r>
      <w:r w:rsidRPr="00D478FB">
        <w:rPr>
          <w:rFonts w:eastAsia="Aptos"/>
        </w:rPr>
        <w:t>derving van deze aanpassing in de vennootschapsbelasting vanaf 2037 in ordegrootte van € 500 miljoen tot €</w:t>
      </w:r>
      <w:r w:rsidR="00B81365">
        <w:rPr>
          <w:rFonts w:eastAsia="Aptos"/>
        </w:rPr>
        <w:t> </w:t>
      </w:r>
      <w:r w:rsidRPr="00D478FB">
        <w:rPr>
          <w:rFonts w:eastAsia="Aptos"/>
        </w:rPr>
        <w:t>1</w:t>
      </w:r>
      <w:r w:rsidR="00B81365">
        <w:rPr>
          <w:rFonts w:eastAsia="Aptos"/>
        </w:rPr>
        <w:t> </w:t>
      </w:r>
      <w:r w:rsidRPr="00D478FB">
        <w:rPr>
          <w:rFonts w:eastAsia="Aptos"/>
        </w:rPr>
        <w:t>miljard.</w:t>
      </w:r>
    </w:p>
    <w:p w:rsidRPr="00D478FB" w:rsidR="00C366FD" w:rsidP="00C366FD" w:rsidRDefault="00C366FD" w14:paraId="74EEF56E" w14:textId="77777777">
      <w:pPr>
        <w:spacing w:line="276" w:lineRule="auto"/>
        <w:rPr>
          <w:rFonts w:eastAsia="Aptos"/>
        </w:rPr>
      </w:pPr>
    </w:p>
    <w:p w:rsidR="00C366FD" w:rsidP="00C366FD" w:rsidRDefault="00C366FD" w14:paraId="0E4A6677" w14:textId="77777777">
      <w:pPr>
        <w:spacing w:line="276" w:lineRule="auto"/>
        <w:rPr>
          <w:rFonts w:eastAsia="Aptos"/>
        </w:rPr>
      </w:pPr>
      <w:r w:rsidRPr="00D478FB">
        <w:rPr>
          <w:rFonts w:eastAsia="Aptos"/>
        </w:rPr>
        <w:t xml:space="preserve">De voorgestelde de </w:t>
      </w:r>
      <w:r>
        <w:rPr>
          <w:rFonts w:eastAsia="Aptos"/>
        </w:rPr>
        <w:t xml:space="preserve">afschaffing van de bezitseis </w:t>
      </w:r>
      <w:r w:rsidRPr="00D478FB">
        <w:rPr>
          <w:rFonts w:eastAsia="Aptos"/>
        </w:rPr>
        <w:t xml:space="preserve">in de </w:t>
      </w:r>
      <w:r>
        <w:rPr>
          <w:rFonts w:eastAsia="Aptos"/>
        </w:rPr>
        <w:t>MDR</w:t>
      </w:r>
      <w:r w:rsidRPr="00D478FB">
        <w:rPr>
          <w:rFonts w:eastAsia="Aptos"/>
        </w:rPr>
        <w:t xml:space="preserve"> heeft mogelijk ook gevolgen voor de inkomstenbelasting. Het kabinet heeft op dit moment onvoldoende zekerheid over deze gevolgen en de mogelijkheden in de nationale wetgeving om misbruik en eventuele box-arbitrage tegen te gaan, om een inschatting te geven van de orde van grootte van de budgettaire derving die hiermee gepaard gaat.</w:t>
      </w:r>
    </w:p>
    <w:p w:rsidRPr="00D478FB" w:rsidR="00C366FD" w:rsidP="00C366FD" w:rsidRDefault="00C366FD" w14:paraId="57498D1D" w14:textId="77777777">
      <w:pPr>
        <w:spacing w:line="276" w:lineRule="auto"/>
        <w:rPr>
          <w:rFonts w:eastAsia="Aptos"/>
        </w:rPr>
      </w:pPr>
    </w:p>
    <w:p w:rsidRPr="00204774" w:rsidR="00C366FD" w:rsidP="00C366FD" w:rsidRDefault="00C366FD" w14:paraId="3BB77FFB" w14:textId="77777777">
      <w:pPr>
        <w:spacing w:line="276" w:lineRule="auto"/>
        <w:rPr>
          <w:rFonts w:eastAsia="Aptos"/>
          <w:b/>
          <w:bCs/>
          <w:u w:val="single"/>
        </w:rPr>
      </w:pPr>
      <w:r w:rsidRPr="00204774">
        <w:rPr>
          <w:rFonts w:eastAsia="Aptos"/>
          <w:b/>
          <w:bCs/>
          <w:u w:val="single"/>
        </w:rPr>
        <w:t>Vrijstelling pensioenfonds in MDR (dividendbelasting)</w:t>
      </w:r>
    </w:p>
    <w:p w:rsidR="00C366FD" w:rsidP="00C366FD" w:rsidRDefault="00C366FD" w14:paraId="09B58FFC" w14:textId="77777777">
      <w:pPr>
        <w:spacing w:line="276" w:lineRule="auto"/>
        <w:rPr>
          <w:rFonts w:eastAsia="Aptos"/>
        </w:rPr>
      </w:pPr>
      <w:r w:rsidRPr="00D478FB">
        <w:rPr>
          <w:rFonts w:eastAsia="Aptos"/>
        </w:rPr>
        <w:t xml:space="preserve">De </w:t>
      </w:r>
      <w:r>
        <w:rPr>
          <w:rFonts w:eastAsia="Aptos"/>
        </w:rPr>
        <w:t>vrijstelling in de MDR voor</w:t>
      </w:r>
      <w:r w:rsidRPr="00D478FB">
        <w:rPr>
          <w:rFonts w:eastAsia="Aptos"/>
        </w:rPr>
        <w:t xml:space="preserve"> pensioenfondsen heeft gevolgen voor de Nederlandse dividendbelasting. Buitenlandse pensioenfondsen komen </w:t>
      </w:r>
      <w:r w:rsidRPr="00C32021">
        <w:rPr>
          <w:rFonts w:eastAsia="Aptos"/>
        </w:rPr>
        <w:t>hierdoor</w:t>
      </w:r>
      <w:r w:rsidRPr="00D478FB">
        <w:rPr>
          <w:rFonts w:eastAsia="Aptos"/>
        </w:rPr>
        <w:t xml:space="preserve"> in aanmerking voor een vrijstelling van dividendbelasting. De huidige Nederlandse definitie van een pensioenfonds is hetzelfde voor de vennootschaps- en dividendbelasting.</w:t>
      </w:r>
      <w:r>
        <w:rPr>
          <w:rFonts w:eastAsia="Aptos"/>
        </w:rPr>
        <w:t xml:space="preserve"> De o</w:t>
      </w:r>
      <w:r w:rsidRPr="00D478FB">
        <w:rPr>
          <w:rFonts w:eastAsia="Aptos"/>
        </w:rPr>
        <w:t xml:space="preserve">mnibus schrijft alleen een </w:t>
      </w:r>
      <w:r>
        <w:rPr>
          <w:rFonts w:eastAsia="Aptos"/>
        </w:rPr>
        <w:t>vrijstelling</w:t>
      </w:r>
      <w:r w:rsidRPr="00D478FB">
        <w:rPr>
          <w:rFonts w:eastAsia="Aptos"/>
        </w:rPr>
        <w:t xml:space="preserve"> in de dividendbelasting voor. </w:t>
      </w:r>
      <w:r w:rsidRPr="00CC77E2">
        <w:rPr>
          <w:rFonts w:eastAsia="Aptos"/>
        </w:rPr>
        <w:t xml:space="preserve">Wat de exacte budgettaire impact is van de </w:t>
      </w:r>
      <w:r w:rsidRPr="00C32021">
        <w:rPr>
          <w:rFonts w:eastAsia="Aptos"/>
        </w:rPr>
        <w:t>vrijstelling voor pensioenfondsen</w:t>
      </w:r>
      <w:r w:rsidRPr="00CC77E2">
        <w:rPr>
          <w:rFonts w:eastAsia="Aptos"/>
        </w:rPr>
        <w:t xml:space="preserve"> laat zich lastig inschatten. Op dit moment wordt nog gewerkt aan een inventarisatie van welke pensioen- en beleggingsfondsen exact onder de reikwijdte vallen en wordt gekeken wat eventuele doorwerking van het voorstel langs EU-wetgeving kan zijn. Een gedegen inschatting vergt meer tijd.</w:t>
      </w:r>
    </w:p>
    <w:p w:rsidR="00471610" w:rsidP="00C366FD" w:rsidRDefault="00471610" w14:paraId="7D6EDAB0" w14:textId="77777777">
      <w:pPr>
        <w:spacing w:line="276" w:lineRule="auto"/>
        <w:rPr>
          <w:rFonts w:eastAsia="Aptos"/>
        </w:rPr>
      </w:pPr>
    </w:p>
    <w:p w:rsidRPr="00204774" w:rsidR="00C366FD" w:rsidP="00C366FD" w:rsidRDefault="00C366FD" w14:paraId="57BF7C3C" w14:textId="69D5174B">
      <w:pPr>
        <w:spacing w:line="276" w:lineRule="auto"/>
        <w:rPr>
          <w:rFonts w:eastAsia="Aptos"/>
          <w:b/>
          <w:bCs/>
          <w:u w:val="single"/>
        </w:rPr>
      </w:pPr>
      <w:r w:rsidRPr="00204774">
        <w:rPr>
          <w:rFonts w:eastAsia="Aptos"/>
          <w:b/>
          <w:bCs/>
          <w:u w:val="single"/>
        </w:rPr>
        <w:t>Aanpassingen in de generieke renteaftrekbeperking</w:t>
      </w:r>
    </w:p>
    <w:p w:rsidR="00C366FD" w:rsidP="00C366FD" w:rsidRDefault="00C366FD" w14:paraId="38983F9B" w14:textId="1FD5007B">
      <w:pPr>
        <w:spacing w:line="276" w:lineRule="auto"/>
        <w:rPr>
          <w:rFonts w:eastAsia="Aptos"/>
        </w:rPr>
      </w:pPr>
      <w:r w:rsidRPr="00D478FB">
        <w:rPr>
          <w:rFonts w:eastAsia="Aptos"/>
        </w:rPr>
        <w:t xml:space="preserve">Voor de generieke renteaftrekbeperking zijn in het Omnibusvoorstel verschillende maatregelen opgenomen. </w:t>
      </w:r>
      <w:r>
        <w:rPr>
          <w:rFonts w:eastAsia="Aptos"/>
        </w:rPr>
        <w:t xml:space="preserve">Het kabinet heeft de </w:t>
      </w:r>
      <w:r w:rsidR="0039617D">
        <w:rPr>
          <w:rFonts w:eastAsia="Aptos"/>
        </w:rPr>
        <w:t xml:space="preserve">ordegrootte van de </w:t>
      </w:r>
      <w:r>
        <w:rPr>
          <w:rFonts w:eastAsia="Aptos"/>
        </w:rPr>
        <w:t>budgettaire gevolgen van deze maatregelen</w:t>
      </w:r>
      <w:r w:rsidR="0039617D">
        <w:rPr>
          <w:rFonts w:eastAsia="Aptos"/>
        </w:rPr>
        <w:t xml:space="preserve"> </w:t>
      </w:r>
      <w:r>
        <w:rPr>
          <w:rFonts w:eastAsia="Aptos"/>
        </w:rPr>
        <w:lastRenderedPageBreak/>
        <w:t xml:space="preserve">ingeschat. </w:t>
      </w:r>
      <w:r w:rsidRPr="00D478FB">
        <w:rPr>
          <w:rFonts w:eastAsia="Aptos"/>
        </w:rPr>
        <w:t xml:space="preserve">Het kabinet benadrukt dat deze ordegrootte-inschattingen met onzekerheid zijn omgeven vanwege onzekerheid over de exacte invulling van de uitzonderingen en de omgang met </w:t>
      </w:r>
      <w:proofErr w:type="spellStart"/>
      <w:r w:rsidRPr="00D478FB">
        <w:rPr>
          <w:rFonts w:eastAsia="Aptos"/>
        </w:rPr>
        <w:t>voortgewentelde</w:t>
      </w:r>
      <w:proofErr w:type="spellEnd"/>
      <w:r w:rsidRPr="00D478FB">
        <w:rPr>
          <w:rFonts w:eastAsia="Aptos"/>
        </w:rPr>
        <w:t xml:space="preserve"> rente. Bij de huidige budgettaire inschattingen van de uitzonderingen is ervan uitgegaan dat het saldo aan </w:t>
      </w:r>
      <w:proofErr w:type="spellStart"/>
      <w:r w:rsidRPr="00D478FB">
        <w:rPr>
          <w:rFonts w:eastAsia="Aptos"/>
        </w:rPr>
        <w:t>voortgewentelde</w:t>
      </w:r>
      <w:proofErr w:type="spellEnd"/>
      <w:r w:rsidRPr="00D478FB">
        <w:rPr>
          <w:rFonts w:eastAsia="Aptos"/>
        </w:rPr>
        <w:t xml:space="preserve"> rente alleen kan worden afgetrokken</w:t>
      </w:r>
      <w:r w:rsidRPr="00D478FB" w:rsidDel="00320394">
        <w:rPr>
          <w:rFonts w:eastAsia="Aptos"/>
        </w:rPr>
        <w:t xml:space="preserve">, als deze </w:t>
      </w:r>
      <w:proofErr w:type="spellStart"/>
      <w:r w:rsidRPr="00D478FB" w:rsidDel="00320394">
        <w:rPr>
          <w:rFonts w:eastAsia="Aptos"/>
        </w:rPr>
        <w:t>voortgewentelde</w:t>
      </w:r>
      <w:proofErr w:type="spellEnd"/>
      <w:r w:rsidRPr="00D478FB" w:rsidDel="00320394">
        <w:rPr>
          <w:rFonts w:eastAsia="Aptos"/>
        </w:rPr>
        <w:t xml:space="preserve"> rente ook kon worden afgetrokken volgens de regels van het huidige regime</w:t>
      </w:r>
      <w:r w:rsidRPr="00D478FB">
        <w:rPr>
          <w:rFonts w:eastAsia="Aptos"/>
        </w:rPr>
        <w:t xml:space="preserve">. Bij elk van de genoemde budgettaire effecten is daarnaast rekening gehouden met de uitzondering van woningcorporaties </w:t>
      </w:r>
      <w:r>
        <w:rPr>
          <w:rFonts w:eastAsia="Aptos"/>
        </w:rPr>
        <w:t>in</w:t>
      </w:r>
      <w:r w:rsidRPr="00D478FB">
        <w:rPr>
          <w:rFonts w:eastAsia="Aptos"/>
        </w:rPr>
        <w:t xml:space="preserve"> de generieke renteaftrekbeperking, zoals opgenomen in de Nota van Wijziging bij het Belastingplan 2027.</w:t>
      </w:r>
    </w:p>
    <w:p w:rsidRPr="00D478FB" w:rsidR="00C366FD" w:rsidP="00C366FD" w:rsidRDefault="00C366FD" w14:paraId="72029279" w14:textId="77777777">
      <w:pPr>
        <w:spacing w:line="276" w:lineRule="auto"/>
        <w:rPr>
          <w:rFonts w:eastAsia="Aptos"/>
        </w:rPr>
      </w:pPr>
    </w:p>
    <w:p w:rsidRPr="00D478FB" w:rsidR="00C366FD" w:rsidP="00C366FD" w:rsidRDefault="00C366FD" w14:paraId="67BA17C7" w14:textId="77777777">
      <w:pPr>
        <w:spacing w:line="276" w:lineRule="auto"/>
        <w:rPr>
          <w:rFonts w:eastAsia="Aptos"/>
          <w:u w:val="single"/>
        </w:rPr>
      </w:pPr>
      <w:r w:rsidRPr="00D478FB">
        <w:rPr>
          <w:rFonts w:eastAsia="Aptos"/>
          <w:u w:val="single"/>
        </w:rPr>
        <w:t xml:space="preserve">Verhoging van het percentage voor maximale renteaftrek naar 30% </w:t>
      </w:r>
      <w:r w:rsidRPr="00936BB4">
        <w:rPr>
          <w:rFonts w:eastAsia="Aptos"/>
          <w:u w:val="single"/>
        </w:rPr>
        <w:t xml:space="preserve">van de </w:t>
      </w:r>
      <w:r w:rsidRPr="000E3782">
        <w:rPr>
          <w:rFonts w:eastAsia="Aptos"/>
          <w:u w:val="single"/>
        </w:rPr>
        <w:t>gecorrigeerde winst</w:t>
      </w:r>
    </w:p>
    <w:p w:rsidR="00C366FD" w:rsidP="00C366FD" w:rsidRDefault="00C366FD" w14:paraId="692F15D1" w14:textId="22A5BF0C">
      <w:pPr>
        <w:spacing w:line="276" w:lineRule="auto"/>
        <w:rPr>
          <w:rFonts w:eastAsia="Aptos"/>
        </w:rPr>
      </w:pPr>
      <w:r w:rsidRPr="00D478FB">
        <w:rPr>
          <w:rFonts w:eastAsia="Aptos"/>
        </w:rPr>
        <w:t xml:space="preserve">Het kabinet schat de structurele jaarlijkse derving van een verruiming van het percentage voor maximale renteaftrek naar 30% van de </w:t>
      </w:r>
      <w:r>
        <w:rPr>
          <w:rFonts w:eastAsia="Aptos"/>
        </w:rPr>
        <w:t>gecorrigeerde winst</w:t>
      </w:r>
      <w:r w:rsidRPr="00D478FB">
        <w:rPr>
          <w:rFonts w:eastAsia="Aptos"/>
        </w:rPr>
        <w:t xml:space="preserve"> per 2029, in ordegrootte van € 400 miljoen.</w:t>
      </w:r>
    </w:p>
    <w:p w:rsidRPr="00D478FB" w:rsidR="00C366FD" w:rsidP="00C366FD" w:rsidRDefault="00C366FD" w14:paraId="4E64DBAD" w14:textId="77777777">
      <w:pPr>
        <w:spacing w:line="276" w:lineRule="auto"/>
        <w:rPr>
          <w:rFonts w:eastAsia="Aptos"/>
        </w:rPr>
      </w:pPr>
    </w:p>
    <w:p w:rsidRPr="00D478FB" w:rsidR="00C366FD" w:rsidP="00C366FD" w:rsidRDefault="00C366FD" w14:paraId="0E4C5324" w14:textId="77777777">
      <w:pPr>
        <w:spacing w:line="276" w:lineRule="auto"/>
        <w:rPr>
          <w:rFonts w:eastAsia="Aptos"/>
          <w:u w:val="single"/>
        </w:rPr>
      </w:pPr>
      <w:r w:rsidRPr="00D478FB">
        <w:rPr>
          <w:rFonts w:eastAsia="Aptos"/>
          <w:u w:val="single"/>
        </w:rPr>
        <w:t>Verhoging van de monetaire drempel voor maximale renteaftrek naar € 3 miljoen</w:t>
      </w:r>
    </w:p>
    <w:p w:rsidRPr="00D478FB" w:rsidR="00C366FD" w:rsidP="00C366FD" w:rsidRDefault="00C366FD" w14:paraId="211E5702" w14:textId="4B9F05E7">
      <w:pPr>
        <w:spacing w:line="276" w:lineRule="auto"/>
        <w:rPr>
          <w:rFonts w:eastAsia="Aptos"/>
        </w:rPr>
      </w:pPr>
      <w:r w:rsidRPr="00D478FB">
        <w:rPr>
          <w:rFonts w:eastAsia="Aptos"/>
        </w:rPr>
        <w:t xml:space="preserve">Het kabinet schat de structurele </w:t>
      </w:r>
      <w:r w:rsidR="005D35EF">
        <w:rPr>
          <w:rFonts w:eastAsia="Aptos"/>
        </w:rPr>
        <w:t xml:space="preserve">jaarlijkse </w:t>
      </w:r>
      <w:r w:rsidRPr="00D478FB">
        <w:rPr>
          <w:rFonts w:eastAsia="Aptos"/>
        </w:rPr>
        <w:t>derving van een verhoging van de monetaire drempel voor maximale renteaftrek naar € 3 miljoen per 2032, in ordegrootte van € 300 tot € 400 miljoen.</w:t>
      </w:r>
    </w:p>
    <w:p w:rsidR="00C366FD" w:rsidP="00C366FD" w:rsidRDefault="00C366FD" w14:paraId="23FCB3C8" w14:textId="77777777">
      <w:pPr>
        <w:spacing w:line="276" w:lineRule="auto"/>
        <w:rPr>
          <w:rFonts w:eastAsia="Aptos"/>
        </w:rPr>
      </w:pPr>
    </w:p>
    <w:p w:rsidRPr="00D478FB" w:rsidR="00C366FD" w:rsidP="00C366FD" w:rsidRDefault="00C366FD" w14:paraId="3089C125" w14:textId="77777777">
      <w:pPr>
        <w:spacing w:line="276" w:lineRule="auto"/>
        <w:rPr>
          <w:rFonts w:eastAsia="Aptos"/>
          <w:u w:val="single"/>
        </w:rPr>
      </w:pPr>
      <w:r w:rsidRPr="00D478FB">
        <w:rPr>
          <w:rFonts w:eastAsia="Aptos"/>
          <w:u w:val="single"/>
        </w:rPr>
        <w:t>Groepsuitzondering</w:t>
      </w:r>
    </w:p>
    <w:p w:rsidR="00C366FD" w:rsidP="00C366FD" w:rsidRDefault="00C366FD" w14:paraId="2FC378D7" w14:textId="49803531">
      <w:pPr>
        <w:spacing w:line="276" w:lineRule="auto"/>
        <w:rPr>
          <w:rFonts w:eastAsia="Aptos"/>
        </w:rPr>
      </w:pPr>
      <w:r w:rsidRPr="00D478FB">
        <w:rPr>
          <w:rFonts w:eastAsia="Aptos"/>
        </w:rPr>
        <w:t>De groepsuitzondering houdt in dat belastingplichtigen die deel uitmaken van een geconsolideerde groep hun rente volledig mogen aftrekken indien de vermogensstructuur van de belastingplichtige niet significant afwijkt van die van de groep</w:t>
      </w:r>
      <w:r>
        <w:rPr>
          <w:rFonts w:eastAsia="Aptos"/>
        </w:rPr>
        <w:t xml:space="preserve"> dan wel de (hogere) financieringsratio van de groep gebruiken als drempelpercentage (in plaats van het vastgelegde percentage van de gecorrigeerde winst)</w:t>
      </w:r>
      <w:r w:rsidRPr="00D478FB">
        <w:rPr>
          <w:rFonts w:eastAsia="Aptos"/>
        </w:rPr>
        <w:t>. Deze uitzondering hangt samen met de introductie van een groepsbegrip. Onzekerheid over de exacte invulling van dit groepsbegrip brengt ook onzekerheid in de raming met zich mee. Daarnaast heeft het kabinet alleen zicht op de Nederlandse entiteiten binnen een groep. Het kabinet beschikt niet over informatie over de vermogens- of financieringsstructuur van eventuele buitenlandse entiteiten die onderdeel zijn van de groep waarbinnen een Nederlandse entiteit zich bevindt. Met deze aantekening raamt het kabinet de</w:t>
      </w:r>
      <w:r w:rsidR="005D35EF">
        <w:rPr>
          <w:rFonts w:eastAsia="Aptos"/>
        </w:rPr>
        <w:t xml:space="preserve"> structurele</w:t>
      </w:r>
      <w:r w:rsidRPr="00D478FB">
        <w:rPr>
          <w:rFonts w:eastAsia="Aptos"/>
        </w:rPr>
        <w:t xml:space="preserve"> jaarlijkse derving van een groepsuitzondering in ordegrootte van € 500 miljoen tot € 1 miljard.</w:t>
      </w:r>
    </w:p>
    <w:p w:rsidRPr="00D478FB" w:rsidR="00C366FD" w:rsidP="00C366FD" w:rsidRDefault="00C366FD" w14:paraId="78FFA61F" w14:textId="77777777">
      <w:pPr>
        <w:spacing w:line="276" w:lineRule="auto"/>
        <w:rPr>
          <w:rFonts w:eastAsia="Aptos"/>
        </w:rPr>
      </w:pPr>
    </w:p>
    <w:p w:rsidRPr="00D478FB" w:rsidR="00C366FD" w:rsidP="00C366FD" w:rsidRDefault="00C366FD" w14:paraId="0294E130" w14:textId="77777777">
      <w:pPr>
        <w:spacing w:line="276" w:lineRule="auto"/>
        <w:rPr>
          <w:rFonts w:eastAsia="Aptos"/>
          <w:u w:val="single"/>
        </w:rPr>
      </w:pPr>
      <w:r w:rsidRPr="00D478FB">
        <w:rPr>
          <w:rFonts w:eastAsia="Aptos"/>
          <w:u w:val="single"/>
        </w:rPr>
        <w:t xml:space="preserve">Uitzondering van </w:t>
      </w:r>
      <w:proofErr w:type="spellStart"/>
      <w:r w:rsidRPr="00D478FB">
        <w:rPr>
          <w:rFonts w:eastAsia="Aptos"/>
          <w:u w:val="single"/>
        </w:rPr>
        <w:t>derdenleningen</w:t>
      </w:r>
      <w:proofErr w:type="spellEnd"/>
    </w:p>
    <w:p w:rsidR="00C366FD" w:rsidP="00C366FD" w:rsidRDefault="00C366FD" w14:paraId="248F8D89" w14:textId="776378AC">
      <w:pPr>
        <w:spacing w:line="276" w:lineRule="auto"/>
        <w:rPr>
          <w:rFonts w:eastAsia="Aptos"/>
        </w:rPr>
      </w:pPr>
      <w:r w:rsidRPr="00D478FB">
        <w:rPr>
          <w:rFonts w:eastAsia="Aptos"/>
        </w:rPr>
        <w:t xml:space="preserve">Deze uitzondering houdt in dat renten op laagrisico </w:t>
      </w:r>
      <w:proofErr w:type="spellStart"/>
      <w:r w:rsidRPr="00D478FB">
        <w:rPr>
          <w:rFonts w:eastAsia="Aptos"/>
        </w:rPr>
        <w:t>derdenleningen</w:t>
      </w:r>
      <w:proofErr w:type="spellEnd"/>
      <w:r w:rsidRPr="00D478FB">
        <w:rPr>
          <w:rFonts w:eastAsia="Aptos"/>
        </w:rPr>
        <w:t xml:space="preserve">, zijnde leningen van een derde partij, die worden gebruikt ter financiering van de eigen activiteiten van de entiteit, volledig aftrekbaar zijn. Het kabinet beschikt niet over informatie waarvoor leningen door Nederlandse belastingplichtigen zijn aangewend, en geeft daarom een inschatting van de budgettaire derving als alle </w:t>
      </w:r>
      <w:proofErr w:type="spellStart"/>
      <w:r w:rsidRPr="00D478FB">
        <w:rPr>
          <w:rFonts w:eastAsia="Aptos"/>
        </w:rPr>
        <w:t>derdenleningen</w:t>
      </w:r>
      <w:proofErr w:type="spellEnd"/>
      <w:r w:rsidRPr="00D478FB">
        <w:rPr>
          <w:rFonts w:eastAsia="Aptos"/>
        </w:rPr>
        <w:t xml:space="preserve"> worden uitgezonderd van de generieke renteaftrekbeperking. De verwachte </w:t>
      </w:r>
      <w:r w:rsidR="005D35EF">
        <w:rPr>
          <w:rFonts w:eastAsia="Aptos"/>
        </w:rPr>
        <w:t xml:space="preserve">structurele </w:t>
      </w:r>
      <w:r w:rsidRPr="00D478FB">
        <w:rPr>
          <w:rFonts w:eastAsia="Aptos"/>
        </w:rPr>
        <w:t xml:space="preserve">jaarlijkse derving vanaf 2029 als gevolg hiervan is in ordegrootte van € 1,3 miljard, uitgaande van de standaard gedragseffecten. Een uitzondering van </w:t>
      </w:r>
      <w:proofErr w:type="spellStart"/>
      <w:r w:rsidRPr="00D478FB">
        <w:rPr>
          <w:rFonts w:eastAsia="Aptos"/>
        </w:rPr>
        <w:t>derdenleningen</w:t>
      </w:r>
      <w:proofErr w:type="spellEnd"/>
      <w:r w:rsidRPr="00D478FB">
        <w:rPr>
          <w:rFonts w:eastAsia="Aptos"/>
        </w:rPr>
        <w:t xml:space="preserve"> zorgt er echter voor dat alleen het interne rentesaldo nog onderhevig is aan de generieke renteaftrekbeperking. Het kabinet heeft nog onvoldoende zicht op welke gedragseffecten dit mogelijk met zich meebrengt, met mogelijke extra budgettaire derving tot gevolg. Dit mogelijke extra gedragseffect is op dit moment nog geen onderdeel van de budgettaire inschatting.</w:t>
      </w:r>
    </w:p>
    <w:p w:rsidRPr="00D478FB" w:rsidR="00C366FD" w:rsidP="00C366FD" w:rsidRDefault="00C366FD" w14:paraId="323582DC" w14:textId="77777777">
      <w:pPr>
        <w:spacing w:line="276" w:lineRule="auto"/>
        <w:rPr>
          <w:rFonts w:eastAsia="Aptos"/>
        </w:rPr>
      </w:pPr>
    </w:p>
    <w:p w:rsidRPr="00D478FB" w:rsidR="00C366FD" w:rsidP="00C366FD" w:rsidRDefault="00C366FD" w14:paraId="49EA0458" w14:textId="77777777">
      <w:pPr>
        <w:spacing w:line="276" w:lineRule="auto"/>
        <w:rPr>
          <w:rFonts w:eastAsia="Aptos"/>
          <w:u w:val="single"/>
        </w:rPr>
      </w:pPr>
      <w:r w:rsidRPr="00D478FB">
        <w:rPr>
          <w:rFonts w:eastAsia="Aptos"/>
          <w:u w:val="single"/>
        </w:rPr>
        <w:t>Uitzondering bij daling van het bedrijfsresultaat met 50% ten opzichte van het voorgaande jaar</w:t>
      </w:r>
    </w:p>
    <w:p w:rsidRPr="00D478FB" w:rsidR="00C366FD" w:rsidP="00C366FD" w:rsidRDefault="00C366FD" w14:paraId="31B57651" w14:textId="581BB44B">
      <w:pPr>
        <w:spacing w:line="276" w:lineRule="auto"/>
        <w:rPr>
          <w:rFonts w:eastAsia="Aptos"/>
        </w:rPr>
      </w:pPr>
      <w:r w:rsidRPr="00D478FB">
        <w:rPr>
          <w:rFonts w:eastAsia="Aptos"/>
        </w:rPr>
        <w:t xml:space="preserve">Als gevolg van deze voorgestelde </w:t>
      </w:r>
      <w:proofErr w:type="spellStart"/>
      <w:r w:rsidRPr="00D478FB">
        <w:rPr>
          <w:rFonts w:eastAsia="Aptos"/>
        </w:rPr>
        <w:t>anti-cy</w:t>
      </w:r>
      <w:r w:rsidR="0039617D">
        <w:rPr>
          <w:rFonts w:eastAsia="Aptos"/>
        </w:rPr>
        <w:t>c</w:t>
      </w:r>
      <w:r w:rsidRPr="00D478FB">
        <w:rPr>
          <w:rFonts w:eastAsia="Aptos"/>
        </w:rPr>
        <w:t>lisch</w:t>
      </w:r>
      <w:r w:rsidR="0039617D">
        <w:rPr>
          <w:rFonts w:eastAsia="Aptos"/>
        </w:rPr>
        <w:t>e</w:t>
      </w:r>
      <w:proofErr w:type="spellEnd"/>
      <w:r w:rsidRPr="00D478FB">
        <w:rPr>
          <w:rFonts w:eastAsia="Aptos"/>
        </w:rPr>
        <w:t xml:space="preserve"> maatregel zijn de renten van Nederlandse belastingplichtigen volledig aftrekbaar in een jaar waarin het bedrijfsresultaat met 50% is gedaald ten opzichte van het voorgaande jaar. Een eerste inschatting van het kabinet van de </w:t>
      </w:r>
      <w:r w:rsidR="005D35EF">
        <w:rPr>
          <w:rFonts w:eastAsia="Aptos"/>
        </w:rPr>
        <w:t xml:space="preserve">structurele </w:t>
      </w:r>
      <w:r w:rsidRPr="00D478FB">
        <w:rPr>
          <w:rFonts w:eastAsia="Aptos"/>
        </w:rPr>
        <w:t>jaarlijkse derving van deze uitzondering is in ordegrootte van € 300 miljoen.</w:t>
      </w:r>
    </w:p>
    <w:p w:rsidR="00A85FD1" w:rsidP="00C366FD" w:rsidRDefault="00A85FD1" w14:paraId="60B17AB7" w14:textId="77777777">
      <w:pPr>
        <w:spacing w:line="276" w:lineRule="auto"/>
        <w:rPr>
          <w:rFonts w:eastAsia="Aptos"/>
        </w:rPr>
      </w:pPr>
    </w:p>
    <w:p w:rsidRPr="00D478FB" w:rsidR="00C366FD" w:rsidP="00C366FD" w:rsidRDefault="00C366FD" w14:paraId="3025CA56" w14:textId="77777777">
      <w:pPr>
        <w:spacing w:line="276" w:lineRule="auto"/>
        <w:rPr>
          <w:rFonts w:eastAsia="Aptos"/>
          <w:u w:val="single"/>
        </w:rPr>
      </w:pPr>
      <w:r w:rsidRPr="00D478FB">
        <w:rPr>
          <w:rFonts w:eastAsia="Aptos"/>
          <w:u w:val="single"/>
        </w:rPr>
        <w:t xml:space="preserve">Uitzondering met betrekking tot </w:t>
      </w:r>
      <w:r>
        <w:rPr>
          <w:rFonts w:eastAsia="Aptos"/>
          <w:u w:val="single"/>
        </w:rPr>
        <w:t>publiek belang</w:t>
      </w:r>
    </w:p>
    <w:p w:rsidR="00C366FD" w:rsidP="00C366FD" w:rsidRDefault="00C366FD" w14:paraId="34D0145E" w14:textId="77777777">
      <w:pPr>
        <w:spacing w:line="276" w:lineRule="auto"/>
        <w:rPr>
          <w:rFonts w:eastAsia="Aptos"/>
        </w:rPr>
      </w:pPr>
      <w:r w:rsidRPr="00D478FB">
        <w:rPr>
          <w:rFonts w:eastAsia="Aptos"/>
        </w:rPr>
        <w:t xml:space="preserve">Het toepassingsbereik van de huidige optionele uitzondering met betrekking tot </w:t>
      </w:r>
      <w:r>
        <w:rPr>
          <w:rFonts w:eastAsia="Aptos"/>
        </w:rPr>
        <w:t>publiek belang</w:t>
      </w:r>
      <w:r w:rsidRPr="00D478FB">
        <w:rPr>
          <w:rFonts w:eastAsia="Aptos"/>
        </w:rPr>
        <w:t xml:space="preserve"> wordt verruimd, onder andere met sociale en betaalbare huisvesting. Het kabinet geeft hieraan invulling door de </w:t>
      </w:r>
      <w:r>
        <w:rPr>
          <w:rFonts w:eastAsia="Aptos"/>
        </w:rPr>
        <w:t xml:space="preserve">renten </w:t>
      </w:r>
      <w:r w:rsidRPr="00D478FB">
        <w:rPr>
          <w:rFonts w:eastAsia="Aptos"/>
        </w:rPr>
        <w:t xml:space="preserve">van woningcorporaties die verband houden met hun DAEB-activiteiten, </w:t>
      </w:r>
      <w:r w:rsidRPr="00D478FB">
        <w:rPr>
          <w:rFonts w:eastAsia="Aptos"/>
        </w:rPr>
        <w:lastRenderedPageBreak/>
        <w:t>vanaf 2028 uit te zonderen van de generieke renteaftrekbeperking via een Nota van Wijziging op het Belastingplan 2027.</w:t>
      </w:r>
    </w:p>
    <w:p w:rsidRPr="00D478FB" w:rsidR="00C366FD" w:rsidP="00C366FD" w:rsidRDefault="00C366FD" w14:paraId="2DAA2CCC" w14:textId="77777777">
      <w:pPr>
        <w:spacing w:line="276" w:lineRule="auto"/>
        <w:rPr>
          <w:rFonts w:eastAsia="Aptos"/>
        </w:rPr>
      </w:pPr>
    </w:p>
    <w:p w:rsidRPr="00D478FB" w:rsidR="00C366FD" w:rsidP="00C366FD" w:rsidRDefault="00C366FD" w14:paraId="74854EFF" w14:textId="77777777">
      <w:pPr>
        <w:spacing w:line="276" w:lineRule="auto"/>
        <w:rPr>
          <w:rFonts w:eastAsia="Aptos"/>
          <w:u w:val="single"/>
        </w:rPr>
      </w:pPr>
      <w:r w:rsidRPr="00D478FB">
        <w:rPr>
          <w:rFonts w:eastAsia="Aptos"/>
          <w:u w:val="single"/>
        </w:rPr>
        <w:t>Uitzondering voor defensie</w:t>
      </w:r>
    </w:p>
    <w:p w:rsidR="00C366FD" w:rsidP="00C366FD" w:rsidRDefault="00C366FD" w14:paraId="39347204" w14:textId="77777777">
      <w:pPr>
        <w:spacing w:line="276" w:lineRule="auto"/>
        <w:rPr>
          <w:rFonts w:eastAsia="Aptos"/>
        </w:rPr>
      </w:pPr>
      <w:r w:rsidRPr="00D478FB">
        <w:rPr>
          <w:rFonts w:eastAsia="Aptos"/>
        </w:rPr>
        <w:t>Deze maatregel betreft een tijdelijke uitzondering van rente betaald op leningen die binnen 5 jaar na inwerkingtreding zijn aangegaan door bedrijven in de defensiesector. Het kabinet kan op dit moment nog geen inschatting maken van de verwachte budgettaire derving van deze uitzondering.</w:t>
      </w:r>
    </w:p>
    <w:p w:rsidR="00C366FD" w:rsidP="00C366FD" w:rsidRDefault="00C366FD" w14:paraId="775E4019" w14:textId="77777777">
      <w:pPr>
        <w:spacing w:line="276" w:lineRule="auto"/>
        <w:rPr>
          <w:rFonts w:eastAsia="Aptos"/>
        </w:rPr>
      </w:pPr>
    </w:p>
    <w:p w:rsidR="00C366FD" w:rsidP="00C366FD" w:rsidRDefault="00C366FD" w14:paraId="63B3AA96" w14:textId="17101A30">
      <w:pPr>
        <w:spacing w:line="276" w:lineRule="auto"/>
        <w:rPr>
          <w:rFonts w:eastAsia="Aptos"/>
          <w:u w:val="single"/>
        </w:rPr>
      </w:pPr>
      <w:r>
        <w:rPr>
          <w:rFonts w:eastAsia="Aptos"/>
          <w:u w:val="single"/>
        </w:rPr>
        <w:t>Combinatie en samenhang van aanpassingen in de generieke renteaftrekbeperking</w:t>
      </w:r>
    </w:p>
    <w:p w:rsidR="00C366FD" w:rsidP="00C366FD" w:rsidRDefault="00C366FD" w14:paraId="2FEAEE36" w14:textId="78661332">
      <w:pPr>
        <w:spacing w:line="276" w:lineRule="auto"/>
        <w:rPr>
          <w:rFonts w:eastAsia="Aptos"/>
        </w:rPr>
      </w:pPr>
      <w:r w:rsidRPr="00D478FB">
        <w:rPr>
          <w:rFonts w:eastAsia="Aptos"/>
        </w:rPr>
        <w:t xml:space="preserve">De budgettaire gevolgen van de </w:t>
      </w:r>
      <w:r>
        <w:rPr>
          <w:rFonts w:eastAsia="Aptos"/>
        </w:rPr>
        <w:t xml:space="preserve">maatregelen in de generieke renteaftrekbeperking </w:t>
      </w:r>
      <w:r w:rsidRPr="00D478FB">
        <w:rPr>
          <w:rFonts w:eastAsia="Aptos"/>
        </w:rPr>
        <w:t xml:space="preserve">hangen met elkaar samen. De opbrengst van een combinatie van maatregelen is daarom geen eenvoudige optelling van de losse maatregelen. </w:t>
      </w:r>
      <w:r w:rsidRPr="00CC77E2">
        <w:rPr>
          <w:rFonts w:eastAsia="Aptos"/>
        </w:rPr>
        <w:t xml:space="preserve">Verhoging van het percentage </w:t>
      </w:r>
      <w:r>
        <w:rPr>
          <w:rFonts w:eastAsia="Aptos"/>
        </w:rPr>
        <w:t>van de gecorrigeerde winst</w:t>
      </w:r>
      <w:r w:rsidRPr="00CC77E2">
        <w:rPr>
          <w:rFonts w:eastAsia="Aptos"/>
        </w:rPr>
        <w:t xml:space="preserve"> naar 30% per 2029 zorgt voor een </w:t>
      </w:r>
      <w:r>
        <w:rPr>
          <w:rFonts w:eastAsia="Aptos"/>
        </w:rPr>
        <w:t>jaarlijkse</w:t>
      </w:r>
      <w:r w:rsidRPr="00CC77E2">
        <w:rPr>
          <w:rFonts w:eastAsia="Aptos"/>
        </w:rPr>
        <w:t xml:space="preserve"> </w:t>
      </w:r>
      <w:r>
        <w:rPr>
          <w:rFonts w:eastAsia="Aptos"/>
        </w:rPr>
        <w:t xml:space="preserve">derving </w:t>
      </w:r>
      <w:r w:rsidRPr="00CC77E2">
        <w:rPr>
          <w:rFonts w:eastAsia="Aptos"/>
        </w:rPr>
        <w:t xml:space="preserve">in ordegrootte van € 400 miljoen. </w:t>
      </w:r>
      <w:r>
        <w:rPr>
          <w:rFonts w:eastAsia="Aptos"/>
        </w:rPr>
        <w:t xml:space="preserve">Als in 2032 de </w:t>
      </w:r>
      <w:r w:rsidRPr="00CC77E2">
        <w:rPr>
          <w:rFonts w:eastAsia="Aptos"/>
        </w:rPr>
        <w:t xml:space="preserve">monetaire drempel </w:t>
      </w:r>
      <w:r w:rsidR="0039617D">
        <w:rPr>
          <w:rFonts w:eastAsia="Aptos"/>
        </w:rPr>
        <w:t xml:space="preserve">vervolgens </w:t>
      </w:r>
      <w:r w:rsidRPr="00CC77E2">
        <w:rPr>
          <w:rFonts w:eastAsia="Aptos"/>
        </w:rPr>
        <w:t xml:space="preserve">naar € 3 miljoen </w:t>
      </w:r>
      <w:r>
        <w:rPr>
          <w:rFonts w:eastAsia="Aptos"/>
        </w:rPr>
        <w:t>wordt verhoogd</w:t>
      </w:r>
      <w:r w:rsidR="005D35EF">
        <w:rPr>
          <w:rFonts w:eastAsia="Aptos"/>
        </w:rPr>
        <w:t xml:space="preserve">, </w:t>
      </w:r>
      <w:r w:rsidR="0039617D">
        <w:rPr>
          <w:rFonts w:eastAsia="Aptos"/>
        </w:rPr>
        <w:t xml:space="preserve">is </w:t>
      </w:r>
      <w:r w:rsidR="005D35EF">
        <w:rPr>
          <w:rFonts w:eastAsia="Aptos"/>
        </w:rPr>
        <w:t xml:space="preserve">de </w:t>
      </w:r>
      <w:r>
        <w:rPr>
          <w:rFonts w:eastAsia="Aptos"/>
        </w:rPr>
        <w:t xml:space="preserve">structurele jaarlijkse </w:t>
      </w:r>
      <w:r w:rsidRPr="00CC77E2">
        <w:rPr>
          <w:rFonts w:eastAsia="Aptos"/>
        </w:rPr>
        <w:t>derving</w:t>
      </w:r>
      <w:r w:rsidR="0039617D">
        <w:rPr>
          <w:rFonts w:eastAsia="Aptos"/>
        </w:rPr>
        <w:t xml:space="preserve"> van de combinatie van deze twee maatregelen vanaf 2032</w:t>
      </w:r>
      <w:r>
        <w:rPr>
          <w:rFonts w:eastAsia="Aptos"/>
        </w:rPr>
        <w:t xml:space="preserve"> </w:t>
      </w:r>
      <w:r w:rsidRPr="00CC77E2">
        <w:rPr>
          <w:rFonts w:eastAsia="Aptos"/>
        </w:rPr>
        <w:t>in ordegrootte van € 600 miljoen tot € 700 miljoen.</w:t>
      </w:r>
    </w:p>
    <w:p w:rsidR="00C366FD" w:rsidP="00C366FD" w:rsidRDefault="00C366FD" w14:paraId="62C169C7" w14:textId="77777777">
      <w:pPr>
        <w:spacing w:line="276" w:lineRule="auto"/>
        <w:rPr>
          <w:rFonts w:eastAsia="Aptos"/>
        </w:rPr>
      </w:pPr>
    </w:p>
    <w:p w:rsidR="00C366FD" w:rsidP="00C366FD" w:rsidRDefault="00C366FD" w14:paraId="3103E12B" w14:textId="7EFB557A">
      <w:pPr>
        <w:spacing w:line="276" w:lineRule="auto"/>
        <w:rPr>
          <w:rFonts w:eastAsia="Aptos"/>
        </w:rPr>
      </w:pPr>
      <w:r w:rsidRPr="00D478FB">
        <w:rPr>
          <w:rFonts w:eastAsia="Aptos"/>
        </w:rPr>
        <w:t xml:space="preserve">Als zowel de monetaire drempel wordt verhoogd naar € 3 miljoen (per 2032) als het percentage van de </w:t>
      </w:r>
      <w:r>
        <w:rPr>
          <w:rFonts w:eastAsia="Aptos"/>
        </w:rPr>
        <w:t>gecorrigeerde winst</w:t>
      </w:r>
      <w:r w:rsidRPr="00D478FB">
        <w:rPr>
          <w:rFonts w:eastAsia="Aptos"/>
        </w:rPr>
        <w:t xml:space="preserve"> naar 30% wordt gebracht en de groepsuitzondering wordt toegepast (beiden per 2029), is de structurele </w:t>
      </w:r>
      <w:r w:rsidR="005D35EF">
        <w:rPr>
          <w:rFonts w:eastAsia="Aptos"/>
        </w:rPr>
        <w:t>jaarlijkse</w:t>
      </w:r>
      <w:r w:rsidRPr="00D478FB">
        <w:rPr>
          <w:rFonts w:eastAsia="Aptos"/>
        </w:rPr>
        <w:t xml:space="preserve"> derving van de combinatie van deze </w:t>
      </w:r>
      <w:r w:rsidR="0039617D">
        <w:rPr>
          <w:rFonts w:eastAsia="Aptos"/>
        </w:rPr>
        <w:t xml:space="preserve">drie </w:t>
      </w:r>
      <w:r w:rsidRPr="00D478FB">
        <w:rPr>
          <w:rFonts w:eastAsia="Aptos"/>
        </w:rPr>
        <w:t>maatregelen naar verwachting in ordegrootte van € 1 miljard tot € 1,6 miljard</w:t>
      </w:r>
      <w:r>
        <w:rPr>
          <w:rFonts w:eastAsia="Aptos"/>
        </w:rPr>
        <w:t xml:space="preserve"> vanaf 2032</w:t>
      </w:r>
      <w:r w:rsidRPr="00D478FB">
        <w:rPr>
          <w:rFonts w:eastAsia="Aptos"/>
        </w:rPr>
        <w:t>. De verwachte jaarlijkse derving tijdens de kabinetsperiode, als gevolg van de verhoging van het percentage naar 30%</w:t>
      </w:r>
      <w:r>
        <w:rPr>
          <w:rFonts w:eastAsia="Aptos"/>
        </w:rPr>
        <w:t xml:space="preserve"> van de gecorrigeerde winst</w:t>
      </w:r>
      <w:r w:rsidRPr="00D478FB">
        <w:rPr>
          <w:rFonts w:eastAsia="Aptos"/>
        </w:rPr>
        <w:t xml:space="preserve"> en de groepsuitzondering, raamt het kabinet </w:t>
      </w:r>
      <w:r>
        <w:rPr>
          <w:rFonts w:eastAsia="Aptos"/>
        </w:rPr>
        <w:t xml:space="preserve">dan </w:t>
      </w:r>
      <w:r w:rsidRPr="00D478FB">
        <w:rPr>
          <w:rFonts w:eastAsia="Aptos"/>
        </w:rPr>
        <w:t>in ordegrootte van € 1 miljard tot € 1,5 miljard</w:t>
      </w:r>
      <w:r>
        <w:rPr>
          <w:rFonts w:eastAsia="Aptos"/>
        </w:rPr>
        <w:t xml:space="preserve"> </w:t>
      </w:r>
      <w:r w:rsidR="0039617D">
        <w:rPr>
          <w:rFonts w:eastAsia="Aptos"/>
        </w:rPr>
        <w:t xml:space="preserve">vanaf </w:t>
      </w:r>
      <w:r>
        <w:rPr>
          <w:rFonts w:eastAsia="Aptos"/>
        </w:rPr>
        <w:t>2029</w:t>
      </w:r>
      <w:r w:rsidRPr="00D478FB">
        <w:rPr>
          <w:rFonts w:eastAsia="Aptos"/>
        </w:rPr>
        <w:t xml:space="preserve">. </w:t>
      </w:r>
    </w:p>
    <w:p w:rsidR="00C366FD" w:rsidP="00C366FD" w:rsidRDefault="00C366FD" w14:paraId="7CE1FB58" w14:textId="77777777">
      <w:pPr>
        <w:spacing w:line="276" w:lineRule="auto"/>
        <w:rPr>
          <w:rFonts w:eastAsia="Aptos"/>
        </w:rPr>
      </w:pPr>
    </w:p>
    <w:p w:rsidR="00C366FD" w:rsidP="00C366FD" w:rsidRDefault="00C366FD" w14:paraId="04745F2D" w14:textId="0B0B3451">
      <w:pPr>
        <w:spacing w:line="276" w:lineRule="auto"/>
        <w:rPr>
          <w:rFonts w:eastAsia="Aptos"/>
        </w:rPr>
      </w:pPr>
      <w:r w:rsidRPr="00D478FB">
        <w:rPr>
          <w:rFonts w:eastAsia="Aptos"/>
        </w:rPr>
        <w:t xml:space="preserve">Wanneer ook de uitzondering van </w:t>
      </w:r>
      <w:proofErr w:type="spellStart"/>
      <w:r w:rsidRPr="00D478FB">
        <w:rPr>
          <w:rFonts w:eastAsia="Aptos"/>
        </w:rPr>
        <w:t>derdenleningen</w:t>
      </w:r>
      <w:proofErr w:type="spellEnd"/>
      <w:r w:rsidRPr="00D478FB">
        <w:rPr>
          <w:rFonts w:eastAsia="Aptos"/>
        </w:rPr>
        <w:t xml:space="preserve"> en de uitzondering bij een daling van het bedrijfsresultaat met 50% vanaf 2029 worden meegenomen (in aanvulling op de </w:t>
      </w:r>
      <w:r w:rsidR="0039617D">
        <w:rPr>
          <w:rFonts w:eastAsia="Aptos"/>
        </w:rPr>
        <w:t xml:space="preserve">drie </w:t>
      </w:r>
      <w:r w:rsidRPr="00D478FB">
        <w:rPr>
          <w:rFonts w:eastAsia="Aptos"/>
        </w:rPr>
        <w:t xml:space="preserve">hierboven genoemde maatregelen), is de totale structurele </w:t>
      </w:r>
      <w:r w:rsidR="005D35EF">
        <w:rPr>
          <w:rFonts w:eastAsia="Aptos"/>
        </w:rPr>
        <w:t>jaarlijkse</w:t>
      </w:r>
      <w:r w:rsidRPr="00D478FB">
        <w:rPr>
          <w:rFonts w:eastAsia="Aptos"/>
        </w:rPr>
        <w:t xml:space="preserve"> derving in ordegrootte van € 1,5 tot €</w:t>
      </w:r>
      <w:r w:rsidR="0039617D">
        <w:rPr>
          <w:rFonts w:eastAsia="Aptos"/>
        </w:rPr>
        <w:t> </w:t>
      </w:r>
      <w:r w:rsidRPr="00D478FB">
        <w:rPr>
          <w:rFonts w:eastAsia="Aptos"/>
        </w:rPr>
        <w:t>2,5 miljard.</w:t>
      </w:r>
    </w:p>
    <w:p w:rsidRPr="00D478FB" w:rsidR="00C366FD" w:rsidP="00C366FD" w:rsidRDefault="00C366FD" w14:paraId="2C06D427" w14:textId="77777777">
      <w:pPr>
        <w:spacing w:line="276" w:lineRule="auto"/>
        <w:rPr>
          <w:rFonts w:eastAsia="Aptos"/>
        </w:rPr>
      </w:pPr>
    </w:p>
    <w:p w:rsidRPr="00204774" w:rsidR="00C366FD" w:rsidP="00C366FD" w:rsidRDefault="00C366FD" w14:paraId="1D05A7B3" w14:textId="77777777">
      <w:pPr>
        <w:spacing w:line="276" w:lineRule="auto"/>
        <w:rPr>
          <w:rFonts w:eastAsia="Aptos"/>
          <w:b/>
          <w:bCs/>
          <w:u w:val="single"/>
        </w:rPr>
      </w:pPr>
      <w:r w:rsidRPr="00204774">
        <w:rPr>
          <w:rFonts w:eastAsia="Aptos"/>
          <w:b/>
          <w:bCs/>
          <w:u w:val="single"/>
        </w:rPr>
        <w:t>Introductie R&amp;D-investeringsaftrek</w:t>
      </w:r>
    </w:p>
    <w:p w:rsidRPr="00D478FB" w:rsidR="00C366FD" w:rsidP="00C366FD" w:rsidRDefault="00C366FD" w14:paraId="7CFF3519" w14:textId="7273C515">
      <w:pPr>
        <w:spacing w:line="276" w:lineRule="auto"/>
        <w:rPr>
          <w:rFonts w:eastAsia="Aptos"/>
        </w:rPr>
      </w:pPr>
      <w:r w:rsidRPr="00D478FB">
        <w:rPr>
          <w:rFonts w:eastAsia="Aptos"/>
        </w:rPr>
        <w:t xml:space="preserve">Voor de voorgestelde R&amp;D-aftrek gaat het om een hoge </w:t>
      </w:r>
      <w:r w:rsidR="005D35EF">
        <w:rPr>
          <w:rFonts w:eastAsia="Aptos"/>
        </w:rPr>
        <w:t xml:space="preserve">jaarlijkse </w:t>
      </w:r>
      <w:r w:rsidRPr="00D478FB">
        <w:rPr>
          <w:rFonts w:eastAsia="Aptos"/>
        </w:rPr>
        <w:t xml:space="preserve">derving bij invoering (tussen de </w:t>
      </w:r>
      <w:proofErr w:type="gramStart"/>
      <w:r w:rsidRPr="00D478FB">
        <w:rPr>
          <w:rFonts w:eastAsia="Aptos"/>
        </w:rPr>
        <w:t>circa</w:t>
      </w:r>
      <w:proofErr w:type="gramEnd"/>
      <w:r w:rsidRPr="00D478FB">
        <w:rPr>
          <w:rFonts w:eastAsia="Aptos"/>
        </w:rPr>
        <w:t xml:space="preserve"> € 300 tot € 400 miljoen) die langzaam afneemt richting enkele miljoenen structureel.</w:t>
      </w:r>
    </w:p>
    <w:p w:rsidR="00C366FD" w:rsidP="00C366FD" w:rsidRDefault="00C366FD" w14:paraId="65A4ED53" w14:textId="77777777">
      <w:pPr>
        <w:spacing w:line="276" w:lineRule="auto"/>
        <w:rPr>
          <w:rFonts w:eastAsia="Aptos"/>
        </w:rPr>
      </w:pPr>
    </w:p>
    <w:p w:rsidRPr="00204774" w:rsidR="00C366FD" w:rsidP="00C366FD" w:rsidRDefault="00C366FD" w14:paraId="03318311" w14:textId="77777777">
      <w:pPr>
        <w:spacing w:line="276" w:lineRule="auto"/>
        <w:rPr>
          <w:rFonts w:eastAsia="Aptos"/>
          <w:b/>
          <w:bCs/>
          <w:u w:val="single"/>
        </w:rPr>
      </w:pPr>
      <w:r w:rsidRPr="00204774">
        <w:rPr>
          <w:rFonts w:eastAsia="Aptos"/>
          <w:b/>
          <w:bCs/>
          <w:u w:val="single"/>
        </w:rPr>
        <w:t>Overig</w:t>
      </w:r>
    </w:p>
    <w:p w:rsidR="00C366FD" w:rsidP="00C366FD" w:rsidRDefault="00C366FD" w14:paraId="1D7DC499" w14:textId="77777777">
      <w:pPr>
        <w:spacing w:line="276" w:lineRule="auto"/>
        <w:rPr>
          <w:rFonts w:eastAsia="Aptos"/>
        </w:rPr>
      </w:pPr>
      <w:r w:rsidRPr="00D478FB">
        <w:rPr>
          <w:rFonts w:eastAsia="Aptos"/>
        </w:rPr>
        <w:t>Voor de overige maatregelen in het Omnibus-voorstel verwacht het kabinet geen of een geringe budgettaire impact.</w:t>
      </w:r>
    </w:p>
    <w:p w:rsidR="007832DF" w:rsidP="00C366FD" w:rsidRDefault="007832DF" w14:paraId="796BC1F3" w14:textId="77777777">
      <w:pPr>
        <w:spacing w:line="276" w:lineRule="auto"/>
        <w:rPr>
          <w:rFonts w:eastAsia="Aptos"/>
        </w:rPr>
      </w:pPr>
    </w:p>
    <w:p w:rsidR="007832DF" w:rsidP="00C366FD" w:rsidRDefault="007832DF" w14:paraId="37289B8A" w14:textId="63AF9C96">
      <w:pPr>
        <w:spacing w:line="276" w:lineRule="auto"/>
        <w:rPr>
          <w:rFonts w:eastAsia="Aptos"/>
          <w:b/>
          <w:bCs/>
          <w:u w:val="single"/>
        </w:rPr>
      </w:pPr>
      <w:r>
        <w:rPr>
          <w:rFonts w:eastAsia="Aptos"/>
          <w:b/>
          <w:bCs/>
          <w:u w:val="single"/>
        </w:rPr>
        <w:t>Totale budgettaire gevolgen van alle geraamde maatregelen samen</w:t>
      </w:r>
    </w:p>
    <w:p w:rsidR="00E70E4F" w:rsidP="007832DF" w:rsidRDefault="00E70E4F" w14:paraId="30C81934" w14:textId="510C6A76">
      <w:pPr>
        <w:spacing w:line="276" w:lineRule="auto"/>
      </w:pPr>
      <w:r>
        <w:t>Wanneer alle bovenstaande, door het kabinet geraamde maatregelen bij elkaar op worden geteld levert dit de onderstaande budgettaire gevolgen op.</w:t>
      </w:r>
    </w:p>
    <w:p w:rsidR="00E70E4F" w:rsidP="007832DF" w:rsidRDefault="00E70E4F" w14:paraId="6A07C140" w14:textId="77777777">
      <w:pPr>
        <w:spacing w:line="276" w:lineRule="auto"/>
      </w:pPr>
    </w:p>
    <w:p w:rsidR="007832DF" w:rsidP="007832DF" w:rsidRDefault="007832DF" w14:paraId="189A25B8" w14:textId="71E7C724">
      <w:pPr>
        <w:spacing w:line="276" w:lineRule="auto"/>
      </w:pPr>
      <w:r>
        <w:t xml:space="preserve">De eerste derving ontstaat </w:t>
      </w:r>
      <w:r w:rsidRPr="00D478FB">
        <w:t>vanaf 2029</w:t>
      </w:r>
      <w:r>
        <w:t>, met een omvang</w:t>
      </w:r>
      <w:r w:rsidRPr="00D478FB">
        <w:t xml:space="preserve"> in ordegrootte van € 1,8 miljard tot € </w:t>
      </w:r>
      <w:r>
        <w:t>2,9</w:t>
      </w:r>
      <w:r w:rsidRPr="00D478FB">
        <w:t xml:space="preserve"> miljard</w:t>
      </w:r>
      <w:r w:rsidR="005D35EF">
        <w:t xml:space="preserve"> per jaar</w:t>
      </w:r>
      <w:r w:rsidRPr="00D478FB">
        <w:t>. Dit heeft betrekking op de introductie van de R&amp;D-aftrek</w:t>
      </w:r>
      <w:r>
        <w:t xml:space="preserve"> (tussen de </w:t>
      </w:r>
      <w:proofErr w:type="gramStart"/>
      <w:r>
        <w:t>circa</w:t>
      </w:r>
      <w:proofErr w:type="gramEnd"/>
      <w:r>
        <w:t xml:space="preserve"> € 300 tot € 400 miljoen</w:t>
      </w:r>
      <w:r w:rsidR="0039617D">
        <w:t xml:space="preserve"> per jaar</w:t>
      </w:r>
      <w:r>
        <w:t xml:space="preserve">) </w:t>
      </w:r>
      <w:r w:rsidRPr="00D478FB">
        <w:t>en alle voorgestelde</w:t>
      </w:r>
      <w:r>
        <w:t>, door het kabinet geraamde</w:t>
      </w:r>
      <w:r w:rsidRPr="00D478FB">
        <w:t xml:space="preserve"> aanpassingen in de generieke renteaftrekbeperking</w:t>
      </w:r>
      <w:r>
        <w:t xml:space="preserve"> (in ordegrootte van € 1,5 tot € 2,5 miljard</w:t>
      </w:r>
      <w:r w:rsidR="0039617D">
        <w:t xml:space="preserve"> per jaar</w:t>
      </w:r>
      <w:r>
        <w:t>)</w:t>
      </w:r>
      <w:r w:rsidRPr="00D478FB">
        <w:t xml:space="preserve">, met uitzondering van de verhoging van de monetaire drempel. Omdat het bij de voorgestelde R&amp;D-aftrek gaat om een hoge derving bij invoer die langzaam afneemt, neemt de ingeschatte </w:t>
      </w:r>
      <w:r w:rsidR="0039617D">
        <w:t xml:space="preserve">totale </w:t>
      </w:r>
      <w:r w:rsidRPr="00D478FB">
        <w:t>budgettaire derving langzaam af vanaf 2029.</w:t>
      </w:r>
      <w:r>
        <w:t xml:space="preserve"> </w:t>
      </w:r>
    </w:p>
    <w:p w:rsidRPr="00D478FB" w:rsidR="007832DF" w:rsidP="007832DF" w:rsidRDefault="007832DF" w14:paraId="6CA5CC5F" w14:textId="77777777">
      <w:pPr>
        <w:spacing w:line="276" w:lineRule="auto"/>
      </w:pPr>
    </w:p>
    <w:p w:rsidRPr="00D478FB" w:rsidR="007832DF" w:rsidP="007832DF" w:rsidRDefault="007832DF" w14:paraId="2F9E521F" w14:textId="47E2B8CE">
      <w:pPr>
        <w:spacing w:line="276" w:lineRule="auto"/>
      </w:pPr>
      <w:r w:rsidRPr="00D478FB">
        <w:t xml:space="preserve">Vanaf 2032 treedt ook de verhoging van de monetaire drempel in de generieke renteaftrekbeperking in werking. Deze maatregel heeft, na invoering van de overige maatregelen met betrekking tot de generieke renteaftrekbeperking, geen grote verandering in de </w:t>
      </w:r>
      <w:r w:rsidR="0039617D">
        <w:t xml:space="preserve">totale </w:t>
      </w:r>
      <w:r w:rsidRPr="00D478FB">
        <w:t xml:space="preserve">geschatte </w:t>
      </w:r>
      <w:r w:rsidR="0039617D">
        <w:t>jaarlijkse</w:t>
      </w:r>
      <w:r w:rsidRPr="00D478FB" w:rsidR="0039617D">
        <w:t xml:space="preserve"> </w:t>
      </w:r>
      <w:r w:rsidRPr="00D478FB">
        <w:t xml:space="preserve">derving tot gevolg. Dit komt vanwege de samenhang met de andere voorgestelde maatregelen in de generieke renteaftrekbeperking en de onzekerheid in de </w:t>
      </w:r>
      <w:r w:rsidRPr="00D478FB">
        <w:lastRenderedPageBreak/>
        <w:t>budgettaire inschattingen van deze maatregelen, waardoor een brede ordegrootte-bandbreedte is gehanteerd. De geschatte ordegrootte van de budgettaire derving blijft daarmee onveranderd.</w:t>
      </w:r>
    </w:p>
    <w:p w:rsidRPr="00D478FB" w:rsidR="007832DF" w:rsidP="007832DF" w:rsidRDefault="007832DF" w14:paraId="67C1419B" w14:textId="77777777">
      <w:pPr>
        <w:spacing w:line="276" w:lineRule="auto"/>
      </w:pPr>
    </w:p>
    <w:p w:rsidRPr="00D478FB" w:rsidR="007832DF" w:rsidP="007832DF" w:rsidRDefault="007832DF" w14:paraId="7BFEC90C" w14:textId="486A47F5">
      <w:pPr>
        <w:spacing w:line="276" w:lineRule="auto"/>
      </w:pPr>
      <w:r w:rsidRPr="00D478FB">
        <w:t xml:space="preserve">Naast de bovengenoemde maatregelen </w:t>
      </w:r>
      <w:r>
        <w:t>treden</w:t>
      </w:r>
      <w:r w:rsidRPr="00D478FB">
        <w:t xml:space="preserve"> vanaf 2037 ook de </w:t>
      </w:r>
      <w:r>
        <w:t>afschaffing van de bezitsvereisten in</w:t>
      </w:r>
      <w:r w:rsidRPr="00D478FB">
        <w:t xml:space="preserve"> de </w:t>
      </w:r>
      <w:r>
        <w:t>MDR en de vrijstelling van pensioenfondsen in de MDR (</w:t>
      </w:r>
      <w:r w:rsidRPr="00D478FB">
        <w:t xml:space="preserve">in </w:t>
      </w:r>
      <w:r>
        <w:t xml:space="preserve">de dividendbelasting) </w:t>
      </w:r>
      <w:r w:rsidRPr="00D478FB">
        <w:t xml:space="preserve">in werking. </w:t>
      </w:r>
      <w:r>
        <w:t xml:space="preserve">De budgettaire impact van de vrijstelling van pensioenfondsen laat zich op dit moment nog lastig inschatten. </w:t>
      </w:r>
      <w:r w:rsidRPr="00D478FB">
        <w:t>D</w:t>
      </w:r>
      <w:r>
        <w:t>e afschaffing van de bezitsvereisten in de MDR</w:t>
      </w:r>
      <w:r w:rsidRPr="00D478FB">
        <w:t xml:space="preserve"> heeft een extra </w:t>
      </w:r>
      <w:r w:rsidR="009A3FC8">
        <w:t>structurele jaarlijkse derving</w:t>
      </w:r>
      <w:r w:rsidRPr="00D478FB" w:rsidR="0039617D">
        <w:t xml:space="preserve"> </w:t>
      </w:r>
      <w:r w:rsidRPr="00D478FB">
        <w:t>in ordegrootte van € 2,5 miljard tot € 3,8 miljard tot gevolg</w:t>
      </w:r>
      <w:r w:rsidR="001E741B">
        <w:t xml:space="preserve">. Deze budgettaire derving vindt plaats </w:t>
      </w:r>
      <w:r w:rsidRPr="00D478FB">
        <w:t xml:space="preserve">in </w:t>
      </w:r>
      <w:r w:rsidR="001E741B">
        <w:t xml:space="preserve">de </w:t>
      </w:r>
      <w:r w:rsidRPr="00D478FB" w:rsidR="001E741B">
        <w:t>dividendbelasting</w:t>
      </w:r>
      <w:r w:rsidR="001E741B">
        <w:t xml:space="preserve"> (€ 2,0 tot € 2,8 miljard</w:t>
      </w:r>
      <w:r w:rsidR="009A3FC8">
        <w:t xml:space="preserve"> per jaar</w:t>
      </w:r>
      <w:r w:rsidR="001E741B">
        <w:t xml:space="preserve">) en </w:t>
      </w:r>
      <w:r w:rsidRPr="00D478FB">
        <w:t xml:space="preserve">de vennootschapsbelasting </w:t>
      </w:r>
      <w:r>
        <w:t>(€ 0,5 tot € 1,0 miljard</w:t>
      </w:r>
      <w:r w:rsidR="009A3FC8">
        <w:t xml:space="preserve"> per jaar</w:t>
      </w:r>
      <w:r>
        <w:t>)</w:t>
      </w:r>
      <w:r w:rsidR="001E741B">
        <w:t xml:space="preserve">. </w:t>
      </w:r>
      <w:r w:rsidRPr="00D478FB">
        <w:t xml:space="preserve">Mogelijk heeft deze aanpassing ook derving van belastingopbrengsten in de inkomstenbelasting tot gevolg. Het kabinet heeft op dit moment </w:t>
      </w:r>
      <w:r w:rsidR="009A3FC8">
        <w:t xml:space="preserve">echter </w:t>
      </w:r>
      <w:r w:rsidRPr="00D478FB">
        <w:t>onvoldoende zekerheid over de gevolgen van deze aanpassing en de mogelijkheden in de nationale wetgeving om misbruik en eventuele box-arbitrage tegen te gaan, om een inschatting te geven van de orde van grootte van de budgettaire derving die hiermee gepaard gaat.</w:t>
      </w:r>
    </w:p>
    <w:p w:rsidRPr="007832DF" w:rsidR="007832DF" w:rsidP="00C366FD" w:rsidRDefault="007832DF" w14:paraId="5E3BDB49" w14:textId="77777777">
      <w:pPr>
        <w:spacing w:line="276" w:lineRule="auto"/>
        <w:rPr>
          <w:rFonts w:eastAsia="Aptos"/>
        </w:rPr>
      </w:pPr>
    </w:p>
    <w:p w:rsidR="007832DF" w:rsidP="00C366FD" w:rsidRDefault="007832DF" w14:paraId="3B465FCD" w14:textId="6D9F4BF3">
      <w:pPr>
        <w:spacing w:line="276" w:lineRule="auto"/>
        <w:rPr>
          <w:rFonts w:eastAsia="Aptos"/>
        </w:rPr>
      </w:pPr>
    </w:p>
    <w:p w:rsidR="007832DF" w:rsidRDefault="007832DF" w14:paraId="1331A057" w14:textId="77777777">
      <w:pPr>
        <w:autoSpaceDN/>
        <w:spacing w:line="240" w:lineRule="atLeast"/>
        <w:textAlignment w:val="auto"/>
        <w:rPr>
          <w:rFonts w:eastAsia="Aptos"/>
        </w:rPr>
      </w:pPr>
      <w:r>
        <w:rPr>
          <w:rFonts w:eastAsia="Aptos"/>
        </w:rPr>
        <w:br w:type="page"/>
      </w:r>
    </w:p>
    <w:p w:rsidRPr="00204774" w:rsidR="00CB77FC" w:rsidP="00CB77FC" w:rsidRDefault="00CB77FC" w14:paraId="50A049E9" w14:textId="506C4965">
      <w:pPr>
        <w:spacing w:line="720" w:lineRule="auto"/>
        <w:rPr>
          <w:b/>
          <w:bCs/>
          <w:sz w:val="24"/>
          <w:szCs w:val="26"/>
        </w:rPr>
      </w:pPr>
      <w:r w:rsidRPr="00204774">
        <w:rPr>
          <w:b/>
          <w:bCs/>
          <w:sz w:val="24"/>
          <w:szCs w:val="26"/>
        </w:rPr>
        <w:lastRenderedPageBreak/>
        <w:t>Toelichting bij de ramingsmethodiek</w:t>
      </w:r>
    </w:p>
    <w:p w:rsidR="00CB77FC" w:rsidP="00CB77FC" w:rsidRDefault="00CB77FC" w14:paraId="366D7A20" w14:textId="77777777">
      <w:pPr>
        <w:spacing w:line="276" w:lineRule="auto"/>
      </w:pPr>
      <w:r w:rsidRPr="00D478FB">
        <w:t xml:space="preserve">De ramingen van de budgettaire gevolgen zijn gebaseerd op de integrale aangiftedata van de Belastingdienst alsook data van het CBS en de DNB. Voor de ramingen met betrekking tot de vennootschapsbelasting gebruikt het kabinet een microsimulatiemodel waarop tot 2070 op bedrijfsniveau een te verwachten ontwikkeling van de vennootschapsbelasting-opbrengst wordt doorgerekend. In dit model zijn alle relevante regels met betrekking tot de vennootschapsbelasting inclusief de </w:t>
      </w:r>
      <w:r>
        <w:t>generieke renteaftrekbeperking</w:t>
      </w:r>
      <w:r w:rsidRPr="00D478FB">
        <w:t xml:space="preserve"> en de reguliere verliesverrekening opgenomen. In het </w:t>
      </w:r>
      <w:proofErr w:type="spellStart"/>
      <w:r w:rsidRPr="00D478FB">
        <w:t>basispad</w:t>
      </w:r>
      <w:proofErr w:type="spellEnd"/>
      <w:r w:rsidRPr="00D478FB">
        <w:t xml:space="preserve"> van het model is doorgerekend wat de vennootschapsbelasting zou zijn zonder de wijziging. In het </w:t>
      </w:r>
      <w:proofErr w:type="spellStart"/>
      <w:r w:rsidRPr="00D478FB">
        <w:t>beleidspad</w:t>
      </w:r>
      <w:proofErr w:type="spellEnd"/>
      <w:r w:rsidRPr="00D478FB">
        <w:t xml:space="preserve"> is doorgerekend wat de vennootschapsbelasting zou zijn met de maatregel. Het verschil tussen het </w:t>
      </w:r>
      <w:proofErr w:type="spellStart"/>
      <w:r w:rsidRPr="00D478FB">
        <w:t>basispad</w:t>
      </w:r>
      <w:proofErr w:type="spellEnd"/>
      <w:r w:rsidRPr="00D478FB">
        <w:t xml:space="preserve"> en het </w:t>
      </w:r>
      <w:proofErr w:type="spellStart"/>
      <w:r w:rsidRPr="00D478FB">
        <w:t>beleidspad</w:t>
      </w:r>
      <w:proofErr w:type="spellEnd"/>
      <w:r w:rsidRPr="00D478FB">
        <w:t xml:space="preserve"> geeft het effect van de maatregel weer. Het totaal van het verschil over alle ondernemingen is het budgettaire effect.</w:t>
      </w:r>
    </w:p>
    <w:p w:rsidRPr="00D478FB" w:rsidR="00CB77FC" w:rsidP="00CB77FC" w:rsidRDefault="00CB77FC" w14:paraId="20F2F751" w14:textId="77777777">
      <w:pPr>
        <w:spacing w:line="276" w:lineRule="auto"/>
      </w:pPr>
    </w:p>
    <w:p w:rsidR="00CB77FC" w:rsidP="00CB77FC" w:rsidRDefault="00CB77FC" w14:paraId="2406A22A" w14:textId="77777777">
      <w:pPr>
        <w:spacing w:line="276" w:lineRule="auto"/>
      </w:pPr>
      <w:r w:rsidRPr="00D478FB">
        <w:t xml:space="preserve">Voor het ramen van het effect </w:t>
      </w:r>
      <w:r>
        <w:t xml:space="preserve">op de dividendbelasting </w:t>
      </w:r>
      <w:r w:rsidRPr="00D478FB">
        <w:t xml:space="preserve">van </w:t>
      </w:r>
      <w:r w:rsidRPr="00D478FB">
        <w:rPr>
          <w:rFonts w:eastAsia="Aptos"/>
        </w:rPr>
        <w:t xml:space="preserve">de </w:t>
      </w:r>
      <w:r>
        <w:rPr>
          <w:rFonts w:eastAsia="Aptos"/>
        </w:rPr>
        <w:t xml:space="preserve">afschaffing van de bezitseis </w:t>
      </w:r>
      <w:r>
        <w:t>in</w:t>
      </w:r>
      <w:r w:rsidRPr="00D478FB">
        <w:t xml:space="preserve"> de moeder-dochterrichtlijn gebruikt het kabinet een model op basis van de macro-belastinginkomsten. Voor het ramen van het effect van de introductie van de R&amp;D-aftrek zijn macro-gegevens gebruikt over investeringen in R&amp;D. Op basis van gegevens van de Belastingdienst is vervolgens een inschatting gemaakt over de mate waarin de R&amp;D-aftrek uitstel realiseert.</w:t>
      </w:r>
    </w:p>
    <w:p w:rsidRPr="00D478FB" w:rsidR="00CB77FC" w:rsidP="00CB77FC" w:rsidRDefault="00CB77FC" w14:paraId="2D87E087" w14:textId="77777777">
      <w:pPr>
        <w:spacing w:line="276" w:lineRule="auto"/>
      </w:pPr>
    </w:p>
    <w:p w:rsidRPr="00204774" w:rsidR="00CB77FC" w:rsidP="00204774" w:rsidRDefault="00CB77FC" w14:paraId="51D19B15" w14:textId="1AD8E402">
      <w:pPr>
        <w:spacing w:line="276" w:lineRule="auto"/>
      </w:pPr>
      <w:r w:rsidRPr="00D478FB">
        <w:t>In de ramingen voor de aanpassingen in de generieke renteaftrekbeperking en moeder-dochterrichtlijn wordt rekening gehouden met de standaard gedragseffecten. Deze standaard gedragseffecten zijn opgenomen in de publicatie ‘Gedragseffecten belastingmaatregelen 2026’ die het ministerie in gezamenlijkheid met het CPB maakt en publiceert.</w:t>
      </w:r>
      <w:r w:rsidR="00E70E4F">
        <w:t xml:space="preserve"> </w:t>
      </w:r>
      <w:r w:rsidRPr="00D478FB" w:rsidR="00E70E4F">
        <w:t>Tweede orde effecten worden hierin niet meegenomen.</w:t>
      </w:r>
      <w:r w:rsidRPr="00D478FB">
        <w:t xml:space="preserve"> In de raming van het effect van de R&amp;D-aftrek is het kabinet uitgegaan van gedragseffecten als gevolg van anticipatie en additionele investeringen als gevolg van deze maatregel.</w:t>
      </w:r>
      <w:r>
        <w:rPr>
          <w:b/>
          <w:bCs/>
          <w:sz w:val="28"/>
          <w:szCs w:val="28"/>
        </w:rPr>
        <w:br w:type="page"/>
      </w:r>
    </w:p>
    <w:p w:rsidRPr="00204774" w:rsidR="007832DF" w:rsidP="007832DF" w:rsidRDefault="007832DF" w14:paraId="39419BDF" w14:textId="2D6F8966">
      <w:pPr>
        <w:spacing w:line="720" w:lineRule="auto"/>
        <w:rPr>
          <w:b/>
          <w:bCs/>
          <w:sz w:val="24"/>
          <w:szCs w:val="26"/>
        </w:rPr>
      </w:pPr>
      <w:r w:rsidRPr="00204774">
        <w:rPr>
          <w:b/>
          <w:bCs/>
          <w:sz w:val="24"/>
          <w:szCs w:val="26"/>
        </w:rPr>
        <w:lastRenderedPageBreak/>
        <w:t xml:space="preserve">Vergelijking met </w:t>
      </w:r>
      <w:r w:rsidRPr="00204774" w:rsidR="008611AC">
        <w:rPr>
          <w:b/>
          <w:bCs/>
          <w:sz w:val="24"/>
          <w:szCs w:val="26"/>
        </w:rPr>
        <w:t xml:space="preserve">de </w:t>
      </w:r>
      <w:r w:rsidR="00677A0E">
        <w:rPr>
          <w:b/>
          <w:bCs/>
          <w:sz w:val="24"/>
          <w:szCs w:val="26"/>
        </w:rPr>
        <w:t>analyse</w:t>
      </w:r>
      <w:r w:rsidRPr="00204774" w:rsidR="00677A0E">
        <w:rPr>
          <w:b/>
          <w:bCs/>
          <w:sz w:val="24"/>
          <w:szCs w:val="26"/>
        </w:rPr>
        <w:t xml:space="preserve"> </w:t>
      </w:r>
      <w:r w:rsidRPr="00204774" w:rsidR="008611AC">
        <w:rPr>
          <w:b/>
          <w:bCs/>
          <w:sz w:val="24"/>
          <w:szCs w:val="26"/>
        </w:rPr>
        <w:t xml:space="preserve">van </w:t>
      </w:r>
      <w:proofErr w:type="spellStart"/>
      <w:r w:rsidRPr="00204774" w:rsidR="008611AC">
        <w:rPr>
          <w:b/>
          <w:bCs/>
          <w:sz w:val="24"/>
          <w:szCs w:val="26"/>
        </w:rPr>
        <w:t>Van</w:t>
      </w:r>
      <w:proofErr w:type="spellEnd"/>
      <w:r w:rsidRPr="00204774" w:rsidR="008611AC">
        <w:rPr>
          <w:b/>
          <w:bCs/>
          <w:sz w:val="24"/>
          <w:szCs w:val="26"/>
        </w:rPr>
        <w:t xml:space="preserve"> de Streek &amp; </w:t>
      </w:r>
      <w:proofErr w:type="spellStart"/>
      <w:r w:rsidRPr="00204774" w:rsidR="008611AC">
        <w:rPr>
          <w:b/>
          <w:bCs/>
          <w:sz w:val="24"/>
          <w:szCs w:val="26"/>
        </w:rPr>
        <w:t>Vleggeert</w:t>
      </w:r>
      <w:proofErr w:type="spellEnd"/>
    </w:p>
    <w:p w:rsidR="007832DF" w:rsidP="007832DF" w:rsidRDefault="007832DF" w14:paraId="1BD2A32D" w14:textId="2090F47B">
      <w:pPr>
        <w:spacing w:line="276" w:lineRule="auto"/>
        <w:rPr>
          <w:rFonts w:eastAsia="Aptos"/>
        </w:rPr>
      </w:pPr>
      <w:r>
        <w:rPr>
          <w:rFonts w:eastAsia="Aptos"/>
        </w:rPr>
        <w:t xml:space="preserve">De hoogleraren Van de Streek en </w:t>
      </w:r>
      <w:proofErr w:type="spellStart"/>
      <w:r>
        <w:rPr>
          <w:rFonts w:eastAsia="Aptos"/>
        </w:rPr>
        <w:t>Vleggeert</w:t>
      </w:r>
      <w:proofErr w:type="spellEnd"/>
      <w:r>
        <w:rPr>
          <w:rFonts w:eastAsia="Aptos"/>
        </w:rPr>
        <w:t xml:space="preserve"> hebben een analyse gemaakt van de Omnibus-maatregelen. Zij schatten de structurele derving op € 8 miljard per jaar. </w:t>
      </w:r>
      <w:r w:rsidR="00A46D66">
        <w:rPr>
          <w:rFonts w:eastAsia="Aptos"/>
        </w:rPr>
        <w:t xml:space="preserve">Het kabinet vergelijkt de ramingen met de analyse van </w:t>
      </w:r>
      <w:proofErr w:type="spellStart"/>
      <w:r w:rsidR="00A46D66">
        <w:rPr>
          <w:rFonts w:eastAsia="Aptos"/>
        </w:rPr>
        <w:t>Van</w:t>
      </w:r>
      <w:proofErr w:type="spellEnd"/>
      <w:r w:rsidR="00A46D66">
        <w:rPr>
          <w:rFonts w:eastAsia="Aptos"/>
        </w:rPr>
        <w:t xml:space="preserve"> de Streek en </w:t>
      </w:r>
      <w:proofErr w:type="spellStart"/>
      <w:r w:rsidR="00A46D66">
        <w:rPr>
          <w:rFonts w:eastAsia="Aptos"/>
        </w:rPr>
        <w:t>Vleggeert</w:t>
      </w:r>
      <w:proofErr w:type="spellEnd"/>
      <w:r w:rsidR="00A46D66">
        <w:rPr>
          <w:rFonts w:eastAsia="Aptos"/>
        </w:rPr>
        <w:t xml:space="preserve"> in onderstaande tekst. </w:t>
      </w:r>
    </w:p>
    <w:p w:rsidR="007832DF" w:rsidP="007832DF" w:rsidRDefault="007832DF" w14:paraId="3538D44A" w14:textId="77777777">
      <w:pPr>
        <w:spacing w:line="276" w:lineRule="auto"/>
        <w:rPr>
          <w:rFonts w:eastAsia="Aptos"/>
        </w:rPr>
      </w:pPr>
    </w:p>
    <w:p w:rsidRPr="00204774" w:rsidR="007832DF" w:rsidP="007832DF" w:rsidRDefault="007832DF" w14:paraId="66D42E4D" w14:textId="358814D6">
      <w:pPr>
        <w:spacing w:line="276" w:lineRule="auto"/>
        <w:rPr>
          <w:rFonts w:eastAsia="Aptos"/>
          <w:u w:val="single"/>
        </w:rPr>
      </w:pPr>
      <w:r>
        <w:rPr>
          <w:rFonts w:eastAsia="Aptos"/>
          <w:u w:val="single"/>
        </w:rPr>
        <w:t>Generieke renteaftrekbeperking</w:t>
      </w:r>
    </w:p>
    <w:p w:rsidR="007832DF" w:rsidP="007832DF" w:rsidRDefault="007832DF" w14:paraId="64A5236A" w14:textId="1EEF623C">
      <w:pPr>
        <w:spacing w:line="276" w:lineRule="auto"/>
        <w:rPr>
          <w:rFonts w:eastAsia="Aptos"/>
          <w:bCs/>
        </w:rPr>
      </w:pPr>
      <w:r>
        <w:rPr>
          <w:rFonts w:eastAsia="Aptos"/>
        </w:rPr>
        <w:t>Allereerst op het gebied van de generieke renteaftrekbeperking.</w:t>
      </w:r>
      <w:r w:rsidRPr="004D73BD">
        <w:rPr>
          <w:rFonts w:eastAsia="Aptos"/>
          <w:bCs/>
        </w:rPr>
        <w:t xml:space="preserve"> </w:t>
      </w:r>
      <w:r w:rsidRPr="00CC77E2">
        <w:rPr>
          <w:rFonts w:eastAsia="Aptos"/>
          <w:bCs/>
        </w:rPr>
        <w:t xml:space="preserve">Van de Streek en </w:t>
      </w:r>
      <w:proofErr w:type="spellStart"/>
      <w:r w:rsidRPr="00CC77E2">
        <w:rPr>
          <w:rFonts w:eastAsia="Aptos"/>
          <w:bCs/>
        </w:rPr>
        <w:t>Vleggeert</w:t>
      </w:r>
      <w:proofErr w:type="spellEnd"/>
      <w:r w:rsidRPr="00CC77E2">
        <w:rPr>
          <w:rFonts w:eastAsia="Aptos"/>
          <w:bCs/>
        </w:rPr>
        <w:t xml:space="preserve"> schatten dat de derving € 2 tot 3 miljard zal zijn. </w:t>
      </w:r>
      <w:r w:rsidRPr="00CC77E2">
        <w:rPr>
          <w:rFonts w:eastAsia="Aptos"/>
        </w:rPr>
        <w:t xml:space="preserve">Het kabinet raamt de totale structurele </w:t>
      </w:r>
      <w:r w:rsidR="00A46D66">
        <w:rPr>
          <w:rFonts w:eastAsia="Aptos"/>
        </w:rPr>
        <w:t xml:space="preserve">jaarlijkse </w:t>
      </w:r>
      <w:r w:rsidRPr="00CC77E2">
        <w:rPr>
          <w:rFonts w:eastAsia="Aptos"/>
        </w:rPr>
        <w:t>derving van de combinatie van maatregelen in de generieke renteaftrekbeperking in ordegrootte van € 1,5 miljard tot € 2,5 miljard</w:t>
      </w:r>
      <w:r w:rsidR="00E87431">
        <w:rPr>
          <w:rStyle w:val="Voetnootmarkering"/>
          <w:rFonts w:eastAsia="Aptos"/>
        </w:rPr>
        <w:footnoteReference w:id="1"/>
      </w:r>
      <w:r w:rsidRPr="00CC77E2">
        <w:rPr>
          <w:rFonts w:eastAsia="Aptos"/>
          <w:bCs/>
        </w:rPr>
        <w:t>.</w:t>
      </w:r>
      <w:r>
        <w:rPr>
          <w:rFonts w:eastAsia="Aptos"/>
          <w:bCs/>
        </w:rPr>
        <w:t xml:space="preserve"> In de berekening van het kabinet is de derving die gepaard gaat met de uitzondering voor publiek belang niet meegenomen omdat het kabinet deze maatregel los van het </w:t>
      </w:r>
      <w:r w:rsidR="00A46D66">
        <w:rPr>
          <w:rFonts w:eastAsia="Aptos"/>
          <w:bCs/>
        </w:rPr>
        <w:t>O</w:t>
      </w:r>
      <w:r>
        <w:rPr>
          <w:rFonts w:eastAsia="Aptos"/>
          <w:bCs/>
        </w:rPr>
        <w:t xml:space="preserve">mnibusvoorstel al neemt in het kader van het stimuleren van woningbouw via woningbouwcorporaties. Wanneer deze wordt meegenomen komen de berekeningen redelijk overeen. </w:t>
      </w:r>
    </w:p>
    <w:p w:rsidR="007832DF" w:rsidP="007832DF" w:rsidRDefault="007832DF" w14:paraId="2E4C9418" w14:textId="77777777">
      <w:pPr>
        <w:spacing w:line="276" w:lineRule="auto"/>
        <w:rPr>
          <w:rFonts w:eastAsia="Aptos"/>
          <w:bCs/>
        </w:rPr>
      </w:pPr>
    </w:p>
    <w:p w:rsidRPr="00204774" w:rsidR="007832DF" w:rsidP="007832DF" w:rsidRDefault="007832DF" w14:paraId="5ECD8DEC" w14:textId="4AA5F2A8">
      <w:pPr>
        <w:spacing w:line="276" w:lineRule="auto"/>
        <w:rPr>
          <w:rFonts w:eastAsia="Aptos"/>
          <w:bCs/>
          <w:u w:val="single"/>
        </w:rPr>
      </w:pPr>
      <w:r>
        <w:rPr>
          <w:rFonts w:eastAsia="Aptos"/>
          <w:bCs/>
          <w:u w:val="single"/>
        </w:rPr>
        <w:t>Afschaffing bezitsvereisten MDR</w:t>
      </w:r>
    </w:p>
    <w:p w:rsidR="007832DF" w:rsidP="007832DF" w:rsidRDefault="007832DF" w14:paraId="4ADA167D" w14:textId="77777777">
      <w:pPr>
        <w:spacing w:line="276" w:lineRule="auto"/>
        <w:rPr>
          <w:rFonts w:eastAsia="Aptos"/>
          <w:bCs/>
        </w:rPr>
      </w:pPr>
      <w:r>
        <w:rPr>
          <w:rFonts w:eastAsia="Aptos"/>
          <w:bCs/>
        </w:rPr>
        <w:t xml:space="preserve">Verder schatten Van de Streek en </w:t>
      </w:r>
      <w:proofErr w:type="spellStart"/>
      <w:r>
        <w:rPr>
          <w:rFonts w:eastAsia="Aptos"/>
          <w:bCs/>
        </w:rPr>
        <w:t>Vleggeert</w:t>
      </w:r>
      <w:proofErr w:type="spellEnd"/>
      <w:r>
        <w:rPr>
          <w:rFonts w:eastAsia="Aptos"/>
          <w:bCs/>
        </w:rPr>
        <w:t xml:space="preserve"> de derving van het verlagen van de drempels in de MDR gelijk aan het volledig afschaffen van de dividendbelasting wat een derving betekent van € 4 miljard. Daarnaast gaan ze uit van een verplaatsing van beleggingen van box 3 naar box 2, wat neerkomt op een derving van € 1 miljard. </w:t>
      </w:r>
    </w:p>
    <w:p w:rsidR="007832DF" w:rsidP="007832DF" w:rsidRDefault="007832DF" w14:paraId="2B9D94F9" w14:textId="77777777">
      <w:pPr>
        <w:spacing w:line="276" w:lineRule="auto"/>
        <w:rPr>
          <w:rFonts w:eastAsia="Aptos"/>
          <w:bCs/>
        </w:rPr>
      </w:pPr>
    </w:p>
    <w:p w:rsidR="007771CB" w:rsidP="007771CB" w:rsidRDefault="0088660A" w14:paraId="7C8B6821" w14:textId="48F8CBD9">
      <w:pPr>
        <w:spacing w:line="276" w:lineRule="auto"/>
        <w:rPr>
          <w:rFonts w:eastAsia="Aptos"/>
        </w:rPr>
      </w:pPr>
      <w:r w:rsidRPr="00CC77E2">
        <w:rPr>
          <w:rFonts w:eastAsia="Aptos"/>
          <w:bCs/>
        </w:rPr>
        <w:t xml:space="preserve">Het kabinet raamt de budgettaire derving als gevolg van de </w:t>
      </w:r>
      <w:r>
        <w:rPr>
          <w:rFonts w:eastAsia="Aptos"/>
          <w:bCs/>
        </w:rPr>
        <w:t>afschaffing van de bezitsvereisten</w:t>
      </w:r>
      <w:r w:rsidRPr="00CC77E2">
        <w:rPr>
          <w:rFonts w:eastAsia="Aptos"/>
          <w:bCs/>
        </w:rPr>
        <w:t xml:space="preserve"> in de MDR als volgt. </w:t>
      </w:r>
      <w:r w:rsidRPr="00D478FB" w:rsidR="007771CB">
        <w:rPr>
          <w:rFonts w:eastAsia="Aptos"/>
        </w:rPr>
        <w:t xml:space="preserve">Met betrekking tot de </w:t>
      </w:r>
      <w:r w:rsidR="007771CB">
        <w:rPr>
          <w:rFonts w:eastAsia="Aptos"/>
        </w:rPr>
        <w:t xml:space="preserve">afschaffing van de bezitseis in de MDR gaat </w:t>
      </w:r>
      <w:r w:rsidRPr="00D478FB" w:rsidR="007771CB">
        <w:rPr>
          <w:rFonts w:eastAsia="Aptos"/>
        </w:rPr>
        <w:t>het bij de dividendbelasting om een structurele</w:t>
      </w:r>
      <w:r w:rsidR="007771CB">
        <w:rPr>
          <w:rFonts w:eastAsia="Aptos"/>
        </w:rPr>
        <w:t xml:space="preserve"> jaarlijkse</w:t>
      </w:r>
      <w:r w:rsidRPr="00D478FB" w:rsidR="007771CB">
        <w:rPr>
          <w:rFonts w:eastAsia="Aptos"/>
        </w:rPr>
        <w:t xml:space="preserve"> derving van tussen de </w:t>
      </w:r>
      <w:proofErr w:type="gramStart"/>
      <w:r w:rsidRPr="00D478FB" w:rsidR="007771CB">
        <w:rPr>
          <w:rFonts w:eastAsia="Aptos"/>
        </w:rPr>
        <w:t>circa</w:t>
      </w:r>
      <w:proofErr w:type="gramEnd"/>
      <w:r w:rsidRPr="00D478FB" w:rsidR="007771CB">
        <w:rPr>
          <w:rFonts w:eastAsia="Aptos"/>
        </w:rPr>
        <w:t xml:space="preserve"> € 2 miljard en de € 2,8 miljard per jaar vanaf 2037. Deze inschatting is hoger dan eerder gegeven, omdat de gedragseffecten waarschijnlijk hoger liggen dan eerder aangenomen.</w:t>
      </w:r>
      <w:r w:rsidR="007771CB">
        <w:rPr>
          <w:rFonts w:eastAsia="Aptos"/>
        </w:rPr>
        <w:t xml:space="preserve"> Ten tijde van het fiche ging het kabinet nog niet uit van doorwerking richting derde landen, maar in de huidige raming neemt het kabinet deze doorwerking wel mee via het gedragseffect.</w:t>
      </w:r>
      <w:r w:rsidRPr="00D478FB" w:rsidR="007771CB">
        <w:rPr>
          <w:rFonts w:eastAsia="Aptos"/>
        </w:rPr>
        <w:t xml:space="preserve"> Hierbij is het eveneens aannemelijk dat de maatregel gepaard gaat met anticipatie effecten.</w:t>
      </w:r>
    </w:p>
    <w:p w:rsidRPr="00D478FB" w:rsidR="007771CB" w:rsidP="007771CB" w:rsidRDefault="007771CB" w14:paraId="0B26A1C4" w14:textId="77777777">
      <w:pPr>
        <w:spacing w:line="276" w:lineRule="auto"/>
        <w:rPr>
          <w:rFonts w:eastAsia="Aptos"/>
        </w:rPr>
      </w:pPr>
    </w:p>
    <w:p w:rsidR="007771CB" w:rsidP="007771CB" w:rsidRDefault="007771CB" w14:paraId="6418A5B5" w14:textId="77777777">
      <w:pPr>
        <w:spacing w:line="276" w:lineRule="auto"/>
        <w:rPr>
          <w:rFonts w:eastAsia="Aptos"/>
        </w:rPr>
      </w:pPr>
      <w:r w:rsidRPr="00D478FB">
        <w:rPr>
          <w:rFonts w:eastAsia="Aptos"/>
        </w:rPr>
        <w:t>D</w:t>
      </w:r>
      <w:r>
        <w:rPr>
          <w:rFonts w:eastAsia="Aptos"/>
        </w:rPr>
        <w:t>aarnaast heeft d</w:t>
      </w:r>
      <w:r w:rsidRPr="00D478FB">
        <w:rPr>
          <w:rFonts w:eastAsia="Aptos"/>
        </w:rPr>
        <w:t xml:space="preserve">e </w:t>
      </w:r>
      <w:r>
        <w:rPr>
          <w:rFonts w:eastAsia="Aptos"/>
        </w:rPr>
        <w:t xml:space="preserve">afschaffing van de bezitseis </w:t>
      </w:r>
      <w:r w:rsidRPr="00D478FB">
        <w:rPr>
          <w:rFonts w:eastAsia="Aptos"/>
        </w:rPr>
        <w:t xml:space="preserve">in de </w:t>
      </w:r>
      <w:r>
        <w:rPr>
          <w:rFonts w:eastAsia="Aptos"/>
        </w:rPr>
        <w:t>MDR</w:t>
      </w:r>
      <w:r w:rsidRPr="00D478FB">
        <w:rPr>
          <w:rFonts w:eastAsia="Aptos"/>
        </w:rPr>
        <w:t xml:space="preserve"> tot gevolg dat er geen vennootschapsbelasting meer kan worden geheven over dividenden die worden ontvangen vanuit Europese dochterbedrijven. Het kabinet raamt de structurele </w:t>
      </w:r>
      <w:r>
        <w:rPr>
          <w:rFonts w:eastAsia="Aptos"/>
        </w:rPr>
        <w:t xml:space="preserve">jaarlijkse </w:t>
      </w:r>
      <w:r w:rsidRPr="00D478FB">
        <w:rPr>
          <w:rFonts w:eastAsia="Aptos"/>
        </w:rPr>
        <w:t>derving van deze aanpassing in de vennootschapsbelasting vanaf 2037 in ordegrootte van € 500 miljoen tot € 1 miljard.</w:t>
      </w:r>
    </w:p>
    <w:p w:rsidRPr="00D478FB" w:rsidR="007771CB" w:rsidP="007771CB" w:rsidRDefault="007771CB" w14:paraId="2099F1DD" w14:textId="77777777">
      <w:pPr>
        <w:spacing w:line="276" w:lineRule="auto"/>
        <w:rPr>
          <w:rFonts w:eastAsia="Aptos"/>
        </w:rPr>
      </w:pPr>
    </w:p>
    <w:p w:rsidR="007771CB" w:rsidP="007771CB" w:rsidRDefault="007771CB" w14:paraId="4CE06E58" w14:textId="77777777">
      <w:pPr>
        <w:spacing w:line="276" w:lineRule="auto"/>
        <w:rPr>
          <w:rFonts w:eastAsia="Aptos"/>
        </w:rPr>
      </w:pPr>
      <w:r w:rsidRPr="00D478FB">
        <w:rPr>
          <w:rFonts w:eastAsia="Aptos"/>
        </w:rPr>
        <w:t xml:space="preserve">De voorgestelde de </w:t>
      </w:r>
      <w:r>
        <w:rPr>
          <w:rFonts w:eastAsia="Aptos"/>
        </w:rPr>
        <w:t xml:space="preserve">afschaffing van de bezitseis </w:t>
      </w:r>
      <w:r w:rsidRPr="00D478FB">
        <w:rPr>
          <w:rFonts w:eastAsia="Aptos"/>
        </w:rPr>
        <w:t xml:space="preserve">in de </w:t>
      </w:r>
      <w:r>
        <w:rPr>
          <w:rFonts w:eastAsia="Aptos"/>
        </w:rPr>
        <w:t>MDR</w:t>
      </w:r>
      <w:r w:rsidRPr="00D478FB">
        <w:rPr>
          <w:rFonts w:eastAsia="Aptos"/>
        </w:rPr>
        <w:t xml:space="preserve"> heeft mogelijk ook gevolgen voor de inkomstenbelasting. Het kabinet heeft op dit moment onvoldoende zekerheid over deze gevolgen en de mogelijkheden in de nationale wetgeving om misbruik en eventuele box-arbitrage tegen te gaan, om een inschatting te geven van de orde van grootte van de budgettaire derving die hiermee gepaard gaat.</w:t>
      </w:r>
    </w:p>
    <w:p w:rsidR="007832DF" w:rsidP="007832DF" w:rsidRDefault="007832DF" w14:paraId="6F56ED9B" w14:textId="77777777">
      <w:pPr>
        <w:spacing w:line="276" w:lineRule="auto"/>
        <w:rPr>
          <w:rFonts w:eastAsia="Aptos"/>
          <w:bCs/>
        </w:rPr>
      </w:pPr>
    </w:p>
    <w:p w:rsidRPr="00E5497F" w:rsidR="005844F3" w:rsidP="003B6742" w:rsidRDefault="007832DF" w14:paraId="1850722F" w14:textId="4CE8EEE7">
      <w:pPr>
        <w:spacing w:line="276" w:lineRule="auto"/>
      </w:pPr>
      <w:r>
        <w:rPr>
          <w:rFonts w:eastAsia="Aptos"/>
          <w:bCs/>
        </w:rPr>
        <w:t xml:space="preserve">Naar de inschatting van het kabinet leidt dit voorstel dan ook niet tot de afschaffing van de dividendbelasting, al betreft het natuurlijk wel een significante inperking ten behoeve van de interne markt. </w:t>
      </w:r>
      <w:r w:rsidRPr="00CC77E2">
        <w:rPr>
          <w:rFonts w:eastAsia="Aptos"/>
          <w:bCs/>
        </w:rPr>
        <w:t>Te meer omdat het de verwachting is dat de aanpassing ook bij binnenlandse belastingplichtigen leidt tot gedragseffecten. Ook is het de verwachting dat gestructureerd zal worden op deze aanpassing, waardoor ook heffingsbelang ten opzichte van andere landen verloren zal gaan.</w:t>
      </w:r>
      <w:r>
        <w:rPr>
          <w:rFonts w:eastAsia="Aptos"/>
          <w:bCs/>
        </w:rPr>
        <w:t xml:space="preserve"> Het kabinet geeft in het BNC-fiche daarom ook aan dat deze maatregel beperkt moet </w:t>
      </w:r>
      <w:r>
        <w:rPr>
          <w:rFonts w:eastAsia="Aptos"/>
          <w:bCs/>
        </w:rPr>
        <w:lastRenderedPageBreak/>
        <w:t>blijven tot de interne markt en dat oneigenlijk gebruik en belastingontwijking moet worden voorkomen.</w:t>
      </w:r>
    </w:p>
    <w:sectPr w:rsidRPr="00E5497F" w:rsidR="005844F3" w:rsidSect="003458B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A110" w14:textId="77777777" w:rsidR="006E4652" w:rsidRDefault="006E4652" w:rsidP="00E87431">
      <w:pPr>
        <w:spacing w:line="240" w:lineRule="auto"/>
      </w:pPr>
      <w:r>
        <w:separator/>
      </w:r>
    </w:p>
  </w:endnote>
  <w:endnote w:type="continuationSeparator" w:id="0">
    <w:p w14:paraId="67F4D183" w14:textId="77777777" w:rsidR="006E4652" w:rsidRDefault="006E4652" w:rsidP="00E87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2FE85" w14:textId="77777777" w:rsidR="006E4652" w:rsidRDefault="006E4652" w:rsidP="00E87431">
      <w:pPr>
        <w:spacing w:line="240" w:lineRule="auto"/>
      </w:pPr>
      <w:r>
        <w:separator/>
      </w:r>
    </w:p>
  </w:footnote>
  <w:footnote w:type="continuationSeparator" w:id="0">
    <w:p w14:paraId="2AB29BCA" w14:textId="77777777" w:rsidR="006E4652" w:rsidRDefault="006E4652" w:rsidP="00E87431">
      <w:pPr>
        <w:spacing w:line="240" w:lineRule="auto"/>
      </w:pPr>
      <w:r>
        <w:continuationSeparator/>
      </w:r>
    </w:p>
  </w:footnote>
  <w:footnote w:id="1">
    <w:p w14:paraId="213B5F40" w14:textId="06833B2E" w:rsidR="00E87431" w:rsidRDefault="00E87431">
      <w:pPr>
        <w:pStyle w:val="Voetnoottekst"/>
      </w:pPr>
      <w:r>
        <w:rPr>
          <w:rStyle w:val="Voetnootmarkering"/>
        </w:rPr>
        <w:footnoteRef/>
      </w:r>
      <w:r>
        <w:t xml:space="preserve"> </w:t>
      </w:r>
      <w:r w:rsidRPr="00204774">
        <w:rPr>
          <w:sz w:val="18"/>
          <w:szCs w:val="18"/>
        </w:rPr>
        <w:t>Deze combinatie bestaat uit: verhoging van het percentage van de gecorrigeerde winst naar 30%, verhoging van de monetaire drempel naar € 3 miljoen, de verplichte groepsuitzondering, de uitzondering voor derde leningen en de uitzondering bij een daling van het bedrijfsresultaat</w:t>
      </w:r>
      <w:r w:rsidR="00334659">
        <w:rPr>
          <w:sz w:val="18"/>
          <w:szCs w:val="18"/>
        </w:rPr>
        <w:t xml:space="preserve"> met 50% ten opzichte van het voorgaande jaar.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F5"/>
    <w:rsid w:val="0002029C"/>
    <w:rsid w:val="00030C84"/>
    <w:rsid w:val="000830B6"/>
    <w:rsid w:val="00083432"/>
    <w:rsid w:val="00123BDF"/>
    <w:rsid w:val="0013083A"/>
    <w:rsid w:val="0019563B"/>
    <w:rsid w:val="001B2E70"/>
    <w:rsid w:val="001C5178"/>
    <w:rsid w:val="001E1D47"/>
    <w:rsid w:val="001E741B"/>
    <w:rsid w:val="00204774"/>
    <w:rsid w:val="00277B9E"/>
    <w:rsid w:val="002A7506"/>
    <w:rsid w:val="002B1C95"/>
    <w:rsid w:val="002C406A"/>
    <w:rsid w:val="002D61E9"/>
    <w:rsid w:val="00334659"/>
    <w:rsid w:val="00340680"/>
    <w:rsid w:val="003458BF"/>
    <w:rsid w:val="0035476B"/>
    <w:rsid w:val="00360E05"/>
    <w:rsid w:val="00364811"/>
    <w:rsid w:val="00374A15"/>
    <w:rsid w:val="0039617D"/>
    <w:rsid w:val="003A488B"/>
    <w:rsid w:val="003B6742"/>
    <w:rsid w:val="004013FE"/>
    <w:rsid w:val="00471610"/>
    <w:rsid w:val="00495E25"/>
    <w:rsid w:val="004B3689"/>
    <w:rsid w:val="004C0953"/>
    <w:rsid w:val="004E0F14"/>
    <w:rsid w:val="00503FD5"/>
    <w:rsid w:val="00526AC4"/>
    <w:rsid w:val="00540375"/>
    <w:rsid w:val="005844F3"/>
    <w:rsid w:val="005B5398"/>
    <w:rsid w:val="005C57D2"/>
    <w:rsid w:val="005D35EF"/>
    <w:rsid w:val="005E63F6"/>
    <w:rsid w:val="005F7597"/>
    <w:rsid w:val="00612E49"/>
    <w:rsid w:val="006300E9"/>
    <w:rsid w:val="00677A0E"/>
    <w:rsid w:val="006D7F18"/>
    <w:rsid w:val="006E4652"/>
    <w:rsid w:val="006F55D3"/>
    <w:rsid w:val="007033B3"/>
    <w:rsid w:val="00753549"/>
    <w:rsid w:val="00774671"/>
    <w:rsid w:val="007771CB"/>
    <w:rsid w:val="007832DF"/>
    <w:rsid w:val="00786154"/>
    <w:rsid w:val="007904BC"/>
    <w:rsid w:val="007A39ED"/>
    <w:rsid w:val="007B64AE"/>
    <w:rsid w:val="007D77FC"/>
    <w:rsid w:val="007F6DD5"/>
    <w:rsid w:val="008611AC"/>
    <w:rsid w:val="0087171A"/>
    <w:rsid w:val="0088660A"/>
    <w:rsid w:val="00890639"/>
    <w:rsid w:val="008E2B07"/>
    <w:rsid w:val="0091227A"/>
    <w:rsid w:val="00921AB4"/>
    <w:rsid w:val="00932055"/>
    <w:rsid w:val="009A3FC8"/>
    <w:rsid w:val="00A02B66"/>
    <w:rsid w:val="00A316FD"/>
    <w:rsid w:val="00A46D66"/>
    <w:rsid w:val="00A5011D"/>
    <w:rsid w:val="00A51C66"/>
    <w:rsid w:val="00A85FD1"/>
    <w:rsid w:val="00AC0063"/>
    <w:rsid w:val="00AF3F7F"/>
    <w:rsid w:val="00B0780E"/>
    <w:rsid w:val="00B21BEE"/>
    <w:rsid w:val="00B72867"/>
    <w:rsid w:val="00B81365"/>
    <w:rsid w:val="00C2021D"/>
    <w:rsid w:val="00C366FD"/>
    <w:rsid w:val="00C41192"/>
    <w:rsid w:val="00C961F5"/>
    <w:rsid w:val="00CB3521"/>
    <w:rsid w:val="00CB77FC"/>
    <w:rsid w:val="00D10A3E"/>
    <w:rsid w:val="00D46D79"/>
    <w:rsid w:val="00D80F12"/>
    <w:rsid w:val="00DB1C76"/>
    <w:rsid w:val="00E0578E"/>
    <w:rsid w:val="00E14595"/>
    <w:rsid w:val="00E505B0"/>
    <w:rsid w:val="00E5497F"/>
    <w:rsid w:val="00E574F2"/>
    <w:rsid w:val="00E70E4F"/>
    <w:rsid w:val="00E74F96"/>
    <w:rsid w:val="00E87431"/>
    <w:rsid w:val="00EB2C7F"/>
    <w:rsid w:val="00EC7C8A"/>
    <w:rsid w:val="00ED64DF"/>
    <w:rsid w:val="00F24627"/>
    <w:rsid w:val="00F334DB"/>
    <w:rsid w:val="00F44DE4"/>
    <w:rsid w:val="00F9760B"/>
    <w:rsid w:val="00FF5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2721A"/>
  <w15:chartTrackingRefBased/>
  <w15:docId w15:val="{BA8BEDE0-DCEF-4780-8B53-EC69587D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61F5"/>
    <w:pPr>
      <w:autoSpaceDN w:val="0"/>
      <w:spacing w:line="240" w:lineRule="exac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C96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6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61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61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61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61F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61F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61F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61F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61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61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61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61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61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61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61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61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61F5"/>
    <w:rPr>
      <w:rFonts w:eastAsiaTheme="majorEastAsia" w:cstheme="majorBidi"/>
      <w:color w:val="272727" w:themeColor="text1" w:themeTint="D8"/>
    </w:rPr>
  </w:style>
  <w:style w:type="paragraph" w:styleId="Titel">
    <w:name w:val="Title"/>
    <w:basedOn w:val="Standaard"/>
    <w:next w:val="Standaard"/>
    <w:link w:val="TitelChar"/>
    <w:uiPriority w:val="10"/>
    <w:qFormat/>
    <w:rsid w:val="00C961F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1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61F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61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61F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961F5"/>
    <w:rPr>
      <w:i/>
      <w:iCs/>
      <w:color w:val="404040" w:themeColor="text1" w:themeTint="BF"/>
    </w:rPr>
  </w:style>
  <w:style w:type="paragraph" w:styleId="Lijstalinea">
    <w:name w:val="List Paragraph"/>
    <w:basedOn w:val="Standaard"/>
    <w:uiPriority w:val="34"/>
    <w:qFormat/>
    <w:rsid w:val="00C961F5"/>
    <w:pPr>
      <w:ind w:left="720"/>
      <w:contextualSpacing/>
    </w:pPr>
  </w:style>
  <w:style w:type="character" w:styleId="Intensievebenadrukking">
    <w:name w:val="Intense Emphasis"/>
    <w:basedOn w:val="Standaardalinea-lettertype"/>
    <w:uiPriority w:val="21"/>
    <w:qFormat/>
    <w:rsid w:val="00C961F5"/>
    <w:rPr>
      <w:i/>
      <w:iCs/>
      <w:color w:val="0F4761" w:themeColor="accent1" w:themeShade="BF"/>
    </w:rPr>
  </w:style>
  <w:style w:type="paragraph" w:styleId="Duidelijkcitaat">
    <w:name w:val="Intense Quote"/>
    <w:basedOn w:val="Standaard"/>
    <w:next w:val="Standaard"/>
    <w:link w:val="DuidelijkcitaatChar"/>
    <w:uiPriority w:val="30"/>
    <w:qFormat/>
    <w:rsid w:val="00C96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61F5"/>
    <w:rPr>
      <w:i/>
      <w:iCs/>
      <w:color w:val="0F4761" w:themeColor="accent1" w:themeShade="BF"/>
    </w:rPr>
  </w:style>
  <w:style w:type="character" w:styleId="Intensieveverwijzing">
    <w:name w:val="Intense Reference"/>
    <w:basedOn w:val="Standaardalinea-lettertype"/>
    <w:uiPriority w:val="32"/>
    <w:qFormat/>
    <w:rsid w:val="00C961F5"/>
    <w:rPr>
      <w:b/>
      <w:bCs/>
      <w:smallCaps/>
      <w:color w:val="0F4761" w:themeColor="accent1" w:themeShade="BF"/>
      <w:spacing w:val="5"/>
    </w:rPr>
  </w:style>
  <w:style w:type="table" w:styleId="Rastertabel1licht-Accent1">
    <w:name w:val="Grid Table 1 Light Accent 1"/>
    <w:basedOn w:val="Standaardtabel"/>
    <w:uiPriority w:val="46"/>
    <w:rsid w:val="00C961F5"/>
    <w:pPr>
      <w:autoSpaceDN w:val="0"/>
      <w:spacing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Rastertabel3">
    <w:name w:val="Grid Table 3"/>
    <w:basedOn w:val="Standaardtabel"/>
    <w:uiPriority w:val="48"/>
    <w:rsid w:val="00C961F5"/>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Verwijzingopmerking">
    <w:name w:val="annotation reference"/>
    <w:basedOn w:val="Standaardalinea-lettertype"/>
    <w:uiPriority w:val="99"/>
    <w:semiHidden/>
    <w:unhideWhenUsed/>
    <w:rsid w:val="00612E49"/>
    <w:rPr>
      <w:sz w:val="16"/>
      <w:szCs w:val="16"/>
    </w:rPr>
  </w:style>
  <w:style w:type="paragraph" w:styleId="Tekstopmerking">
    <w:name w:val="annotation text"/>
    <w:basedOn w:val="Standaard"/>
    <w:link w:val="TekstopmerkingChar"/>
    <w:uiPriority w:val="99"/>
    <w:unhideWhenUsed/>
    <w:rsid w:val="00612E49"/>
    <w:pPr>
      <w:spacing w:line="240" w:lineRule="auto"/>
    </w:pPr>
    <w:rPr>
      <w:sz w:val="20"/>
      <w:szCs w:val="20"/>
    </w:rPr>
  </w:style>
  <w:style w:type="character" w:customStyle="1" w:styleId="TekstopmerkingChar">
    <w:name w:val="Tekst opmerking Char"/>
    <w:basedOn w:val="Standaardalinea-lettertype"/>
    <w:link w:val="Tekstopmerking"/>
    <w:uiPriority w:val="99"/>
    <w:rsid w:val="00612E49"/>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12E49"/>
    <w:rPr>
      <w:b/>
      <w:bCs/>
    </w:rPr>
  </w:style>
  <w:style w:type="character" w:customStyle="1" w:styleId="OnderwerpvanopmerkingChar">
    <w:name w:val="Onderwerp van opmerking Char"/>
    <w:basedOn w:val="TekstopmerkingChar"/>
    <w:link w:val="Onderwerpvanopmerking"/>
    <w:uiPriority w:val="99"/>
    <w:semiHidden/>
    <w:rsid w:val="00612E49"/>
    <w:rPr>
      <w:rFonts w:ascii="Verdana" w:eastAsia="DejaVu Sans" w:hAnsi="Verdana" w:cs="Lohit Hindi"/>
      <w:b/>
      <w:bCs/>
      <w:color w:val="000000"/>
      <w:kern w:val="0"/>
      <w:sz w:val="20"/>
      <w:szCs w:val="20"/>
      <w:lang w:eastAsia="nl-NL"/>
      <w14:ligatures w14:val="none"/>
    </w:rPr>
  </w:style>
  <w:style w:type="table" w:styleId="Tabelraster">
    <w:name w:val="Table Grid"/>
    <w:basedOn w:val="Standaardtabel"/>
    <w:uiPriority w:val="39"/>
    <w:rsid w:val="00A02B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030C84"/>
    <w:pPr>
      <w:spacing w:line="240" w:lineRule="auto"/>
    </w:pPr>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CB77FC"/>
    <w:pPr>
      <w:spacing w:line="240" w:lineRule="auto"/>
    </w:pPr>
    <w:rPr>
      <w:rFonts w:ascii="Verdana" w:hAnsi="Verdana"/>
      <w:sz w:val="18"/>
      <w:lang w:val="en-US"/>
    </w:rPr>
  </w:style>
  <w:style w:type="paragraph" w:styleId="Voetnoottekst">
    <w:name w:val="footnote text"/>
    <w:basedOn w:val="Standaard"/>
    <w:link w:val="VoetnoottekstChar"/>
    <w:uiPriority w:val="99"/>
    <w:semiHidden/>
    <w:unhideWhenUsed/>
    <w:rsid w:val="00E8743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8743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87431"/>
    <w:rPr>
      <w:vertAlign w:val="superscript"/>
    </w:rPr>
  </w:style>
  <w:style w:type="paragraph" w:styleId="Koptekst">
    <w:name w:val="header"/>
    <w:basedOn w:val="Standaard"/>
    <w:link w:val="KoptekstChar"/>
    <w:uiPriority w:val="99"/>
    <w:unhideWhenUsed/>
    <w:rsid w:val="0039617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17D"/>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39617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9617D"/>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3142</ap:Words>
  <ap:Characters>17286</ap:Characters>
  <ap:DocSecurity>4</ap:DocSecurity>
  <ap:Lines>144</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2026-10-30T14:38:00.0000000Z</dcterms:created>
  <dcterms:modified xsi:type="dcterms:W3CDTF">2026-10-30T14:38:00.0000000Z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2026-08-27T09:01:38Z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73ecf2d0-e25c-4f6c-bc8a-e4b26a3b0b9a</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y fmtid="{D5CDD505-2E9C-101B-9397-08002B2CF9AE}" pid="10" name="ContentTypeId">
    <vt:lpwstr>0x01010014234DA7144B034692E236DDCE4BB958</vt:lpwstr>
  </property>
</Properties>
</file>