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1E61" w:rsidR="131E4B03" w:rsidP="004B3766" w:rsidRDefault="63DA510D" w14:paraId="2C291DA4" w14:textId="7D904FA7">
      <w:pPr>
        <w:pStyle w:val="Kop2"/>
        <w:spacing w:line="240" w:lineRule="auto"/>
        <w:rPr>
          <w:rFonts w:ascii="Verdana" w:hAnsi="Verdana" w:eastAsia="Verdana" w:cs="Verdana"/>
          <w:color w:val="4471C4"/>
          <w:sz w:val="24"/>
          <w:szCs w:val="24"/>
        </w:rPr>
      </w:pPr>
      <w:bookmarkStart w:name="_Hlk190874508" w:id="0"/>
      <w:bookmarkEnd w:id="0"/>
      <w:r w:rsidRPr="63DA510D">
        <w:rPr>
          <w:rFonts w:ascii="Verdana" w:hAnsi="Verdana" w:eastAsia="Verdana" w:cs="Verdana"/>
          <w:color w:val="4471C4"/>
          <w:sz w:val="24"/>
          <w:szCs w:val="24"/>
        </w:rPr>
        <w:t>Geannoteerde agenda Eurogroep en Ecofinraad 9 november 2026</w:t>
      </w:r>
    </w:p>
    <w:p w:rsidRPr="0026249D" w:rsidR="0026249D" w:rsidP="004B3766" w:rsidRDefault="7AAA6FEB" w14:paraId="58600072" w14:textId="697F46D7">
      <w:pPr>
        <w:spacing w:after="0" w:line="240" w:lineRule="auto"/>
        <w:rPr>
          <w:rFonts w:ascii="Verdana" w:hAnsi="Verdana" w:eastAsia="Verdana" w:cs="Verdana"/>
          <w:color w:val="4471C4"/>
          <w:sz w:val="24"/>
          <w:szCs w:val="24"/>
        </w:rPr>
      </w:pPr>
      <w:r>
        <w:br/>
      </w:r>
      <w:r w:rsidRPr="63DA510D" w:rsidR="63DA510D">
        <w:rPr>
          <w:rFonts w:ascii="Verdana" w:hAnsi="Verdana" w:eastAsia="Verdana" w:cs="Verdana"/>
          <w:color w:val="4471C4"/>
          <w:sz w:val="24"/>
          <w:szCs w:val="24"/>
        </w:rPr>
        <w:t>Eurogroep</w:t>
      </w:r>
    </w:p>
    <w:p w:rsidRPr="00C17CB8" w:rsidR="12E91235" w:rsidP="004B3766" w:rsidRDefault="33B34F9D" w14:paraId="24A7ED1C" w14:textId="2D22DF23">
      <w:pPr>
        <w:spacing w:after="0" w:line="276" w:lineRule="auto"/>
        <w:rPr>
          <w:rFonts w:ascii="Verdana" w:hAnsi="Verdana"/>
          <w:sz w:val="18"/>
          <w:szCs w:val="18"/>
        </w:rPr>
      </w:pPr>
      <w:r w:rsidRPr="00C17CB8">
        <w:rPr>
          <w:rFonts w:ascii="Verdana" w:hAnsi="Verdana"/>
          <w:b/>
          <w:bCs/>
          <w:sz w:val="18"/>
          <w:szCs w:val="18"/>
        </w:rPr>
        <w:t>Agendaonderwerp</w:t>
      </w:r>
      <w:r w:rsidRPr="00C17CB8">
        <w:rPr>
          <w:rFonts w:ascii="Verdana" w:hAnsi="Verdana"/>
          <w:sz w:val="18"/>
          <w:szCs w:val="18"/>
        </w:rPr>
        <w:t xml:space="preserve">: </w:t>
      </w:r>
      <w:r w:rsidRPr="00C17CB8">
        <w:rPr>
          <w:rFonts w:ascii="Verdana" w:hAnsi="Verdana" w:eastAsia="Verdana" w:cs="Verdana"/>
          <w:sz w:val="18"/>
          <w:szCs w:val="18"/>
        </w:rPr>
        <w:t>Macro-economische en begrotingsontwikkelingen in de eurozone, inclusief een verslag van internationale bijeenkomsten</w:t>
      </w:r>
    </w:p>
    <w:p w:rsidRPr="00C17CB8" w:rsidR="12E91235" w:rsidP="004B3766" w:rsidRDefault="33B34F9D" w14:paraId="098A92D5" w14:textId="50DC7CD5">
      <w:pPr>
        <w:spacing w:after="0" w:line="276" w:lineRule="auto"/>
        <w:rPr>
          <w:rFonts w:ascii="Verdana" w:hAnsi="Verdana"/>
          <w:sz w:val="18"/>
          <w:szCs w:val="18"/>
        </w:rPr>
      </w:pPr>
      <w:r w:rsidRPr="00C17CB8">
        <w:rPr>
          <w:rFonts w:ascii="Verdana" w:hAnsi="Verdana" w:eastAsia="Verdana" w:cs="Verdana"/>
          <w:b/>
          <w:bCs/>
          <w:sz w:val="18"/>
          <w:szCs w:val="18"/>
        </w:rPr>
        <w:t xml:space="preserve">Document: </w:t>
      </w:r>
      <w:r w:rsidRPr="00C17CB8">
        <w:rPr>
          <w:rFonts w:ascii="Verdana" w:hAnsi="Verdana" w:eastAsia="Verdana" w:cs="Verdana"/>
          <w:sz w:val="18"/>
          <w:szCs w:val="18"/>
        </w:rPr>
        <w:t>N.v.t.</w:t>
      </w:r>
    </w:p>
    <w:p w:rsidRPr="00C17CB8" w:rsidR="12E91235" w:rsidP="004B3766" w:rsidRDefault="33B34F9D" w14:paraId="5E657416" w14:textId="5C36D610">
      <w:pPr>
        <w:spacing w:after="0" w:line="276" w:lineRule="auto"/>
        <w:rPr>
          <w:rFonts w:ascii="Verdana" w:hAnsi="Verdana"/>
          <w:sz w:val="18"/>
          <w:szCs w:val="18"/>
        </w:rPr>
      </w:pPr>
      <w:r w:rsidRPr="00C17CB8">
        <w:rPr>
          <w:rFonts w:ascii="Verdana" w:hAnsi="Verdana" w:eastAsia="Verdana" w:cs="Verdana"/>
          <w:b/>
          <w:bCs/>
          <w:sz w:val="18"/>
          <w:szCs w:val="18"/>
        </w:rPr>
        <w:t xml:space="preserve">Aard bespreking: </w:t>
      </w:r>
      <w:r w:rsidRPr="00C17CB8">
        <w:rPr>
          <w:rFonts w:ascii="Verdana" w:hAnsi="Verdana" w:eastAsia="Verdana" w:cs="Verdana"/>
          <w:sz w:val="18"/>
          <w:szCs w:val="18"/>
        </w:rPr>
        <w:t>Gedachtewisseling</w:t>
      </w:r>
    </w:p>
    <w:p w:rsidRPr="00C17CB8" w:rsidR="12E91235" w:rsidP="004B3766" w:rsidRDefault="33B34F9D" w14:paraId="1EB84B39" w14:textId="21A4F4DE">
      <w:pPr>
        <w:spacing w:after="0" w:line="276" w:lineRule="auto"/>
        <w:rPr>
          <w:rFonts w:ascii="Verdana" w:hAnsi="Verdana"/>
          <w:sz w:val="18"/>
          <w:szCs w:val="18"/>
        </w:rPr>
      </w:pPr>
      <w:r w:rsidRPr="00C17CB8">
        <w:rPr>
          <w:rFonts w:ascii="Verdana" w:hAnsi="Verdana" w:eastAsia="Verdana" w:cs="Verdana"/>
          <w:b/>
          <w:bCs/>
          <w:sz w:val="18"/>
          <w:szCs w:val="18"/>
        </w:rPr>
        <w:t xml:space="preserve">Besluitvormingsprocedure: </w:t>
      </w:r>
      <w:r w:rsidRPr="00C17CB8">
        <w:rPr>
          <w:rFonts w:ascii="Verdana" w:hAnsi="Verdana" w:eastAsia="Verdana" w:cs="Verdana"/>
          <w:sz w:val="18"/>
          <w:szCs w:val="18"/>
        </w:rPr>
        <w:t>N.v.t.</w:t>
      </w:r>
    </w:p>
    <w:p w:rsidRPr="00C17CB8" w:rsidR="0026249D" w:rsidP="004B3766" w:rsidRDefault="63DA510D" w14:paraId="5EE9ED73" w14:textId="009FA4F8">
      <w:pPr>
        <w:spacing w:after="0" w:line="276" w:lineRule="auto"/>
        <w:rPr>
          <w:rFonts w:ascii="Verdana" w:hAnsi="Verdana"/>
          <w:sz w:val="18"/>
          <w:szCs w:val="18"/>
        </w:rPr>
      </w:pPr>
      <w:r w:rsidRPr="00C17CB8">
        <w:rPr>
          <w:rFonts w:ascii="Verdana" w:hAnsi="Verdana" w:eastAsia="Verdana" w:cs="Verdana"/>
          <w:b/>
          <w:sz w:val="18"/>
          <w:szCs w:val="18"/>
        </w:rPr>
        <w:t>Toelichting:</w:t>
      </w:r>
    </w:p>
    <w:p w:rsidRPr="00C17CB8" w:rsidR="12E91235" w:rsidP="21F23B44" w:rsidRDefault="21F23B44" w14:paraId="25E7C7A4" w14:textId="411E5F52">
      <w:pPr>
        <w:spacing w:line="276" w:lineRule="auto"/>
        <w:rPr>
          <w:rFonts w:ascii="Verdana" w:hAnsi="Verdana"/>
          <w:sz w:val="18"/>
          <w:szCs w:val="18"/>
        </w:rPr>
      </w:pPr>
      <w:r w:rsidRPr="21F23B44">
        <w:rPr>
          <w:rFonts w:ascii="Verdana" w:hAnsi="Verdana"/>
          <w:sz w:val="18"/>
          <w:szCs w:val="18"/>
        </w:rPr>
        <w:t xml:space="preserve">De Eurogroep zal van gedachten wisselen over de macro-economische ontwikkelingen en </w:t>
      </w:r>
      <w:r w:rsidRPr="21F23B44" w:rsidR="00111107">
        <w:rPr>
          <w:rFonts w:ascii="Verdana" w:hAnsi="Verdana"/>
          <w:sz w:val="18"/>
          <w:szCs w:val="18"/>
        </w:rPr>
        <w:t>de begrotingsontwikkelingen</w:t>
      </w:r>
      <w:r w:rsidRPr="21F23B44">
        <w:rPr>
          <w:rFonts w:ascii="Verdana" w:hAnsi="Verdana"/>
          <w:sz w:val="18"/>
          <w:szCs w:val="18"/>
        </w:rPr>
        <w:t xml:space="preserve"> in de eurozone. De Europese Commissie en de Europese Centrale Bank (ECB) zullen waarschijnlijk een presentatie geven. </w:t>
      </w:r>
    </w:p>
    <w:p w:rsidRPr="00C17CB8" w:rsidR="12E91235" w:rsidP="004B3766" w:rsidRDefault="12E91235" w14:paraId="5CC4FFAD" w14:textId="1DAC6DBD">
      <w:pPr>
        <w:spacing w:line="276" w:lineRule="auto"/>
        <w:rPr>
          <w:rFonts w:ascii="Verdana" w:hAnsi="Verdana"/>
          <w:sz w:val="18"/>
          <w:szCs w:val="18"/>
        </w:rPr>
      </w:pPr>
      <w:r w:rsidRPr="00C17CB8">
        <w:rPr>
          <w:rFonts w:ascii="Verdana" w:hAnsi="Verdana"/>
          <w:sz w:val="18"/>
          <w:szCs w:val="18"/>
        </w:rPr>
        <w:t xml:space="preserve">De economische groei van de eurozone is relatief weerbaar, ondanks de aanhoudende energieprijsschok. In de meest recente raming van september 2026 heeft de ECB haar groeiverwachtingen licht naar boven bijgesteld met 0,1 procentpunt voor 2026 en 0,2 procentpunt voor 2027 t.o.v. de juniraming. De ECB raamt de bbp-groei op 0,9% in 2026, 1,4% in 2027 en 1,5% in 2028. </w:t>
      </w:r>
    </w:p>
    <w:p w:rsidRPr="00C17CB8" w:rsidR="12E91235" w:rsidP="004B3766" w:rsidRDefault="12E91235" w14:paraId="1CC37810" w14:textId="373E801F">
      <w:pPr>
        <w:spacing w:line="276" w:lineRule="auto"/>
        <w:rPr>
          <w:rFonts w:ascii="Verdana" w:hAnsi="Verdana"/>
          <w:sz w:val="18"/>
          <w:szCs w:val="18"/>
        </w:rPr>
      </w:pPr>
      <w:r w:rsidRPr="00C17CB8">
        <w:rPr>
          <w:rFonts w:ascii="Verdana" w:hAnsi="Verdana"/>
          <w:sz w:val="18"/>
          <w:szCs w:val="18"/>
        </w:rPr>
        <w:t xml:space="preserve">De inflatie in de eurozone is opgelopen als gevolg van de gestegen energieprijzen. In september bedroeg de inflatie 3,8%, een stijging van 0,6 procentpunt ten opzichte van augustus. De ECB raamt de inflatie in het eurogebied op 3,0% in 2026, 2,5% in 2027 en op 2,1% in 2028. Voor 2026 en 2028 is de inflatieraming ongewijzigd. De raming voor 2027 is met 0,2 procentpunt naar boven bijgesteld door het aanhoudende conflict in het Midden-Oosten. De ECB verwacht dat de inflatie in het vierde kwartaal van 2026 een piek van circa 3,6% bereikt, waarna deze in 2027 afneemt. </w:t>
      </w:r>
    </w:p>
    <w:p w:rsidRPr="00C17CB8" w:rsidR="12E91235" w:rsidP="21F23B44" w:rsidRDefault="21F23B44" w14:paraId="2FE34A64" w14:textId="189A76B6">
      <w:pPr>
        <w:spacing w:line="276" w:lineRule="auto"/>
        <w:rPr>
          <w:rFonts w:ascii="Verdana" w:hAnsi="Verdana"/>
          <w:sz w:val="18"/>
          <w:szCs w:val="18"/>
        </w:rPr>
      </w:pPr>
      <w:r w:rsidRPr="21F23B44">
        <w:rPr>
          <w:rFonts w:ascii="Verdana" w:hAnsi="Verdana"/>
          <w:sz w:val="18"/>
          <w:szCs w:val="18"/>
        </w:rPr>
        <w:t>De ECB verwacht voor het eurogebied als geheel dat zowel het begrotingstekort als de overheidsschuld verder oploopt. Volgens de ramingen stijgt het begrotingstekort van 3,0% van het bbp in 2025 naar 3,6% in 2026 en 3,7% in 2027, voordat het in 2028 licht daalt naar 3,6%. De stijging hangt samen met hogere overheidsuitgaven aan defensie, infrastructuur, de energietransitie en oplopende rentelasten. De overheidsschuld neemt naar verwachting toe van 87,1% van het bbp in 2025 tot 88,2% in 2026, 88,8% in 2027 en 89,4% in 2028. De Eurogroep zal waarschijnlijk ook stilstaan bij de recente stijging van lange rentes (bijvoorbeeld de 10-jaarsrente). Factoren die de stijging verklaren zijn hogere inflatie, een groter aanbod van schuldpapier (door hoge begrotingstekorten en AI-investeringen van de private sector) en zorgen over de schuldhoudbaarheid van overheden.</w:t>
      </w:r>
    </w:p>
    <w:p w:rsidRPr="00C17CB8" w:rsidR="12E91235" w:rsidP="004B3766" w:rsidRDefault="12E91235" w14:paraId="7539F0D5" w14:textId="7656577F">
      <w:pPr>
        <w:spacing w:line="276" w:lineRule="auto"/>
        <w:rPr>
          <w:rFonts w:ascii="Verdana" w:hAnsi="Verdana"/>
          <w:sz w:val="18"/>
          <w:szCs w:val="18"/>
        </w:rPr>
      </w:pPr>
      <w:r w:rsidRPr="00C17CB8">
        <w:rPr>
          <w:rFonts w:ascii="Verdana" w:hAnsi="Verdana"/>
          <w:sz w:val="18"/>
          <w:szCs w:val="18"/>
        </w:rPr>
        <w:t>Het I</w:t>
      </w:r>
      <w:r w:rsidR="00A3245B">
        <w:rPr>
          <w:rFonts w:ascii="Verdana" w:hAnsi="Verdana"/>
          <w:sz w:val="18"/>
          <w:szCs w:val="18"/>
        </w:rPr>
        <w:t>nternationaal Monetair Fonds (I</w:t>
      </w:r>
      <w:r w:rsidRPr="00C17CB8">
        <w:rPr>
          <w:rFonts w:ascii="Verdana" w:hAnsi="Verdana"/>
          <w:sz w:val="18"/>
          <w:szCs w:val="18"/>
        </w:rPr>
        <w:t>MF</w:t>
      </w:r>
      <w:r w:rsidR="00A3245B">
        <w:rPr>
          <w:rFonts w:ascii="Verdana" w:hAnsi="Verdana"/>
          <w:sz w:val="18"/>
          <w:szCs w:val="18"/>
        </w:rPr>
        <w:t>)</w:t>
      </w:r>
      <w:r w:rsidRPr="00C17CB8">
        <w:rPr>
          <w:rFonts w:ascii="Verdana" w:hAnsi="Verdana"/>
          <w:sz w:val="18"/>
          <w:szCs w:val="18"/>
        </w:rPr>
        <w:t xml:space="preserve"> presenteerde tijdens de jaarvergadering haar nieuwe raming. Naar verwachting groeit de mondiale economie met 3,1% in 2026 en 3,5% in 2027. Deze groei is ongelijk verdeeld, en afhankelijk van enerzijds de mogelijkheid om van AI-investeringen te profiteren en anderzijds de blootstelling aan het conflict in het Midden-Oosten. Verder was er veel aandacht voor de grenzen aan de weerbaarheid van de economie en de risico’s op</w:t>
      </w:r>
      <w:r w:rsidR="00975E2A">
        <w:rPr>
          <w:rFonts w:ascii="Verdana" w:hAnsi="Verdana"/>
          <w:sz w:val="18"/>
          <w:szCs w:val="18"/>
        </w:rPr>
        <w:t xml:space="preserve"> op</w:t>
      </w:r>
      <w:r w:rsidRPr="00C17CB8">
        <w:rPr>
          <w:rFonts w:ascii="Verdana" w:hAnsi="Verdana"/>
          <w:sz w:val="18"/>
          <w:szCs w:val="18"/>
        </w:rPr>
        <w:t>lopende rentes, hoge staatsschulden en AI. Daarnaast was er veel aandacht voor de Russische oorlog in Oekraïne.</w:t>
      </w:r>
    </w:p>
    <w:p w:rsidRPr="00C17CB8" w:rsidR="12E91235" w:rsidP="004B3766" w:rsidRDefault="12E91235" w14:paraId="09AF438D" w14:textId="3D50BA88">
      <w:pPr>
        <w:pStyle w:val="Plattetekst"/>
        <w:spacing w:after="0" w:line="276" w:lineRule="auto"/>
        <w:rPr>
          <w:rFonts w:ascii="Verdana" w:hAnsi="Verdana"/>
          <w:sz w:val="18"/>
          <w:szCs w:val="18"/>
        </w:rPr>
      </w:pPr>
      <w:r w:rsidRPr="00C17CB8">
        <w:rPr>
          <w:rFonts w:ascii="Verdana" w:hAnsi="Verdana" w:eastAsia="Verdana" w:cs="Verdana"/>
          <w:sz w:val="18"/>
          <w:szCs w:val="18"/>
        </w:rPr>
        <w:t>Het IMF waarschuwde de eurozone dat de houdbaarheid van overheidsfinanciën onder druk komt te staan door beperkte economische groei, hogere financieringskosten en hogere overheidsuitgaven. Verantwoord begrotingsbeleid, structurele hervormingen en een versterking van de interne markt zijn aandachtspunten. Nederland sluit zich aan bij deze analyse.</w:t>
      </w:r>
    </w:p>
    <w:p w:rsidRPr="00C17CB8" w:rsidR="222A5DAE" w:rsidP="004B3766" w:rsidRDefault="222A5DAE" w14:paraId="732C9CC7" w14:textId="2AA13D4A">
      <w:pPr>
        <w:spacing w:after="0" w:line="276" w:lineRule="auto"/>
        <w:rPr>
          <w:rFonts w:ascii="Verdana" w:hAnsi="Verdana"/>
          <w:b/>
          <w:bCs/>
          <w:sz w:val="18"/>
          <w:szCs w:val="18"/>
        </w:rPr>
      </w:pPr>
    </w:p>
    <w:p w:rsidRPr="00C17CB8" w:rsidR="222A5DAE" w:rsidP="004B3766" w:rsidRDefault="222A5DAE" w14:paraId="61623115" w14:textId="78806949">
      <w:pPr>
        <w:spacing w:after="0" w:line="276" w:lineRule="auto"/>
        <w:rPr>
          <w:rFonts w:ascii="Verdana" w:hAnsi="Verdana"/>
          <w:sz w:val="18"/>
          <w:szCs w:val="18"/>
        </w:rPr>
      </w:pPr>
      <w:r w:rsidRPr="00C17CB8">
        <w:rPr>
          <w:rFonts w:ascii="Verdana" w:hAnsi="Verdana"/>
          <w:b/>
          <w:bCs/>
          <w:sz w:val="18"/>
          <w:szCs w:val="18"/>
        </w:rPr>
        <w:t>Agendaonderwerp</w:t>
      </w:r>
      <w:r w:rsidRPr="00C17CB8">
        <w:rPr>
          <w:rFonts w:ascii="Verdana" w:hAnsi="Verdana"/>
          <w:sz w:val="18"/>
          <w:szCs w:val="18"/>
        </w:rPr>
        <w:t xml:space="preserve">: </w:t>
      </w:r>
      <w:r w:rsidRPr="00C17CB8">
        <w:rPr>
          <w:rFonts w:ascii="Verdana" w:hAnsi="Verdana" w:eastAsia="Verdana" w:cs="Verdana"/>
          <w:sz w:val="18"/>
          <w:szCs w:val="18"/>
        </w:rPr>
        <w:t>Het bevorderen van de digitale euro en innovatie in betalingssystemen voor het grootbankverkeer van centrale banken</w:t>
      </w:r>
    </w:p>
    <w:p w:rsidRPr="00C17CB8" w:rsidR="00DC23A6" w:rsidP="004B3766" w:rsidRDefault="688ECF3B" w14:paraId="2F1C0138" w14:textId="6D203B04">
      <w:pPr>
        <w:pStyle w:val="Voettekst"/>
        <w:spacing w:line="276" w:lineRule="auto"/>
        <w:rPr>
          <w:rFonts w:ascii="Verdana" w:hAnsi="Verdana" w:cs="Arial"/>
          <w:sz w:val="18"/>
          <w:szCs w:val="18"/>
        </w:rPr>
      </w:pPr>
      <w:r w:rsidRPr="00C17CB8">
        <w:rPr>
          <w:rFonts w:ascii="Verdana" w:hAnsi="Verdana" w:cs="Arial"/>
          <w:b/>
          <w:bCs/>
          <w:sz w:val="18"/>
          <w:szCs w:val="18"/>
        </w:rPr>
        <w:t xml:space="preserve">Document: </w:t>
      </w:r>
      <w:r w:rsidRPr="00C17CB8" w:rsidR="00A12DB3">
        <w:rPr>
          <w:rFonts w:ascii="Verdana" w:hAnsi="Verdana" w:cs="Arial"/>
          <w:sz w:val="18"/>
          <w:szCs w:val="18"/>
        </w:rPr>
        <w:t>N.v.t.</w:t>
      </w:r>
    </w:p>
    <w:p w:rsidRPr="00C17CB8" w:rsidR="00DC23A6" w:rsidP="004B3766" w:rsidRDefault="688ECF3B" w14:paraId="606793C3" w14:textId="26D319CA">
      <w:pPr>
        <w:pStyle w:val="Voettekst"/>
        <w:spacing w:line="276" w:lineRule="auto"/>
        <w:rPr>
          <w:rFonts w:ascii="Verdana" w:hAnsi="Verdana" w:cs="Arial"/>
          <w:sz w:val="18"/>
          <w:szCs w:val="18"/>
        </w:rPr>
      </w:pPr>
      <w:r w:rsidRPr="00C17CB8">
        <w:rPr>
          <w:rFonts w:ascii="Verdana" w:hAnsi="Verdana" w:cs="Arial"/>
          <w:b/>
          <w:bCs/>
          <w:sz w:val="18"/>
          <w:szCs w:val="18"/>
        </w:rPr>
        <w:t xml:space="preserve">Aard bespreking: </w:t>
      </w:r>
      <w:r w:rsidR="00C17CB8">
        <w:rPr>
          <w:rFonts w:ascii="Verdana" w:hAnsi="Verdana" w:cs="Arial"/>
          <w:sz w:val="18"/>
          <w:szCs w:val="18"/>
        </w:rPr>
        <w:t>Gedachtewisseling</w:t>
      </w:r>
    </w:p>
    <w:p w:rsidRPr="00C17CB8" w:rsidR="00DC23A6" w:rsidP="004B3766" w:rsidRDefault="688ECF3B" w14:paraId="009C988E" w14:textId="057F05F1">
      <w:pPr>
        <w:pStyle w:val="Voettekst"/>
        <w:spacing w:line="276" w:lineRule="auto"/>
        <w:rPr>
          <w:rFonts w:ascii="Verdana" w:hAnsi="Verdana" w:cs="Arial"/>
          <w:sz w:val="18"/>
          <w:szCs w:val="18"/>
        </w:rPr>
      </w:pPr>
      <w:r w:rsidRPr="00C17CB8">
        <w:rPr>
          <w:rFonts w:ascii="Verdana" w:hAnsi="Verdana" w:cs="Arial"/>
          <w:b/>
          <w:bCs/>
          <w:sz w:val="18"/>
          <w:szCs w:val="18"/>
        </w:rPr>
        <w:t xml:space="preserve">Besluitvormingsprocedure: </w:t>
      </w:r>
      <w:r w:rsidRPr="00C17CB8" w:rsidR="00A12DB3">
        <w:rPr>
          <w:rFonts w:ascii="Verdana" w:hAnsi="Verdana" w:cs="Arial"/>
          <w:sz w:val="18"/>
          <w:szCs w:val="18"/>
        </w:rPr>
        <w:t>N.v.t.</w:t>
      </w:r>
    </w:p>
    <w:p w:rsidRPr="00C17CB8" w:rsidR="00DC23A6" w:rsidP="004B3766" w:rsidRDefault="63DA510D" w14:paraId="1295249B" w14:textId="77777777">
      <w:pPr>
        <w:pStyle w:val="Voettekst"/>
        <w:spacing w:line="276" w:lineRule="auto"/>
        <w:rPr>
          <w:rFonts w:ascii="Verdana" w:hAnsi="Verdana" w:eastAsia="Calibri" w:cs="Arial"/>
          <w:b/>
          <w:bCs/>
          <w:sz w:val="18"/>
          <w:szCs w:val="18"/>
        </w:rPr>
      </w:pPr>
      <w:r w:rsidRPr="00C17CB8">
        <w:rPr>
          <w:rFonts w:ascii="Verdana" w:hAnsi="Verdana" w:eastAsia="Calibri" w:cs="Arial"/>
          <w:b/>
          <w:bCs/>
          <w:sz w:val="18"/>
          <w:szCs w:val="18"/>
        </w:rPr>
        <w:lastRenderedPageBreak/>
        <w:t>Toelichting:</w:t>
      </w:r>
    </w:p>
    <w:p w:rsidR="00276CE1" w:rsidP="004B3766" w:rsidRDefault="00276CE1" w14:paraId="7125C7C4" w14:textId="516D95CD">
      <w:pPr>
        <w:tabs>
          <w:tab w:val="center" w:pos="4536"/>
        </w:tabs>
        <w:spacing w:line="276" w:lineRule="auto"/>
        <w:rPr>
          <w:rFonts w:ascii="Verdana" w:hAnsi="Verdana"/>
          <w:sz w:val="18"/>
          <w:szCs w:val="18"/>
        </w:rPr>
      </w:pPr>
      <w:r>
        <w:rPr>
          <w:rFonts w:ascii="Verdana" w:hAnsi="Verdana"/>
          <w:sz w:val="18"/>
          <w:szCs w:val="18"/>
        </w:rPr>
        <w:t xml:space="preserve">De </w:t>
      </w:r>
      <w:r w:rsidRPr="21F23B44">
        <w:rPr>
          <w:rFonts w:ascii="Verdana" w:hAnsi="Verdana"/>
          <w:sz w:val="18"/>
          <w:szCs w:val="18"/>
        </w:rPr>
        <w:t xml:space="preserve">Commissie </w:t>
      </w:r>
      <w:r>
        <w:rPr>
          <w:rFonts w:ascii="Verdana" w:hAnsi="Verdana"/>
          <w:sz w:val="18"/>
          <w:szCs w:val="18"/>
        </w:rPr>
        <w:t xml:space="preserve">zal </w:t>
      </w:r>
      <w:r w:rsidRPr="21F23B44">
        <w:rPr>
          <w:rFonts w:ascii="Verdana" w:hAnsi="Verdana"/>
          <w:sz w:val="18"/>
          <w:szCs w:val="18"/>
        </w:rPr>
        <w:t>waarschijnlijk een update geven over de lopende triloogonderhandelingen van de digitale euro.</w:t>
      </w:r>
      <w:r>
        <w:rPr>
          <w:rFonts w:ascii="Verdana" w:hAnsi="Verdana"/>
          <w:sz w:val="18"/>
          <w:szCs w:val="18"/>
        </w:rPr>
        <w:t xml:space="preserve"> </w:t>
      </w:r>
    </w:p>
    <w:p w:rsidR="00276CE1" w:rsidP="00276CE1" w:rsidRDefault="00276CE1" w14:paraId="34DDEEE9" w14:textId="77777777">
      <w:pPr>
        <w:tabs>
          <w:tab w:val="center" w:pos="4536"/>
        </w:tabs>
        <w:spacing w:line="276" w:lineRule="auto"/>
        <w:rPr>
          <w:rFonts w:ascii="Verdana" w:hAnsi="Verdana"/>
          <w:sz w:val="18"/>
          <w:szCs w:val="18"/>
        </w:rPr>
      </w:pPr>
      <w:r w:rsidRPr="21F23B44">
        <w:rPr>
          <w:rFonts w:ascii="Verdana" w:hAnsi="Verdana"/>
          <w:sz w:val="18"/>
          <w:szCs w:val="18"/>
        </w:rPr>
        <w:t>De ambitie van het voorzitterschap is om voor het einde van 2026 een triloogakkoord te bereiken. Het kabinet steunt deze ambitie.</w:t>
      </w:r>
      <w:r>
        <w:rPr>
          <w:rFonts w:ascii="Verdana" w:hAnsi="Verdana"/>
          <w:sz w:val="18"/>
          <w:szCs w:val="18"/>
        </w:rPr>
        <w:t xml:space="preserve"> Pas na een eventueel triloogakkoord kan de ECB besluiten de digitale euro in te voeren. Als er in 2026 een triloogakkoord wordt gesloten, verwacht de ECB in 2029 in staat te zijn om de digitale euro in te voeren. </w:t>
      </w:r>
    </w:p>
    <w:p w:rsidRPr="00C17CB8" w:rsidR="00A12DB3" w:rsidP="004B3766" w:rsidRDefault="00276CE1" w14:paraId="13743FAB" w14:textId="0CF2A0F9">
      <w:pPr>
        <w:tabs>
          <w:tab w:val="center" w:pos="4536"/>
        </w:tabs>
        <w:spacing w:line="276" w:lineRule="auto"/>
        <w:rPr>
          <w:rFonts w:ascii="Verdana" w:hAnsi="Verdana"/>
          <w:sz w:val="18"/>
          <w:szCs w:val="18"/>
        </w:rPr>
      </w:pPr>
      <w:r>
        <w:rPr>
          <w:rFonts w:ascii="Verdana" w:hAnsi="Verdana"/>
          <w:sz w:val="18"/>
          <w:szCs w:val="18"/>
        </w:rPr>
        <w:t xml:space="preserve">Daarnaast zal de ECB </w:t>
      </w:r>
      <w:r w:rsidRPr="21F23B44">
        <w:rPr>
          <w:rFonts w:ascii="Verdana" w:hAnsi="Verdana"/>
          <w:sz w:val="18"/>
          <w:szCs w:val="18"/>
        </w:rPr>
        <w:t>naar verwachting een update geven over de voorbereidingen voor de pilot van de digitale euro en de ontwikkelingen voor betalingen tussen banken en centrale banken (</w:t>
      </w:r>
      <w:r w:rsidRPr="21F23B44">
        <w:rPr>
          <w:rFonts w:ascii="Verdana" w:hAnsi="Verdana"/>
          <w:i/>
          <w:iCs/>
          <w:sz w:val="18"/>
          <w:szCs w:val="18"/>
        </w:rPr>
        <w:t>wholesale</w:t>
      </w:r>
      <w:r w:rsidRPr="21F23B44">
        <w:rPr>
          <w:rFonts w:ascii="Verdana" w:hAnsi="Verdana"/>
          <w:sz w:val="18"/>
          <w:szCs w:val="18"/>
        </w:rPr>
        <w:t>-betalingen).</w:t>
      </w:r>
      <w:r>
        <w:rPr>
          <w:rFonts w:ascii="Verdana" w:hAnsi="Verdana"/>
          <w:sz w:val="18"/>
          <w:szCs w:val="18"/>
        </w:rPr>
        <w:t xml:space="preserve"> </w:t>
      </w:r>
      <w:r w:rsidRPr="00C17CB8" w:rsidR="00A12DB3">
        <w:rPr>
          <w:rFonts w:ascii="Verdana" w:hAnsi="Verdana"/>
          <w:sz w:val="18"/>
          <w:szCs w:val="18"/>
        </w:rPr>
        <w:t>Het Eurosysteem bereidt momenteel een pilot voor de digitale euro voor. Onder de aanname dat in 2026 een politiek akkoord wordt bereikt over de voorstellen voor een verordening inzake de digitale euro, zal de pilot in het tweede kwartaal van 2027 beginnen. Aan de pilot zullen 36 betaaldienstverleners deelnemen. In de pilot kunnen ECB-medewerkers en medewerkers van 19 centrale banken in het eurogebied de digitale euro gebruiken bij een aantal specifieke winkeliers om te testen hoe de digitale euro werkt in de praktijk, bijvoorbeeld op het gebied van gebruiksvriendelijkheid. De pilot zal twaalf maanden duren.</w:t>
      </w:r>
    </w:p>
    <w:p w:rsidRPr="00276CE1" w:rsidR="00A3245B" w:rsidP="00276CE1" w:rsidRDefault="21F23B44" w14:paraId="408F7DB7" w14:textId="2C43B018">
      <w:pPr>
        <w:tabs>
          <w:tab w:val="center" w:pos="4536"/>
        </w:tabs>
        <w:spacing w:line="276" w:lineRule="auto"/>
        <w:rPr>
          <w:rFonts w:ascii="Verdana" w:hAnsi="Verdana"/>
          <w:sz w:val="18"/>
          <w:szCs w:val="18"/>
        </w:rPr>
      </w:pPr>
      <w:r w:rsidRPr="21F23B44">
        <w:rPr>
          <w:rFonts w:ascii="Verdana" w:hAnsi="Verdana"/>
          <w:sz w:val="18"/>
          <w:szCs w:val="18"/>
        </w:rPr>
        <w:t xml:space="preserve">De ECB heeft daarnaast twee initiatieven opgezet om de afwikkeling van </w:t>
      </w:r>
      <w:r w:rsidRPr="21F23B44">
        <w:rPr>
          <w:rFonts w:ascii="Verdana" w:hAnsi="Verdana"/>
          <w:i/>
          <w:iCs/>
          <w:sz w:val="18"/>
          <w:szCs w:val="18"/>
        </w:rPr>
        <w:t>wholesale</w:t>
      </w:r>
      <w:r w:rsidRPr="21F23B44">
        <w:rPr>
          <w:rFonts w:ascii="Verdana" w:hAnsi="Verdana"/>
          <w:sz w:val="18"/>
          <w:szCs w:val="18"/>
        </w:rPr>
        <w:t xml:space="preserve">-transacties in centrale bankgeld op </w:t>
      </w:r>
      <w:r w:rsidRPr="21F23B44">
        <w:rPr>
          <w:rFonts w:ascii="Verdana" w:hAnsi="Verdana"/>
          <w:i/>
          <w:iCs/>
          <w:sz w:val="18"/>
          <w:szCs w:val="18"/>
        </w:rPr>
        <w:t>Distributed Ledger Technology</w:t>
      </w:r>
      <w:r w:rsidRPr="21F23B44">
        <w:rPr>
          <w:rFonts w:ascii="Verdana" w:hAnsi="Verdana"/>
          <w:sz w:val="18"/>
          <w:szCs w:val="18"/>
        </w:rPr>
        <w:t xml:space="preserve"> (DLT</w:t>
      </w:r>
      <w:r w:rsidR="00276CE1">
        <w:rPr>
          <w:rStyle w:val="Voetnootmarkering"/>
          <w:rFonts w:ascii="Verdana" w:hAnsi="Verdana"/>
          <w:sz w:val="18"/>
          <w:szCs w:val="18"/>
        </w:rPr>
        <w:footnoteReference w:id="2"/>
      </w:r>
      <w:r w:rsidRPr="21F23B44">
        <w:rPr>
          <w:rFonts w:ascii="Verdana" w:hAnsi="Verdana"/>
          <w:sz w:val="18"/>
          <w:szCs w:val="18"/>
        </w:rPr>
        <w:t xml:space="preserve">) platformen mogelijk te maken: Pontes en Appia. Pontes fungeert als brug tussen bestaande DLT-platformen en de TARGET-diensten van het Eurosysteem en is op 21 september jl. gelanceerd. Appia richt zich meer op de lange termijn en zal een nieuw integraal ecosysteem voor </w:t>
      </w:r>
      <w:r w:rsidRPr="21F23B44">
        <w:rPr>
          <w:rFonts w:ascii="Verdana" w:hAnsi="Verdana"/>
          <w:i/>
          <w:iCs/>
          <w:sz w:val="18"/>
          <w:szCs w:val="18"/>
        </w:rPr>
        <w:t>wholesale</w:t>
      </w:r>
      <w:r w:rsidRPr="21F23B44">
        <w:rPr>
          <w:rFonts w:ascii="Verdana" w:hAnsi="Verdana"/>
          <w:sz w:val="18"/>
          <w:szCs w:val="18"/>
        </w:rPr>
        <w:t xml:space="preserve">-transacties op basis van DLT behelzen. De blauwdruk hiervoor wordt in 2028 verwacht. Het kabinet steunt deze initiatieven, omdat het bijdraagt aan innovatie en Europese strategische autonomie. </w:t>
      </w:r>
    </w:p>
    <w:p w:rsidRPr="00C17CB8" w:rsidR="0026249D" w:rsidP="004B3766" w:rsidRDefault="222A5DAE" w14:paraId="3C1C8D2C" w14:textId="59D94C06">
      <w:pPr>
        <w:spacing w:after="0" w:line="276" w:lineRule="auto"/>
        <w:rPr>
          <w:rFonts w:ascii="Verdana" w:hAnsi="Verdana" w:cs="Arial"/>
          <w:sz w:val="18"/>
          <w:szCs w:val="18"/>
        </w:rPr>
      </w:pPr>
      <w:r w:rsidRPr="00C17CB8">
        <w:rPr>
          <w:rFonts w:ascii="Verdana" w:hAnsi="Verdana"/>
          <w:b/>
          <w:bCs/>
          <w:sz w:val="18"/>
          <w:szCs w:val="18"/>
        </w:rPr>
        <w:t>Agendaonderwerp</w:t>
      </w:r>
      <w:r w:rsidRPr="00C17CB8">
        <w:rPr>
          <w:rFonts w:ascii="Verdana" w:hAnsi="Verdana"/>
          <w:sz w:val="18"/>
          <w:szCs w:val="18"/>
        </w:rPr>
        <w:t xml:space="preserve">: </w:t>
      </w:r>
      <w:r w:rsidRPr="00C17CB8">
        <w:rPr>
          <w:rFonts w:ascii="Verdana" w:hAnsi="Verdana" w:eastAsia="Verdana" w:cs="Verdana"/>
          <w:sz w:val="18"/>
          <w:szCs w:val="18"/>
        </w:rPr>
        <w:t xml:space="preserve">Rapportage over de bankenunie </w:t>
      </w:r>
    </w:p>
    <w:p w:rsidRPr="00C17CB8" w:rsidR="00C17CB8" w:rsidP="004B3766" w:rsidRDefault="222A5DAE" w14:paraId="19C21A13" w14:textId="77777777">
      <w:pPr>
        <w:pStyle w:val="Lijstalinea"/>
        <w:numPr>
          <w:ilvl w:val="0"/>
          <w:numId w:val="10"/>
        </w:numPr>
        <w:spacing w:line="276" w:lineRule="auto"/>
        <w:rPr>
          <w:rFonts w:ascii="Verdana" w:hAnsi="Verdana"/>
          <w:sz w:val="18"/>
          <w:szCs w:val="18"/>
        </w:rPr>
      </w:pPr>
      <w:r w:rsidRPr="00C17CB8">
        <w:rPr>
          <w:rFonts w:ascii="Verdana" w:hAnsi="Verdana" w:eastAsia="Verdana" w:cs="Verdana"/>
          <w:sz w:val="18"/>
          <w:szCs w:val="18"/>
        </w:rPr>
        <w:t xml:space="preserve">Vierentwintigste hoorzitting van de voorzitter van de Raad van Toezicht </w:t>
      </w:r>
    </w:p>
    <w:p w:rsidR="00C17CB8" w:rsidP="004B3766" w:rsidRDefault="63DA510D" w14:paraId="3BF7898A" w14:textId="77777777">
      <w:pPr>
        <w:pStyle w:val="Lijstalinea"/>
        <w:numPr>
          <w:ilvl w:val="0"/>
          <w:numId w:val="10"/>
        </w:numPr>
        <w:spacing w:line="276" w:lineRule="auto"/>
        <w:rPr>
          <w:rFonts w:ascii="Verdana" w:hAnsi="Verdana"/>
          <w:sz w:val="18"/>
          <w:szCs w:val="18"/>
        </w:rPr>
      </w:pPr>
      <w:r w:rsidRPr="00C17CB8">
        <w:rPr>
          <w:rFonts w:ascii="Verdana" w:hAnsi="Verdana" w:eastAsia="Verdana" w:cs="Verdana"/>
          <w:sz w:val="18"/>
          <w:szCs w:val="18"/>
        </w:rPr>
        <w:t>Verslaglegging over recente activiteiten van de Gemeenschappelijke Afwikkelingsraad (</w:t>
      </w:r>
      <w:r w:rsidRPr="007870A5">
        <w:rPr>
          <w:rFonts w:ascii="Verdana" w:hAnsi="Verdana" w:eastAsia="Verdana" w:cs="Verdana"/>
          <w:i/>
          <w:iCs/>
          <w:sz w:val="18"/>
          <w:szCs w:val="18"/>
        </w:rPr>
        <w:t>Single Resolution Board</w:t>
      </w:r>
      <w:r w:rsidRPr="00C17CB8">
        <w:rPr>
          <w:rFonts w:ascii="Verdana" w:hAnsi="Verdana" w:eastAsia="Verdana" w:cs="Verdana"/>
          <w:sz w:val="18"/>
          <w:szCs w:val="18"/>
        </w:rPr>
        <w:t>)</w:t>
      </w:r>
    </w:p>
    <w:p w:rsidRPr="00C17CB8" w:rsidR="0026249D" w:rsidP="004B3766" w:rsidRDefault="63DA510D" w14:paraId="72D7C621" w14:textId="3E413CC6">
      <w:pPr>
        <w:spacing w:after="0" w:line="276" w:lineRule="auto"/>
        <w:rPr>
          <w:rFonts w:ascii="Verdana" w:hAnsi="Verdana" w:cs="Times New Roman"/>
          <w:sz w:val="18"/>
          <w:szCs w:val="18"/>
        </w:rPr>
      </w:pPr>
      <w:r w:rsidRPr="00C17CB8">
        <w:rPr>
          <w:rFonts w:ascii="Verdana" w:hAnsi="Verdana" w:cs="Arial"/>
          <w:b/>
          <w:bCs/>
          <w:sz w:val="18"/>
          <w:szCs w:val="18"/>
        </w:rPr>
        <w:t xml:space="preserve">Document: </w:t>
      </w:r>
      <w:r w:rsidR="006B658A">
        <w:rPr>
          <w:rFonts w:ascii="Verdana" w:hAnsi="Verdana" w:cs="Arial"/>
          <w:sz w:val="18"/>
          <w:szCs w:val="18"/>
        </w:rPr>
        <w:t>N.v.t.</w:t>
      </w:r>
    </w:p>
    <w:p w:rsidRPr="006B658A" w:rsidR="0026249D" w:rsidP="004B3766" w:rsidRDefault="688ECF3B" w14:paraId="489CDD7B" w14:textId="17621E58">
      <w:pPr>
        <w:pStyle w:val="Plattetekst"/>
        <w:spacing w:after="0" w:line="276" w:lineRule="auto"/>
        <w:rPr>
          <w:rFonts w:ascii="Verdana" w:hAnsi="Verdana" w:cs="Arial"/>
          <w:sz w:val="18"/>
          <w:szCs w:val="18"/>
        </w:rPr>
      </w:pPr>
      <w:r w:rsidRPr="00C17CB8">
        <w:rPr>
          <w:rFonts w:ascii="Verdana" w:hAnsi="Verdana" w:cs="Arial" w:eastAsiaTheme="minorHAnsi"/>
          <w:b/>
          <w:bCs/>
          <w:sz w:val="18"/>
          <w:szCs w:val="18"/>
          <w:lang w:eastAsia="en-US"/>
        </w:rPr>
        <w:t>Aardbespreking:</w:t>
      </w:r>
      <w:r w:rsidR="006B658A">
        <w:rPr>
          <w:rFonts w:ascii="Verdana" w:hAnsi="Verdana" w:cs="Arial" w:eastAsiaTheme="minorHAnsi"/>
          <w:b/>
          <w:bCs/>
          <w:sz w:val="18"/>
          <w:szCs w:val="18"/>
          <w:lang w:eastAsia="en-US"/>
        </w:rPr>
        <w:t xml:space="preserve"> </w:t>
      </w:r>
      <w:r w:rsidR="006B658A">
        <w:rPr>
          <w:rFonts w:ascii="Verdana" w:hAnsi="Verdana" w:cs="Arial" w:eastAsiaTheme="minorHAnsi"/>
          <w:sz w:val="18"/>
          <w:szCs w:val="18"/>
          <w:lang w:eastAsia="en-US"/>
        </w:rPr>
        <w:t>Gedachtewisseling</w:t>
      </w:r>
      <w:r w:rsidRPr="00C17CB8">
        <w:rPr>
          <w:rFonts w:ascii="Verdana" w:hAnsi="Verdana" w:cs="Arial"/>
          <w:b/>
          <w:bCs/>
          <w:sz w:val="18"/>
          <w:szCs w:val="18"/>
        </w:rPr>
        <w:t xml:space="preserve"> </w:t>
      </w:r>
      <w:r w:rsidRPr="00C17CB8" w:rsidR="0026249D">
        <w:rPr>
          <w:rFonts w:ascii="Verdana" w:hAnsi="Verdana"/>
          <w:sz w:val="18"/>
          <w:szCs w:val="18"/>
        </w:rPr>
        <w:br/>
      </w:r>
      <w:r w:rsidRPr="00C17CB8">
        <w:rPr>
          <w:rFonts w:ascii="Verdana" w:hAnsi="Verdana" w:cs="Arial"/>
          <w:b/>
          <w:bCs/>
          <w:sz w:val="18"/>
          <w:szCs w:val="18"/>
        </w:rPr>
        <w:t xml:space="preserve">Besluitvormingsprocedure: </w:t>
      </w:r>
      <w:r w:rsidR="006B658A">
        <w:rPr>
          <w:rFonts w:ascii="Verdana" w:hAnsi="Verdana" w:cs="Arial"/>
          <w:sz w:val="18"/>
          <w:szCs w:val="18"/>
        </w:rPr>
        <w:t>N.v.t.</w:t>
      </w:r>
    </w:p>
    <w:p w:rsidRPr="00B44D01" w:rsidR="00C219FB" w:rsidP="00C219FB" w:rsidRDefault="222A5DAE" w14:paraId="44081C95" w14:textId="04FB352C">
      <w:pPr>
        <w:spacing w:line="276" w:lineRule="auto"/>
        <w:rPr>
          <w:rFonts w:ascii="Verdana" w:hAnsi="Verdana" w:eastAsia="Verdana" w:cs="Verdana"/>
          <w:b/>
          <w:bCs/>
          <w:sz w:val="18"/>
          <w:szCs w:val="18"/>
        </w:rPr>
      </w:pPr>
      <w:r w:rsidRPr="00C17CB8">
        <w:rPr>
          <w:rFonts w:ascii="Verdana" w:hAnsi="Verdana" w:eastAsia="Calibri" w:cs="Arial"/>
          <w:b/>
          <w:bCs/>
          <w:sz w:val="18"/>
          <w:szCs w:val="18"/>
        </w:rPr>
        <w:t>Toelichting:</w:t>
      </w:r>
      <w:r w:rsidR="00C219FB">
        <w:rPr>
          <w:rFonts w:ascii="Verdana" w:hAnsi="Verdana" w:eastAsia="Calibri" w:cs="Arial"/>
          <w:b/>
          <w:bCs/>
          <w:sz w:val="18"/>
          <w:szCs w:val="18"/>
        </w:rPr>
        <w:br/>
      </w:r>
      <w:r w:rsidRPr="6A5CACB0" w:rsidR="00C219FB">
        <w:rPr>
          <w:rFonts w:ascii="Verdana" w:hAnsi="Verdana" w:eastAsia="Verdana" w:cs="Verdana"/>
          <w:sz w:val="18"/>
          <w:szCs w:val="18"/>
        </w:rPr>
        <w:t>Op grond van een memorandum van overeenstemming tussen de Ecofinraad en de ECB neemt de voorzitter van het Gemeenschappelijk Toezichtmechanisme (</w:t>
      </w:r>
      <w:r w:rsidRPr="007870A5" w:rsidR="00C219FB">
        <w:rPr>
          <w:rFonts w:ascii="Verdana" w:hAnsi="Verdana" w:eastAsia="Verdana" w:cs="Verdana"/>
          <w:i/>
          <w:iCs/>
          <w:sz w:val="18"/>
          <w:szCs w:val="18"/>
        </w:rPr>
        <w:t>Single Supervisory Mechanism</w:t>
      </w:r>
      <w:r w:rsidRPr="6A5CACB0" w:rsidR="00C219FB">
        <w:rPr>
          <w:rFonts w:ascii="Verdana" w:hAnsi="Verdana" w:eastAsia="Verdana" w:cs="Verdana"/>
          <w:sz w:val="18"/>
          <w:szCs w:val="18"/>
        </w:rPr>
        <w:t>, SSM) twee keer per jaar deel aan de Eurogroep om van gedachten te wisselen. De voorzitter van het SSM zal naar verwachting toelichten hoe de Europese bankensector ervoor staat.</w:t>
      </w:r>
    </w:p>
    <w:p w:rsidR="222A5DAE" w:rsidP="00635BC5" w:rsidRDefault="00C219FB" w14:paraId="267EFFB2" w14:textId="43CBDE14">
      <w:pPr>
        <w:spacing w:after="0"/>
        <w:rPr>
          <w:rFonts w:ascii="Verdana" w:hAnsi="Verdana" w:eastAsia="Verdana" w:cs="Verdana"/>
          <w:sz w:val="18"/>
          <w:szCs w:val="18"/>
        </w:rPr>
      </w:pPr>
      <w:r w:rsidRPr="6A5CACB0">
        <w:rPr>
          <w:rFonts w:ascii="Verdana" w:hAnsi="Verdana" w:eastAsia="Verdana" w:cs="Verdana"/>
          <w:sz w:val="18"/>
          <w:szCs w:val="18"/>
        </w:rPr>
        <w:t>Daarnaast is tijdens de Eurogroep van november 2016 afgesproken dat ook de voorzitter van de Gemeenschappelijke Afwikkelingsraad (</w:t>
      </w:r>
      <w:r w:rsidRPr="007870A5">
        <w:rPr>
          <w:rFonts w:ascii="Verdana" w:hAnsi="Verdana" w:eastAsia="Verdana" w:cs="Verdana"/>
          <w:i/>
          <w:iCs/>
          <w:sz w:val="18"/>
          <w:szCs w:val="18"/>
        </w:rPr>
        <w:t>Single Resolution Board</w:t>
      </w:r>
      <w:r w:rsidRPr="6A5CACB0">
        <w:rPr>
          <w:rFonts w:ascii="Verdana" w:hAnsi="Verdana" w:eastAsia="Verdana" w:cs="Verdana"/>
          <w:sz w:val="18"/>
          <w:szCs w:val="18"/>
        </w:rPr>
        <w:t>, SRB) elk halfjaar een toelichting geeft over de werkzaamheden van de SRB, waaronder de resolutieplanning en de contributies van het gemeenschappelijk afwikkelfonds (</w:t>
      </w:r>
      <w:r w:rsidRPr="007870A5">
        <w:rPr>
          <w:rFonts w:ascii="Verdana" w:hAnsi="Verdana" w:eastAsia="Verdana" w:cs="Verdana"/>
          <w:i/>
          <w:iCs/>
          <w:sz w:val="18"/>
          <w:szCs w:val="18"/>
        </w:rPr>
        <w:t>Single Resolution Fund</w:t>
      </w:r>
      <w:r w:rsidRPr="6A5CACB0">
        <w:rPr>
          <w:rFonts w:ascii="Verdana" w:hAnsi="Verdana" w:eastAsia="Verdana" w:cs="Verdana"/>
          <w:sz w:val="18"/>
          <w:szCs w:val="18"/>
        </w:rPr>
        <w:t>, SRF). De SRB heeft haar focus vanaf 2024 verplaatst van het ontwerpen van resolutieplannen, naar het testen van de uitvoerbaarheid. De SRB zal vermoedelijk rapporteren over de voortgang hiervan.</w:t>
      </w:r>
    </w:p>
    <w:p w:rsidRPr="00C219FB" w:rsidR="00635BC5" w:rsidP="007870A5" w:rsidRDefault="00635BC5" w14:paraId="5ACB43E6" w14:textId="77777777">
      <w:pPr>
        <w:spacing w:after="0"/>
      </w:pPr>
    </w:p>
    <w:p w:rsidRPr="00C17CB8" w:rsidR="222A5DAE" w:rsidP="004B3766" w:rsidRDefault="63DA510D" w14:paraId="0ACFEB89" w14:textId="7F138399">
      <w:pPr>
        <w:spacing w:after="0" w:line="276" w:lineRule="auto"/>
        <w:rPr>
          <w:rFonts w:ascii="Verdana" w:hAnsi="Verdana"/>
          <w:sz w:val="24"/>
          <w:szCs w:val="24"/>
        </w:rPr>
      </w:pPr>
      <w:r w:rsidRPr="00C17CB8">
        <w:rPr>
          <w:rFonts w:ascii="Verdana" w:hAnsi="Verdana" w:eastAsia="Verdana" w:cs="Verdana"/>
          <w:color w:val="4471C4"/>
          <w:sz w:val="24"/>
          <w:szCs w:val="24"/>
        </w:rPr>
        <w:t xml:space="preserve">Eurogroep in </w:t>
      </w:r>
      <w:r w:rsidR="00975E2A">
        <w:rPr>
          <w:rFonts w:ascii="Verdana" w:hAnsi="Verdana" w:eastAsia="Verdana" w:cs="Verdana"/>
          <w:color w:val="4471C4"/>
          <w:sz w:val="24"/>
          <w:szCs w:val="24"/>
        </w:rPr>
        <w:t>inclusieve samenstelling</w:t>
      </w:r>
    </w:p>
    <w:p w:rsidR="3998A114" w:rsidP="21F23B44" w:rsidRDefault="21F23B44" w14:paraId="5CAD2C3F" w14:textId="63FED40E">
      <w:pPr>
        <w:spacing w:after="0" w:line="276" w:lineRule="auto"/>
        <w:rPr>
          <w:rFonts w:ascii="Verdana" w:hAnsi="Verdana"/>
          <w:sz w:val="18"/>
          <w:szCs w:val="18"/>
        </w:rPr>
      </w:pPr>
      <w:r w:rsidRPr="21F23B44">
        <w:rPr>
          <w:rFonts w:ascii="Verdana" w:hAnsi="Verdana"/>
          <w:b/>
          <w:bCs/>
          <w:sz w:val="18"/>
          <w:szCs w:val="18"/>
        </w:rPr>
        <w:t xml:space="preserve">Agendaonderwerp: </w:t>
      </w:r>
      <w:r w:rsidRPr="21F23B44">
        <w:rPr>
          <w:rFonts w:ascii="Verdana" w:hAnsi="Verdana"/>
          <w:sz w:val="18"/>
          <w:szCs w:val="18"/>
        </w:rPr>
        <w:t>Defensiefinanciering</w:t>
      </w:r>
      <w:r w:rsidR="222A5DAE">
        <w:br/>
      </w:r>
      <w:r w:rsidRPr="21F23B44">
        <w:rPr>
          <w:rFonts w:ascii="Verdana" w:hAnsi="Verdana" w:eastAsia="Verdana" w:cs="Verdana"/>
          <w:b/>
          <w:bCs/>
          <w:sz w:val="18"/>
          <w:szCs w:val="18"/>
        </w:rPr>
        <w:t xml:space="preserve">Document: </w:t>
      </w:r>
      <w:r w:rsidRPr="21F23B44">
        <w:rPr>
          <w:rFonts w:ascii="Verdana" w:hAnsi="Verdana" w:eastAsia="Verdana" w:cs="Verdana"/>
          <w:sz w:val="18"/>
          <w:szCs w:val="18"/>
        </w:rPr>
        <w:t>N.v.t.</w:t>
      </w:r>
      <w:r w:rsidR="222A5DAE">
        <w:br/>
      </w:r>
      <w:r w:rsidRPr="21F23B44">
        <w:rPr>
          <w:rFonts w:ascii="Verdana" w:hAnsi="Verdana" w:eastAsia="Verdana" w:cs="Verdana"/>
          <w:b/>
          <w:bCs/>
          <w:sz w:val="18"/>
          <w:szCs w:val="18"/>
        </w:rPr>
        <w:t xml:space="preserve">Aard bespreking: </w:t>
      </w:r>
      <w:r w:rsidRPr="21F23B44">
        <w:rPr>
          <w:rFonts w:ascii="Verdana" w:hAnsi="Verdana" w:eastAsia="Verdana" w:cs="Verdana"/>
          <w:sz w:val="18"/>
          <w:szCs w:val="18"/>
        </w:rPr>
        <w:t>Gedachtewisseling</w:t>
      </w:r>
      <w:r w:rsidRPr="21F23B44">
        <w:rPr>
          <w:rFonts w:ascii="Verdana" w:hAnsi="Verdana" w:eastAsia="Verdana" w:cs="Verdana"/>
          <w:b/>
          <w:bCs/>
          <w:sz w:val="18"/>
          <w:szCs w:val="18"/>
        </w:rPr>
        <w:t xml:space="preserve"> </w:t>
      </w:r>
      <w:r w:rsidR="222A5DAE">
        <w:br/>
      </w:r>
      <w:r w:rsidRPr="21F23B44">
        <w:rPr>
          <w:rFonts w:ascii="Verdana" w:hAnsi="Verdana" w:eastAsia="Verdana" w:cs="Verdana"/>
          <w:b/>
          <w:bCs/>
          <w:sz w:val="18"/>
          <w:szCs w:val="18"/>
        </w:rPr>
        <w:t xml:space="preserve">Besluitvormingsprocedure: </w:t>
      </w:r>
      <w:r w:rsidRPr="21F23B44">
        <w:rPr>
          <w:rFonts w:ascii="Verdana" w:hAnsi="Verdana" w:eastAsia="Verdana" w:cs="Verdana"/>
          <w:sz w:val="18"/>
          <w:szCs w:val="18"/>
        </w:rPr>
        <w:t>N.v.t.</w:t>
      </w:r>
      <w:r w:rsidR="222A5DAE">
        <w:br/>
      </w:r>
      <w:r w:rsidRPr="21F23B44">
        <w:rPr>
          <w:rFonts w:ascii="Verdana" w:hAnsi="Verdana" w:eastAsia="Verdana" w:cs="Verdana"/>
          <w:b/>
          <w:bCs/>
          <w:sz w:val="18"/>
          <w:szCs w:val="18"/>
        </w:rPr>
        <w:t>Toelichting:</w:t>
      </w:r>
      <w:r w:rsidRPr="21F23B44">
        <w:rPr>
          <w:rFonts w:ascii="Verdana" w:hAnsi="Verdana"/>
          <w:sz w:val="18"/>
          <w:szCs w:val="18"/>
        </w:rPr>
        <w:t xml:space="preserve"> </w:t>
      </w:r>
      <w:r w:rsidR="222A5DAE">
        <w:br/>
      </w:r>
      <w:r w:rsidRPr="21F23B44">
        <w:rPr>
          <w:rFonts w:ascii="Verdana" w:hAnsi="Verdana"/>
          <w:sz w:val="18"/>
          <w:szCs w:val="18"/>
        </w:rPr>
        <w:lastRenderedPageBreak/>
        <w:t>De Eurogroep wisselt van gedachten over defensiefinanciering, in aanwezigheid van Secretaris-Generaal van de NAVO. De precieze invulling van de discussie is op het moment van schrijven nog niet bekend. Mogelijk zal tijdens de gedachtewisseling aandacht zijn voor de stijgende defensie-uitgaven tegen de achtergrond van beperkte nationale begrotingsruimte van lidstaten. In dat kader zal mogelijk ook aandacht gevraagd worden voor het belang van gezamenlijke aanbestedingen en het bevorderen van integratie van de Europese defensiemarkt. Het kabinet zal tijdens de Eurogroep het belang van efficiënte en effectieve besteding van defensie-uitgaven benadrukken. Daarbij zal het kabinet aandacht vragen voor het belang van meer gezamenlijke aanbestedingen voor onder andere het creëren van schaalvoordelen, het bevorderen van toegang tot financiering voor opschaling van de defensie-industrie en het verminderen van fragmentatie in de Europese defensie-industrie.</w:t>
      </w:r>
    </w:p>
    <w:p w:rsidRPr="00C17CB8" w:rsidR="00B663DB" w:rsidP="004B3766" w:rsidRDefault="00B663DB" w14:paraId="7D75B753" w14:textId="77777777">
      <w:pPr>
        <w:spacing w:line="276" w:lineRule="auto"/>
        <w:rPr>
          <w:rFonts w:ascii="Verdana" w:hAnsi="Verdana"/>
          <w:sz w:val="18"/>
          <w:szCs w:val="18"/>
        </w:rPr>
      </w:pPr>
    </w:p>
    <w:p w:rsidRPr="00EE49EE" w:rsidR="7AAA6FEB" w:rsidP="004B3766" w:rsidRDefault="63DA510D" w14:paraId="5A37A6EB" w14:textId="47A42087">
      <w:pPr>
        <w:spacing w:after="0" w:line="276" w:lineRule="auto"/>
        <w:rPr>
          <w:rFonts w:ascii="Verdana" w:hAnsi="Verdana" w:eastAsia="Verdana" w:cs="Verdana"/>
          <w:color w:val="4471C4"/>
          <w:sz w:val="24"/>
          <w:szCs w:val="24"/>
        </w:rPr>
      </w:pPr>
      <w:r w:rsidRPr="00EE49EE">
        <w:rPr>
          <w:rFonts w:ascii="Verdana" w:hAnsi="Verdana" w:eastAsia="Verdana" w:cs="Verdana"/>
          <w:color w:val="4471C4"/>
          <w:sz w:val="24"/>
          <w:szCs w:val="24"/>
        </w:rPr>
        <w:t>Ecofin</w:t>
      </w:r>
      <w:r w:rsidRPr="00EE49EE" w:rsidR="00911CCB">
        <w:rPr>
          <w:rFonts w:ascii="Verdana" w:hAnsi="Verdana" w:eastAsia="Verdana" w:cs="Verdana"/>
          <w:color w:val="4471C4"/>
          <w:sz w:val="24"/>
          <w:szCs w:val="24"/>
        </w:rPr>
        <w:t>raad</w:t>
      </w:r>
      <w:r w:rsidRPr="00EE49EE">
        <w:rPr>
          <w:rFonts w:ascii="Verdana" w:hAnsi="Verdana" w:eastAsia="Verdana" w:cs="Verdana"/>
          <w:color w:val="4471C4"/>
          <w:sz w:val="24"/>
          <w:szCs w:val="24"/>
        </w:rPr>
        <w:t xml:space="preserve"> </w:t>
      </w:r>
    </w:p>
    <w:p w:rsidRPr="00EE49EE" w:rsidR="008B2621" w:rsidP="004B3766" w:rsidRDefault="008B2621" w14:paraId="2516B40B" w14:textId="69343C82">
      <w:pPr>
        <w:spacing w:after="0" w:line="276" w:lineRule="auto"/>
        <w:rPr>
          <w:rFonts w:ascii="Verdana" w:hAnsi="Verdana" w:eastAsia="Calibri" w:cs="Times New Roman"/>
          <w:b/>
          <w:bCs/>
          <w:sz w:val="18"/>
          <w:szCs w:val="18"/>
        </w:rPr>
      </w:pPr>
      <w:r w:rsidRPr="00EE49EE">
        <w:rPr>
          <w:rFonts w:ascii="Verdana" w:hAnsi="Verdana" w:eastAsia="Calibri" w:cs="Times New Roman"/>
          <w:b/>
          <w:bCs/>
          <w:sz w:val="18"/>
          <w:szCs w:val="18"/>
        </w:rPr>
        <w:t xml:space="preserve">Agendapunt: </w:t>
      </w:r>
      <w:r w:rsidRPr="00EE49EE">
        <w:rPr>
          <w:rFonts w:ascii="Verdana" w:hAnsi="Verdana" w:eastAsia="Verdana" w:cs="Verdana"/>
          <w:sz w:val="18"/>
          <w:szCs w:val="18"/>
        </w:rPr>
        <w:t>Pakket voor tabaksaccijnzen</w:t>
      </w:r>
    </w:p>
    <w:p w:rsidRPr="00EE49EE" w:rsidR="00DD1E5A" w:rsidP="004B3766" w:rsidRDefault="222A5DAE" w14:paraId="140318A9" w14:textId="249859CB">
      <w:pPr>
        <w:spacing w:after="0" w:line="276" w:lineRule="auto"/>
        <w:rPr>
          <w:rFonts w:ascii="Verdana" w:hAnsi="Verdana" w:eastAsia="Calibri" w:cs="Times New Roman"/>
          <w:b/>
          <w:bCs/>
          <w:sz w:val="18"/>
          <w:szCs w:val="18"/>
        </w:rPr>
      </w:pPr>
      <w:r w:rsidRPr="00EE49EE">
        <w:rPr>
          <w:rFonts w:ascii="Verdana" w:hAnsi="Verdana" w:eastAsia="Calibri" w:cs="Times New Roman"/>
          <w:b/>
          <w:bCs/>
          <w:sz w:val="18"/>
          <w:szCs w:val="18"/>
        </w:rPr>
        <w:t xml:space="preserve">Document: </w:t>
      </w:r>
      <w:r w:rsidRPr="00EE49EE" w:rsidR="00223092">
        <w:rPr>
          <w:rFonts w:ascii="Verdana" w:hAnsi="Verdana" w:eastAsia="Calibri" w:cs="Times New Roman"/>
          <w:sz w:val="18"/>
          <w:szCs w:val="18"/>
        </w:rPr>
        <w:t>Draft Council Directive on the structure and rates of excise duty applied to raw tobacco, manufactured tobacco and tobacco related produ</w:t>
      </w:r>
      <w:r w:rsidRPr="00EE49EE" w:rsidR="00B663DB">
        <w:rPr>
          <w:rFonts w:ascii="Verdana" w:hAnsi="Verdana" w:eastAsia="Calibri" w:cs="Times New Roman"/>
          <w:sz w:val="18"/>
          <w:szCs w:val="18"/>
        </w:rPr>
        <w:t>c</w:t>
      </w:r>
      <w:r w:rsidRPr="00EE49EE" w:rsidR="00223092">
        <w:rPr>
          <w:rFonts w:ascii="Verdana" w:hAnsi="Verdana" w:eastAsia="Calibri" w:cs="Times New Roman"/>
          <w:sz w:val="18"/>
          <w:szCs w:val="18"/>
        </w:rPr>
        <w:t>ts</w:t>
      </w:r>
      <w:r w:rsidRPr="00EE49EE" w:rsidR="008B2621">
        <w:rPr>
          <w:rFonts w:ascii="Verdana" w:hAnsi="Verdana" w:eastAsia="Verdana" w:cs="Verdana"/>
          <w:sz w:val="18"/>
          <w:szCs w:val="18"/>
        </w:rPr>
        <w:br/>
      </w:r>
      <w:r w:rsidRPr="00EE49EE">
        <w:rPr>
          <w:rFonts w:ascii="Verdana" w:hAnsi="Verdana" w:eastAsia="Calibri" w:cs="Times New Roman"/>
          <w:b/>
          <w:bCs/>
          <w:sz w:val="18"/>
          <w:szCs w:val="18"/>
        </w:rPr>
        <w:t>Aard bespreking:</w:t>
      </w:r>
      <w:r w:rsidRPr="00EE49EE" w:rsidR="626C8732">
        <w:rPr>
          <w:rFonts w:ascii="Verdana" w:hAnsi="Verdana" w:eastAsia="Calibri" w:cs="Times New Roman"/>
          <w:b/>
          <w:bCs/>
          <w:sz w:val="18"/>
          <w:szCs w:val="18"/>
        </w:rPr>
        <w:t xml:space="preserve"> </w:t>
      </w:r>
      <w:r w:rsidRPr="00EE49EE" w:rsidR="626C8732">
        <w:rPr>
          <w:rFonts w:ascii="Verdana" w:hAnsi="Verdana" w:eastAsia="Calibri" w:cs="Times New Roman"/>
          <w:sz w:val="18"/>
          <w:szCs w:val="18"/>
        </w:rPr>
        <w:t>Besluitvorming</w:t>
      </w:r>
      <w:r w:rsidRPr="00EE49EE" w:rsidR="520BECAD">
        <w:rPr>
          <w:rFonts w:ascii="Verdana" w:hAnsi="Verdana"/>
          <w:sz w:val="18"/>
          <w:szCs w:val="18"/>
        </w:rPr>
        <w:br/>
      </w:r>
      <w:r w:rsidRPr="00EE49EE">
        <w:rPr>
          <w:rFonts w:ascii="Verdana" w:hAnsi="Verdana" w:eastAsia="Calibri" w:cs="Times New Roman"/>
          <w:b/>
          <w:bCs/>
          <w:sz w:val="18"/>
          <w:szCs w:val="18"/>
        </w:rPr>
        <w:t xml:space="preserve">Besluitvormingsprocedure: </w:t>
      </w:r>
      <w:r w:rsidRPr="00EE49EE" w:rsidR="626C8732">
        <w:rPr>
          <w:rFonts w:ascii="Verdana" w:hAnsi="Verdana" w:eastAsia="Verdana" w:cs="Verdana"/>
          <w:sz w:val="18"/>
          <w:szCs w:val="18"/>
        </w:rPr>
        <w:t>Unanimiteit/eenparigheid</w:t>
      </w:r>
      <w:r w:rsidRPr="00EE49EE" w:rsidR="520BECAD">
        <w:rPr>
          <w:rFonts w:ascii="Verdana" w:hAnsi="Verdana"/>
          <w:sz w:val="18"/>
          <w:szCs w:val="18"/>
        </w:rPr>
        <w:br/>
      </w:r>
      <w:r w:rsidRPr="00EE49EE">
        <w:rPr>
          <w:rFonts w:ascii="Verdana" w:hAnsi="Verdana" w:eastAsia="Calibri" w:cs="Times New Roman"/>
          <w:b/>
          <w:bCs/>
          <w:sz w:val="18"/>
          <w:szCs w:val="18"/>
        </w:rPr>
        <w:t>Toelichting:</w:t>
      </w:r>
    </w:p>
    <w:p w:rsidRPr="00C17CB8" w:rsidR="626C8732" w:rsidP="004B3766" w:rsidRDefault="626C8732" w14:paraId="0E505F6B" w14:textId="456624B0">
      <w:pPr>
        <w:spacing w:line="276" w:lineRule="auto"/>
        <w:rPr>
          <w:rFonts w:ascii="Verdana" w:hAnsi="Verdana"/>
          <w:sz w:val="18"/>
          <w:szCs w:val="18"/>
        </w:rPr>
      </w:pPr>
      <w:r w:rsidRPr="00C17CB8">
        <w:rPr>
          <w:rFonts w:ascii="Verdana" w:hAnsi="Verdana" w:eastAsia="Verdana" w:cs="Verdana"/>
          <w:sz w:val="18"/>
          <w:szCs w:val="18"/>
        </w:rPr>
        <w:t xml:space="preserve">Het Ierse voorzitterschap streeft ernaar om tijdens de Ecofinraad een akkoord te bereiken op de voorstellen voor de herziening van de Richtlijn tabaksaccijns en de Horizontale accijnsrichtlijn. De rechtsbasis van dit voorstel betreft artikel 113 van het VWEU. Besluitvorming ten aanzien van het voorstel vereist unanimiteit (met raadpleging van het Europees Parlement). </w:t>
      </w:r>
    </w:p>
    <w:p w:rsidRPr="00C17CB8" w:rsidR="626C8732" w:rsidP="21F23B44" w:rsidRDefault="21F23B44" w14:paraId="3FD791E4" w14:textId="2535FE30">
      <w:pPr>
        <w:spacing w:line="276" w:lineRule="auto"/>
        <w:rPr>
          <w:rFonts w:ascii="Verdana" w:hAnsi="Verdana"/>
          <w:sz w:val="18"/>
          <w:szCs w:val="18"/>
        </w:rPr>
      </w:pPr>
      <w:r w:rsidRPr="21F23B44">
        <w:rPr>
          <w:rFonts w:ascii="Verdana" w:hAnsi="Verdana" w:eastAsia="Verdana" w:cs="Verdana"/>
          <w:sz w:val="18"/>
          <w:szCs w:val="18"/>
        </w:rPr>
        <w:t xml:space="preserve">In de huidige Richtlijn tabaksaccijns (2011/64/EU) zijn Europese regels voor de heffing van accijns op tabaksfabricaten geharmoniseerd. De huidige Richtlijn tabaksaccijns dateert echter uit 2011 en is daarmee niet meer in lijn met marktontwikkelingen. Zo vallen nieuwe tabaksproducten en aan tabak verwante producten zoals vapes niet binnen de reikwijdte van de huidige richtlijn en zijn de bestaande Europese minimumtarieven ontoereikend om het goed functioneren van de interne markt te waarborgen. De huidige Richtlijn tabaksaccijns is daarmee verouderd, biedt onvoldoende gezondheidsbescherming, leidt tot een ongelijk speelveld op de interne markt, en draagt onvoldoende bij aan het tegengaan van illegale handel en belastingfraude. </w:t>
      </w:r>
    </w:p>
    <w:p w:rsidRPr="00C17CB8" w:rsidR="626C8732" w:rsidP="004B3766" w:rsidRDefault="626C8732" w14:paraId="12E6734A" w14:textId="21F1C15A">
      <w:pPr>
        <w:spacing w:line="276" w:lineRule="auto"/>
        <w:rPr>
          <w:rFonts w:ascii="Verdana" w:hAnsi="Verdana"/>
          <w:sz w:val="18"/>
          <w:szCs w:val="18"/>
        </w:rPr>
      </w:pPr>
      <w:r w:rsidRPr="00C17CB8">
        <w:rPr>
          <w:rFonts w:ascii="Verdana" w:hAnsi="Verdana" w:eastAsia="Verdana" w:cs="Verdana"/>
          <w:sz w:val="18"/>
          <w:szCs w:val="18"/>
        </w:rPr>
        <w:t xml:space="preserve">De Commissie heeft op 16 juli 2025, mede na herhaalde oproepen van Nederland en 14 andere lidstaten, een herzieningsvoorstel gepubliceerd. In dit voorstel doet de Commissie voorstellen om de bovenstaande problemen te adresseren. De </w:t>
      </w:r>
      <w:r w:rsidR="004B6505">
        <w:rPr>
          <w:rFonts w:ascii="Verdana" w:hAnsi="Verdana" w:eastAsia="Verdana" w:cs="Verdana"/>
          <w:sz w:val="18"/>
          <w:szCs w:val="18"/>
        </w:rPr>
        <w:t>kabinets</w:t>
      </w:r>
      <w:r w:rsidRPr="00C17CB8">
        <w:rPr>
          <w:rFonts w:ascii="Verdana" w:hAnsi="Verdana" w:eastAsia="Verdana" w:cs="Verdana"/>
          <w:sz w:val="18"/>
          <w:szCs w:val="18"/>
        </w:rPr>
        <w:t>inzet voor de herziening van de Richtlijn tabaksaccijns is opgenomen in het BNC-fiche.</w:t>
      </w:r>
      <w:r w:rsidR="004B3766">
        <w:rPr>
          <w:rStyle w:val="Voetnootmarkering"/>
          <w:rFonts w:ascii="Verdana" w:hAnsi="Verdana" w:eastAsia="Verdana" w:cs="Verdana"/>
          <w:sz w:val="18"/>
          <w:szCs w:val="18"/>
        </w:rPr>
        <w:footnoteReference w:id="3"/>
      </w:r>
      <w:r w:rsidRPr="00C17CB8" w:rsidR="004B3766">
        <w:rPr>
          <w:rFonts w:ascii="Verdana" w:hAnsi="Verdana"/>
          <w:sz w:val="18"/>
          <w:szCs w:val="18"/>
        </w:rPr>
        <w:t xml:space="preserve"> </w:t>
      </w:r>
    </w:p>
    <w:p w:rsidRPr="00C17CB8" w:rsidR="626C8732" w:rsidP="21F23B44" w:rsidRDefault="21F23B44" w14:paraId="6ED1D55D" w14:textId="615ADF1D">
      <w:pPr>
        <w:spacing w:line="276" w:lineRule="auto"/>
        <w:rPr>
          <w:rFonts w:ascii="Verdana" w:hAnsi="Verdana"/>
          <w:sz w:val="18"/>
          <w:szCs w:val="18"/>
        </w:rPr>
      </w:pPr>
      <w:r w:rsidRPr="21F23B44">
        <w:rPr>
          <w:rFonts w:ascii="Verdana" w:hAnsi="Verdana" w:eastAsia="Verdana" w:cs="Verdana"/>
          <w:sz w:val="18"/>
          <w:szCs w:val="18"/>
        </w:rPr>
        <w:t>Zoals beschreven in het BNC-fiche bevatten de herzieningsvoorstellen van de Commissie in brede zin vier aanpassingen: 1) aanpassing van de tariefstructuur en invoering van een mechanisme voor inflatiecorrectie, 2) uitbreiding van de definitie van tabaksproducten en verhogen van de minimumtarieven voor deze producten, en 3) uitbreiding van de reikwijdte van de richtlijn naar tabak-gerelateerde producten en ruwe tabak, 4) aanpassing van enkele artikelen in de horizontale accijnsrichtlijn voor de producten die door herziening van de</w:t>
      </w:r>
      <w:r w:rsidR="00276CE1">
        <w:rPr>
          <w:rFonts w:ascii="Verdana" w:hAnsi="Verdana" w:eastAsia="Verdana" w:cs="Verdana"/>
          <w:sz w:val="18"/>
          <w:szCs w:val="18"/>
        </w:rPr>
        <w:t xml:space="preserve"> </w:t>
      </w:r>
      <w:r w:rsidRPr="00276CE1" w:rsidR="00276CE1">
        <w:rPr>
          <w:rFonts w:ascii="Verdana" w:hAnsi="Verdana" w:eastAsia="Verdana" w:cs="Verdana"/>
          <w:i/>
          <w:iCs/>
          <w:sz w:val="18"/>
          <w:szCs w:val="18"/>
        </w:rPr>
        <w:t>Tobacco Taxation Directive</w:t>
      </w:r>
      <w:r w:rsidR="00276CE1">
        <w:rPr>
          <w:rFonts w:ascii="Verdana" w:hAnsi="Verdana" w:eastAsia="Verdana" w:cs="Verdana"/>
          <w:sz w:val="18"/>
          <w:szCs w:val="18"/>
        </w:rPr>
        <w:t xml:space="preserve"> (</w:t>
      </w:r>
      <w:r w:rsidRPr="21F23B44">
        <w:rPr>
          <w:rFonts w:ascii="Verdana" w:hAnsi="Verdana" w:eastAsia="Verdana" w:cs="Verdana"/>
          <w:sz w:val="18"/>
          <w:szCs w:val="18"/>
        </w:rPr>
        <w:t>TTD</w:t>
      </w:r>
      <w:r w:rsidR="00276CE1">
        <w:rPr>
          <w:rFonts w:ascii="Verdana" w:hAnsi="Verdana" w:eastAsia="Verdana" w:cs="Verdana"/>
          <w:sz w:val="18"/>
          <w:szCs w:val="18"/>
        </w:rPr>
        <w:t>)</w:t>
      </w:r>
      <w:r w:rsidRPr="21F23B44">
        <w:rPr>
          <w:rFonts w:ascii="Verdana" w:hAnsi="Verdana" w:eastAsia="Verdana" w:cs="Verdana"/>
          <w:sz w:val="18"/>
          <w:szCs w:val="18"/>
        </w:rPr>
        <w:t xml:space="preserve"> binnen de reikwijdte van de accijnsverplichtingen komen te vallen. Het kabinet heeft gedurende de onderhandelingen ingezet op een forse verhoging van de EU-minimumtarieven en een toekomstbestendige uitbreiding van de reikwijdte van de richtlijn naar nieuwe tabaks- en nicotineproducten. Met betrekking tot de Europese minimumtarieven heeft het kabinet specifiek ingezet op hogere tarieven voor producten als vapes, sigaretten, verhitte tabak en fijne tabak voor het rollen van sigaretten, omdat deze producten substituten van elkaar en van sigaretten zijn en een groot verschil in tarieven eerder leidt tot verandering van het gebruikte product in plaats van de gewenste vermindering van gebruik. Ook zijn sommige van deze producten vooral populair onder jongeren, een belangrijke doelgroep om te beschermen tegen nicotineproducten. Daarnaast heeft het kabinet ingezet op het aanscherpen van definities, het periodiek indexeren voor inflatie van de EU-minimumtarieven om deze op langere termijn up-to-date te houden, een effectieve koopkrachtpariteit zodat rekening wordt gehouden met economische omstandigheden van de lidstaten en een versterkte monitoring op ruwe tabak om beter te kunnen voorkomen dat deze grondstof op de illegale markt terecht komt. </w:t>
      </w:r>
    </w:p>
    <w:p w:rsidRPr="006B658A" w:rsidR="006B658A" w:rsidP="21F23B44" w:rsidRDefault="21F23B44" w14:paraId="6780063C" w14:textId="4C46CC5C">
      <w:pPr>
        <w:spacing w:line="276" w:lineRule="auto"/>
        <w:rPr>
          <w:rFonts w:ascii="Verdana" w:hAnsi="Verdana" w:eastAsia="Verdana" w:cs="Verdana"/>
          <w:sz w:val="18"/>
          <w:szCs w:val="18"/>
        </w:rPr>
      </w:pPr>
      <w:r w:rsidRPr="21F23B44">
        <w:rPr>
          <w:rFonts w:ascii="Verdana" w:hAnsi="Verdana" w:eastAsia="Verdana" w:cs="Verdana"/>
          <w:sz w:val="18"/>
          <w:szCs w:val="18"/>
        </w:rPr>
        <w:t>Met de hierboven beschreven inzet behoort Nederland tot een van de meest ambitieuze lidstaten op dit beleidsterrein. De meerderheid van de lidstaten is terughoudender. Deze lidstaten leggen in veel gevallen prioriteit bij het uitbreiden van de reikwijdte naar nieuwe producten en hechten minder belang aan bijvoorbeeld het verhogen en actueel houden van de EU-minimumtarieven. Een aantal lidstaten heeft daarbij structureel gepleit voor het inperken van het ambitieniveau ten opzichte van het oorspronkelijke voorstel van de Europese Commissie. Het kabinet acht het positief dat er een brede consensus is binnen de Raad om de reikwijdte toekomstbestendig uit te breiden naar nieuwe producten. Tegelijkertijd zijn er ten aanzien van de verhoging van de Europese minimumtarieven en daaraan gerelateerde indexatie en koopkrachtpariteit door zowel ambitieuze als terughoudende lidstaten concessies gedaan. Dit heeft, op het moment van schrijven, geresulteerd in een compromisvoorstel waarin de verhoging van de Europese minimumtarieven de indexatiebepaling en de koopkrachtpariteit zijn afgezwakt ten opzichte van het Commissievoorstel. Tegelijkertijd bevat het nu voorliggende compromisvoorstel relevante stappen voorwaarts ten opzichte van de huidige situatie, waaronder het opnemen van nieuwe producten zoals vapes in de reikwijdte en verhoging van de EU-minimumtarieven. Dit compromisvoorstel draagt daarmee onder andere bij aan sterker ontmoedigingsbeleid en sterkere gezondheidsbescherming, het beter functioneren van de interne markt, het tegengaan van illegale handel en productie van tabaks- en nicotineproducten en verkleining van de prikkel om tabak over de grens te kopen. Het EP heeft nog geen formeel standpunt ingenomen met betrekking tot deze voorstellen. Het EP heeft eerder aangegeven voorstander te zijn van herziening van de Richtlijn tabaksaccijns. Daarbij zijn onderwerpen genoemd als het versterken van de interne markt, beschermen van volksgezondheid, tegengaan van illegale handel en rekenschap geven aan economische omstandigheden.</w:t>
      </w:r>
    </w:p>
    <w:p w:rsidRPr="00C1576C" w:rsidR="008366AF" w:rsidP="00C1576C" w:rsidRDefault="626C8732" w14:paraId="5FB1129F" w14:textId="49B1A4C0">
      <w:pPr>
        <w:spacing w:line="276" w:lineRule="auto"/>
        <w:rPr>
          <w:rFonts w:ascii="Verdana" w:hAnsi="Verdana"/>
          <w:sz w:val="18"/>
          <w:szCs w:val="18"/>
        </w:rPr>
      </w:pPr>
      <w:r w:rsidRPr="00C17CB8">
        <w:rPr>
          <w:rFonts w:ascii="Verdana" w:hAnsi="Verdana" w:eastAsia="Verdana" w:cs="Verdana"/>
          <w:sz w:val="18"/>
          <w:szCs w:val="18"/>
        </w:rPr>
        <w:t xml:space="preserve">Indien de teksten die voor akkoord worden voorgelegd in de Ecofinraad in lijn zijn met het bovenstaande is </w:t>
      </w:r>
      <w:r w:rsidR="004B6505">
        <w:rPr>
          <w:rFonts w:ascii="Verdana" w:hAnsi="Verdana" w:eastAsia="Verdana" w:cs="Verdana"/>
          <w:sz w:val="18"/>
          <w:szCs w:val="18"/>
        </w:rPr>
        <w:t>het kabinet</w:t>
      </w:r>
      <w:r w:rsidRPr="00C17CB8">
        <w:rPr>
          <w:rFonts w:ascii="Verdana" w:hAnsi="Verdana" w:eastAsia="Verdana" w:cs="Verdana"/>
          <w:sz w:val="18"/>
          <w:szCs w:val="18"/>
        </w:rPr>
        <w:t xml:space="preserve"> voornemens in te stemmen met het compromis voor de wijziging van de Richtlijn van de Raad (2011/64/EU) betreffende de structuur en de tarieven van de accijns op tabak en aan tabak verwante producten en de wijziging van Richtlijn (2020/262/EU) van de Raad van 19 december 2019 houdende een algemene regeling inzake accijns, ten aanzien van tabak en aan tabak verwante producten.</w:t>
      </w:r>
    </w:p>
    <w:p w:rsidRPr="00C17CB8" w:rsidR="002E358A" w:rsidP="004B3766" w:rsidRDefault="222A5DAE" w14:paraId="154347E0" w14:textId="3124CC22">
      <w:pPr>
        <w:spacing w:after="0" w:line="276" w:lineRule="auto"/>
        <w:rPr>
          <w:rFonts w:ascii="Verdana" w:hAnsi="Verdana" w:eastAsia="Calibri" w:cs="Arial"/>
          <w:sz w:val="18"/>
          <w:szCs w:val="18"/>
        </w:rPr>
      </w:pPr>
      <w:r w:rsidRPr="00C17CB8">
        <w:rPr>
          <w:rFonts w:ascii="Verdana" w:hAnsi="Verdana"/>
          <w:b/>
          <w:bCs/>
          <w:sz w:val="18"/>
          <w:szCs w:val="18"/>
        </w:rPr>
        <w:t>Agendaonderwerp</w:t>
      </w:r>
      <w:r w:rsidRPr="00C17CB8">
        <w:rPr>
          <w:rFonts w:ascii="Verdana" w:hAnsi="Verdana"/>
          <w:sz w:val="18"/>
          <w:szCs w:val="18"/>
        </w:rPr>
        <w:t xml:space="preserve">: </w:t>
      </w:r>
      <w:r w:rsidRPr="00691ECD" w:rsidR="00691ECD">
        <w:rPr>
          <w:rFonts w:ascii="Verdana" w:hAnsi="Verdana"/>
          <w:sz w:val="18"/>
          <w:szCs w:val="18"/>
        </w:rPr>
        <w:t>Economische en financiële impact van de Russische agressie tegen Oekraïne</w:t>
      </w:r>
    </w:p>
    <w:p w:rsidRPr="00C17CB8" w:rsidR="008366AF" w:rsidP="004B3766" w:rsidRDefault="688ECF3B" w14:paraId="51291180" w14:textId="64FD1E28">
      <w:pPr>
        <w:spacing w:after="0" w:line="276" w:lineRule="auto"/>
        <w:rPr>
          <w:rFonts w:ascii="Verdana" w:hAnsi="Verdana" w:eastAsia="Times New Roman" w:cs="Arial"/>
          <w:sz w:val="18"/>
          <w:szCs w:val="18"/>
          <w:lang w:eastAsia="nl-NL"/>
        </w:rPr>
      </w:pPr>
      <w:r w:rsidRPr="00C17CB8">
        <w:rPr>
          <w:rFonts w:ascii="Verdana" w:hAnsi="Verdana" w:eastAsia="Times New Roman" w:cs="Arial"/>
          <w:b/>
          <w:bCs/>
          <w:sz w:val="18"/>
          <w:szCs w:val="18"/>
          <w:lang w:eastAsia="nl-NL"/>
        </w:rPr>
        <w:t>Document:</w:t>
      </w:r>
      <w:r w:rsidRPr="00C17CB8">
        <w:rPr>
          <w:rFonts w:ascii="Verdana" w:hAnsi="Verdana" w:eastAsia="Times New Roman" w:cs="Arial"/>
          <w:sz w:val="18"/>
          <w:szCs w:val="18"/>
          <w:lang w:eastAsia="nl-NL"/>
        </w:rPr>
        <w:t xml:space="preserve"> </w:t>
      </w:r>
      <w:r w:rsidR="004B6505">
        <w:rPr>
          <w:rFonts w:ascii="Verdana" w:hAnsi="Verdana" w:eastAsia="Times New Roman" w:cs="Arial"/>
          <w:sz w:val="18"/>
          <w:szCs w:val="18"/>
          <w:lang w:eastAsia="nl-NL"/>
        </w:rPr>
        <w:t>N.v.t.</w:t>
      </w:r>
    </w:p>
    <w:p w:rsidRPr="00C17CB8" w:rsidR="008366AF" w:rsidP="004B3766" w:rsidRDefault="63DA510D" w14:paraId="2F912D06" w14:textId="7D70BEB8">
      <w:pPr>
        <w:spacing w:after="0" w:line="276" w:lineRule="auto"/>
        <w:rPr>
          <w:rFonts w:ascii="Verdana" w:hAnsi="Verdana" w:eastAsia="Times New Roman" w:cs="Arial"/>
          <w:sz w:val="18"/>
          <w:szCs w:val="18"/>
          <w:lang w:eastAsia="nl-NL"/>
        </w:rPr>
      </w:pPr>
      <w:r w:rsidRPr="00C17CB8">
        <w:rPr>
          <w:rFonts w:ascii="Verdana" w:hAnsi="Verdana" w:eastAsia="Times New Roman" w:cs="Arial"/>
          <w:b/>
          <w:bCs/>
          <w:sz w:val="18"/>
          <w:szCs w:val="18"/>
          <w:lang w:eastAsia="nl-NL"/>
        </w:rPr>
        <w:t xml:space="preserve">Aard bespreking: </w:t>
      </w:r>
      <w:r w:rsidR="004B6505">
        <w:rPr>
          <w:rFonts w:ascii="Verdana" w:hAnsi="Verdana" w:eastAsia="Times New Roman" w:cs="Arial"/>
          <w:sz w:val="18"/>
          <w:szCs w:val="18"/>
          <w:lang w:eastAsia="nl-NL"/>
        </w:rPr>
        <w:t>Gedachtewisseling</w:t>
      </w:r>
      <w:r w:rsidRPr="00C17CB8">
        <w:rPr>
          <w:rFonts w:ascii="Verdana" w:hAnsi="Verdana" w:eastAsia="Times New Roman" w:cs="Arial"/>
          <w:sz w:val="18"/>
          <w:szCs w:val="18"/>
          <w:lang w:eastAsia="nl-NL"/>
        </w:rPr>
        <w:t xml:space="preserve"> </w:t>
      </w:r>
    </w:p>
    <w:p w:rsidRPr="004B6505" w:rsidR="002E358A" w:rsidP="004B3766" w:rsidRDefault="688ECF3B" w14:paraId="6F790AA1" w14:textId="4AF1B819">
      <w:pPr>
        <w:spacing w:after="0" w:line="276" w:lineRule="auto"/>
        <w:rPr>
          <w:rFonts w:ascii="Verdana" w:hAnsi="Verdana" w:eastAsia="Times New Roman" w:cs="Arial"/>
          <w:sz w:val="18"/>
          <w:szCs w:val="18"/>
          <w:lang w:eastAsia="nl-NL"/>
        </w:rPr>
      </w:pPr>
      <w:r w:rsidRPr="00C17CB8">
        <w:rPr>
          <w:rFonts w:ascii="Verdana" w:hAnsi="Verdana" w:eastAsia="Times New Roman" w:cs="Arial"/>
          <w:b/>
          <w:bCs/>
          <w:sz w:val="18"/>
          <w:szCs w:val="18"/>
          <w:lang w:eastAsia="nl-NL"/>
        </w:rPr>
        <w:t xml:space="preserve">Besluitvormingsprocedure: </w:t>
      </w:r>
      <w:r w:rsidR="004B6505">
        <w:rPr>
          <w:rFonts w:ascii="Verdana" w:hAnsi="Verdana" w:eastAsia="Times New Roman" w:cs="Arial"/>
          <w:sz w:val="18"/>
          <w:szCs w:val="18"/>
          <w:lang w:eastAsia="nl-NL"/>
        </w:rPr>
        <w:t>N.v.t.</w:t>
      </w:r>
    </w:p>
    <w:p w:rsidRPr="00C17CB8" w:rsidR="008366AF" w:rsidP="004B3766" w:rsidRDefault="63DA510D" w14:paraId="1199BF52" w14:textId="77777777">
      <w:pPr>
        <w:spacing w:after="0" w:line="276" w:lineRule="auto"/>
        <w:rPr>
          <w:rFonts w:ascii="Verdana" w:hAnsi="Verdana" w:eastAsia="Times New Roman" w:cs="Times New Roman"/>
          <w:sz w:val="18"/>
          <w:szCs w:val="18"/>
          <w:lang w:eastAsia="nl-NL"/>
        </w:rPr>
      </w:pPr>
      <w:r w:rsidRPr="00C17CB8">
        <w:rPr>
          <w:rFonts w:ascii="Verdana" w:hAnsi="Verdana" w:eastAsia="Calibri" w:cs="Arial"/>
          <w:b/>
          <w:bCs/>
          <w:sz w:val="18"/>
          <w:szCs w:val="18"/>
          <w:lang w:eastAsia="nl-NL"/>
        </w:rPr>
        <w:t>Toelichting:</w:t>
      </w:r>
    </w:p>
    <w:p w:rsidRPr="008B2621" w:rsidR="004B6505" w:rsidP="008B2621" w:rsidRDefault="21F23B44" w14:paraId="25F67522" w14:textId="720BDCCC">
      <w:pPr>
        <w:spacing w:line="276" w:lineRule="auto"/>
        <w:rPr>
          <w:rFonts w:ascii="Verdana" w:hAnsi="Verdana"/>
          <w:sz w:val="18"/>
          <w:szCs w:val="18"/>
        </w:rPr>
      </w:pPr>
      <w:r w:rsidRPr="21F23B44">
        <w:rPr>
          <w:rFonts w:ascii="Verdana" w:hAnsi="Verdana" w:eastAsia="Calibri" w:cs="Arial"/>
          <w:sz w:val="18"/>
          <w:szCs w:val="18"/>
        </w:rPr>
        <w:t xml:space="preserve">De Ecofinraad zal spreken over de economische en financiële impact van de Russische agressie tegen Oekraïne en over Europese steunmaatregelen. Dit is een terugkerend agendaonderwerp op </w:t>
      </w:r>
      <w:r w:rsidRPr="21F23B44">
        <w:rPr>
          <w:rFonts w:ascii="Verdana" w:hAnsi="Verdana"/>
          <w:sz w:val="18"/>
          <w:szCs w:val="18"/>
        </w:rPr>
        <w:t xml:space="preserve">de Ecofinraad. Er vindt geen besluitvorming plaats. </w:t>
      </w:r>
    </w:p>
    <w:p w:rsidRPr="008B2621" w:rsidR="004B6505" w:rsidP="21F23B44" w:rsidRDefault="21F23B44" w14:paraId="23E74456" w14:textId="73DDF173">
      <w:pPr>
        <w:spacing w:line="276" w:lineRule="auto"/>
        <w:rPr>
          <w:rFonts w:ascii="Verdana" w:hAnsi="Verdana" w:eastAsia="Verdana" w:cs="Verdana"/>
          <w:sz w:val="18"/>
          <w:szCs w:val="18"/>
        </w:rPr>
      </w:pPr>
      <w:r w:rsidRPr="21F23B44">
        <w:rPr>
          <w:rFonts w:ascii="Verdana" w:hAnsi="Verdana"/>
          <w:sz w:val="18"/>
          <w:szCs w:val="18"/>
          <w:u w:val="single"/>
        </w:rPr>
        <w:t>Oekraïnefaciliteit</w:t>
      </w:r>
      <w:r w:rsidR="004B6505">
        <w:br/>
      </w:r>
      <w:r w:rsidRPr="21F23B44">
        <w:rPr>
          <w:rFonts w:ascii="Verdana" w:hAnsi="Verdana" w:eastAsia="Calibri" w:cs="Arial"/>
          <w:sz w:val="18"/>
          <w:szCs w:val="18"/>
        </w:rPr>
        <w:t xml:space="preserve">Oekraïne ontvangt sinds februari 2024 (besluit Europese Raad van 1 februari 2024) steun uit de Oekraïnefaciliteit voor herstel, wederopbouw en modernisering, met een totale omvang van EUR 50 mld. voor de periode 2024–2027. </w:t>
      </w:r>
      <w:r w:rsidRPr="21F23B44">
        <w:rPr>
          <w:rFonts w:ascii="Verdana" w:hAnsi="Verdana" w:eastAsia="Verdana" w:cs="Verdana"/>
          <w:sz w:val="18"/>
          <w:szCs w:val="18"/>
        </w:rPr>
        <w:t xml:space="preserve">Uitbetalingen zijn afhankelijk van het behalen van hervormingsstappen uit het Oekraïneplan. </w:t>
      </w:r>
    </w:p>
    <w:p w:rsidRPr="004B6505" w:rsidR="004B6505" w:rsidP="008B2621" w:rsidRDefault="21F23B44" w14:paraId="69E2021E" w14:textId="3E6B0B58">
      <w:pPr>
        <w:spacing w:line="276" w:lineRule="auto"/>
        <w:rPr>
          <w:rFonts w:ascii="Verdana" w:hAnsi="Verdana" w:eastAsia="Calibri" w:cs="Arial"/>
          <w:sz w:val="18"/>
          <w:szCs w:val="18"/>
        </w:rPr>
      </w:pPr>
      <w:r w:rsidRPr="21F23B44">
        <w:rPr>
          <w:rFonts w:ascii="Verdana" w:hAnsi="Verdana" w:eastAsia="Verdana" w:cs="Verdana"/>
          <w:sz w:val="18"/>
          <w:szCs w:val="18"/>
        </w:rPr>
        <w:t>Op 2 oktober 2026 heeft de Commissie de achtste tranche van EUR 2,9 mld. uit de Oekraïne</w:t>
      </w:r>
      <w:r w:rsidRPr="21F23B44">
        <w:rPr>
          <w:rFonts w:ascii="Verdana" w:hAnsi="Verdana" w:eastAsia="Calibri" w:cs="Arial"/>
          <w:sz w:val="18"/>
          <w:szCs w:val="18"/>
        </w:rPr>
        <w:t xml:space="preserve"> faciliteit uitbetaald, nadat Oekraïne aan tien hervormingsindicatoren had voldaan. Met deze betaling is in totaal meer dan EUR 32 mld. aan EU-steun verstrekt via het Oekraïneplan. Verdere uitbetalingen blijven afhankelijk van de voortgang bij de overeengekomen hervormingen en de beoordeling daarvan door de Commissie.</w:t>
      </w:r>
    </w:p>
    <w:p w:rsidR="21F23B44" w:rsidP="21F23B44" w:rsidRDefault="21F23B44" w14:paraId="2BA2C949" w14:textId="338ABAEB">
      <w:pPr>
        <w:spacing w:after="0" w:line="276" w:lineRule="auto"/>
        <w:rPr>
          <w:rFonts w:ascii="Verdana" w:hAnsi="Verdana" w:eastAsia="Calibri" w:cs="Arial"/>
          <w:i/>
          <w:iCs/>
          <w:sz w:val="18"/>
          <w:szCs w:val="18"/>
          <w:u w:val="single"/>
        </w:rPr>
      </w:pPr>
    </w:p>
    <w:p w:rsidRPr="004B6505" w:rsidR="004B6505" w:rsidP="004B6505" w:rsidRDefault="004B6505" w14:paraId="1E781FA1" w14:textId="77777777">
      <w:pPr>
        <w:spacing w:after="0" w:line="276" w:lineRule="auto"/>
        <w:rPr>
          <w:rFonts w:ascii="Verdana" w:hAnsi="Verdana" w:eastAsia="Calibri" w:cs="Arial"/>
          <w:sz w:val="18"/>
          <w:szCs w:val="18"/>
          <w:u w:val="single"/>
        </w:rPr>
      </w:pPr>
      <w:r w:rsidRPr="007870A5">
        <w:rPr>
          <w:rFonts w:ascii="Verdana" w:hAnsi="Verdana" w:eastAsia="Calibri" w:cs="Arial"/>
          <w:i/>
          <w:iCs/>
          <w:sz w:val="18"/>
          <w:szCs w:val="18"/>
          <w:u w:val="single"/>
        </w:rPr>
        <w:t>Ukraine Support Loan</w:t>
      </w:r>
      <w:r w:rsidRPr="004B6505">
        <w:rPr>
          <w:rFonts w:ascii="Verdana" w:hAnsi="Verdana" w:eastAsia="Calibri" w:cs="Arial"/>
          <w:sz w:val="18"/>
          <w:szCs w:val="18"/>
          <w:u w:val="single"/>
        </w:rPr>
        <w:t xml:space="preserve"> (USL)</w:t>
      </w:r>
    </w:p>
    <w:p w:rsidRPr="008B2621" w:rsidR="004B6505" w:rsidP="21F23B44" w:rsidRDefault="21F23B44" w14:paraId="321664F8" w14:textId="33C72144">
      <w:pPr>
        <w:spacing w:line="276" w:lineRule="auto"/>
        <w:rPr>
          <w:rFonts w:ascii="Verdana" w:hAnsi="Verdana" w:eastAsia="Calibri" w:cs="Arial"/>
          <w:sz w:val="18"/>
          <w:szCs w:val="18"/>
        </w:rPr>
      </w:pPr>
      <w:r w:rsidRPr="21F23B44">
        <w:rPr>
          <w:rFonts w:ascii="Verdana" w:hAnsi="Verdana" w:eastAsia="Calibri" w:cs="Arial"/>
          <w:sz w:val="18"/>
          <w:szCs w:val="18"/>
        </w:rPr>
        <w:t xml:space="preserve">Tijdens de Europese Raad van 18 december 2025 is overeengekomen Oekraïne in 2026 en 2027 te ondersteunen met EUR 90 mld. aan leningen via de </w:t>
      </w:r>
      <w:r w:rsidRPr="21F23B44">
        <w:rPr>
          <w:rFonts w:ascii="Verdana" w:hAnsi="Verdana" w:eastAsia="Calibri" w:cs="Arial"/>
          <w:i/>
          <w:iCs/>
          <w:sz w:val="18"/>
          <w:szCs w:val="18"/>
        </w:rPr>
        <w:t>Ukraine Support Loan</w:t>
      </w:r>
      <w:r w:rsidRPr="21F23B44">
        <w:rPr>
          <w:rFonts w:ascii="Verdana" w:hAnsi="Verdana" w:eastAsia="Calibri" w:cs="Arial"/>
          <w:sz w:val="18"/>
          <w:szCs w:val="18"/>
        </w:rPr>
        <w:t xml:space="preserve"> (USL). Voor 2026 is EUR 45 mld. voorzien, waarvan EUR 16,7 mld. voor begrotingssteun en EUR 28,3 mld. voor defensiecapaciteiten. De begrotingssteun bestaat uit macro-financiële bijstand (MFA) en een aanvulling op de Oekraïnefaciliteit. Beide instrumenten zijn gekoppeld aan beleids- en hervormingsvoorwaarden. Voor de tweede MFA-tranche, ter hoogte van EUR 3,7 mld., zijn aanvullende hervormingen vereist. Op 15 oktober jl. heeft het Oekraïense parlement verschillende hervormingswetten aangenomen in het kader van de hervormingen die de EU en het IMF verlangen. Verdere uitbetaling blijft afhankelijk van de beoordeling of aan de overeengekomen voorwaarden is voldaan. Daarnaast is in oktober reeds EUR 4,1 uitbetaald onder de defensietak van de USL.</w:t>
      </w:r>
    </w:p>
    <w:p w:rsidRPr="008B2621" w:rsidR="004B6505" w:rsidP="008B2621" w:rsidRDefault="004B6505" w14:paraId="6AFF84C0" w14:textId="1FE37402">
      <w:pPr>
        <w:spacing w:line="276" w:lineRule="auto"/>
        <w:rPr>
          <w:rFonts w:ascii="Verdana" w:hAnsi="Verdana" w:eastAsia="Calibri" w:cs="Arial"/>
          <w:sz w:val="18"/>
          <w:szCs w:val="18"/>
          <w:u w:val="single"/>
        </w:rPr>
      </w:pPr>
      <w:r w:rsidRPr="008B2621">
        <w:rPr>
          <w:rFonts w:ascii="Verdana" w:hAnsi="Verdana" w:eastAsia="Calibri" w:cs="Arial"/>
          <w:sz w:val="18"/>
          <w:szCs w:val="18"/>
          <w:u w:val="single"/>
        </w:rPr>
        <w:t>IMF en aanvullende financiële noden Oekraïne</w:t>
      </w:r>
      <w:r w:rsidR="008B2621">
        <w:rPr>
          <w:rFonts w:ascii="Verdana" w:hAnsi="Verdana" w:eastAsia="Calibri" w:cs="Arial"/>
          <w:sz w:val="18"/>
          <w:szCs w:val="18"/>
          <w:u w:val="single"/>
        </w:rPr>
        <w:br/>
      </w:r>
      <w:r w:rsidRPr="004B6505">
        <w:rPr>
          <w:rFonts w:ascii="Verdana" w:hAnsi="Verdana" w:eastAsia="Calibri" w:cs="Arial"/>
          <w:sz w:val="18"/>
          <w:szCs w:val="18"/>
        </w:rPr>
        <w:t xml:space="preserve">Op 26 februari 2026 heeft het IMF een nieuw vierjarig programma van circa USD 8,1 mld. voor Oekraïne goedgekeurd. Het IMF brengt in het kader van dit programma de macro-economische en budgettaire ontwikkelingen, de financieringsbehoefte en de houdbaarheid van de Oekraïense overheidsfinanciën in kaart. Daarbij beoordeelt het IMF ook of de financiering door internationale partners toereikend is om het programma uitvoerbaar te houden. Het IMF zal bij de volgende programma-evaluatie de financieringsbehoefte van Oekraïne bijwerken. </w:t>
      </w:r>
    </w:p>
    <w:p w:rsidRPr="004B6505" w:rsidR="004B6505" w:rsidP="21F23B44" w:rsidRDefault="21F23B44" w14:paraId="6794B5C1" w14:textId="735DCF8F">
      <w:pPr>
        <w:spacing w:after="0" w:line="276" w:lineRule="auto"/>
        <w:rPr>
          <w:rFonts w:ascii="Verdana" w:hAnsi="Verdana" w:eastAsia="Calibri" w:cs="Arial"/>
          <w:sz w:val="18"/>
          <w:szCs w:val="18"/>
        </w:rPr>
      </w:pPr>
      <w:r w:rsidRPr="21F23B44">
        <w:rPr>
          <w:rFonts w:ascii="Verdana" w:hAnsi="Verdana" w:eastAsia="Calibri" w:cs="Arial"/>
          <w:sz w:val="18"/>
          <w:szCs w:val="18"/>
        </w:rPr>
        <w:t xml:space="preserve">Tijdens de Europese Raad van 15 en 16 oktober jl. wees de Oekraïense president Zelensky erop dat Oekraïne, ondanks de reeds voorziene EU-steun van EUR 45 mld. via de </w:t>
      </w:r>
      <w:r w:rsidRPr="21F23B44">
        <w:rPr>
          <w:rFonts w:ascii="Verdana" w:hAnsi="Verdana" w:eastAsia="Calibri" w:cs="Arial"/>
          <w:i/>
          <w:iCs/>
          <w:sz w:val="18"/>
          <w:szCs w:val="18"/>
        </w:rPr>
        <w:t>Ukraine Support Loan</w:t>
      </w:r>
      <w:r w:rsidRPr="21F23B44">
        <w:rPr>
          <w:rFonts w:ascii="Verdana" w:hAnsi="Verdana" w:eastAsia="Calibri" w:cs="Arial"/>
          <w:sz w:val="18"/>
          <w:szCs w:val="18"/>
        </w:rPr>
        <w:t xml:space="preserve"> (USL) en de toezeggingen van internationale partners, voor 2027 afstevent op een financieringstekort van</w:t>
      </w:r>
      <w:r w:rsidR="00276CE1">
        <w:rPr>
          <w:rFonts w:ascii="Verdana" w:hAnsi="Verdana" w:eastAsia="Calibri" w:cs="Arial"/>
          <w:sz w:val="18"/>
          <w:szCs w:val="18"/>
        </w:rPr>
        <w:t xml:space="preserve"> ca.</w:t>
      </w:r>
      <w:r w:rsidRPr="21F23B44">
        <w:rPr>
          <w:rFonts w:ascii="Verdana" w:hAnsi="Verdana" w:eastAsia="Calibri" w:cs="Arial"/>
          <w:sz w:val="18"/>
          <w:szCs w:val="18"/>
        </w:rPr>
        <w:t xml:space="preserve"> EUR 70 mld. De Europese Raad heeft afgesproken tijdig het gesprek te voeren over de financieringsbehoefte van Oekraïne, op basis van ramingen van de Commissie en het IMF</w:t>
      </w:r>
      <w:r w:rsidR="00276CE1">
        <w:rPr>
          <w:rFonts w:ascii="Verdana" w:hAnsi="Verdana" w:eastAsia="Calibri" w:cs="Arial"/>
          <w:sz w:val="18"/>
          <w:szCs w:val="18"/>
        </w:rPr>
        <w:t>, en blijft gecommitteerd om de drukkende financieringsbehoefte gezamenlijk met andere internationale partners te adresseren</w:t>
      </w:r>
      <w:r w:rsidRPr="21F23B44">
        <w:rPr>
          <w:rFonts w:ascii="Verdana" w:hAnsi="Verdana" w:eastAsia="Calibri" w:cs="Arial"/>
          <w:sz w:val="18"/>
          <w:szCs w:val="18"/>
        </w:rPr>
        <w:t xml:space="preserve">. </w:t>
      </w:r>
    </w:p>
    <w:p w:rsidRPr="004B6505" w:rsidR="004B6505" w:rsidP="004B6505" w:rsidRDefault="004B6505" w14:paraId="4F0D9EA1" w14:textId="77777777">
      <w:pPr>
        <w:spacing w:after="0" w:line="276" w:lineRule="auto"/>
        <w:rPr>
          <w:rFonts w:ascii="Verdana" w:hAnsi="Verdana" w:eastAsia="Calibri" w:cs="Arial"/>
          <w:sz w:val="18"/>
          <w:szCs w:val="18"/>
        </w:rPr>
      </w:pPr>
    </w:p>
    <w:p w:rsidR="008366AF" w:rsidP="21F23B44" w:rsidRDefault="21F23B44" w14:paraId="06DA7733" w14:textId="5B1CE925">
      <w:pPr>
        <w:spacing w:after="0" w:line="276" w:lineRule="auto"/>
        <w:rPr>
          <w:rFonts w:ascii="Verdana" w:hAnsi="Verdana" w:eastAsia="Calibri" w:cs="Arial"/>
          <w:sz w:val="18"/>
          <w:szCs w:val="18"/>
        </w:rPr>
      </w:pPr>
      <w:r w:rsidRPr="21F23B44">
        <w:rPr>
          <w:rFonts w:ascii="Verdana" w:hAnsi="Verdana" w:eastAsia="Calibri" w:cs="Arial"/>
          <w:sz w:val="18"/>
          <w:szCs w:val="18"/>
        </w:rPr>
        <w:t>Het kabinet blijft Oekraïne politiek, militair, financieel en moreel steunen, zolang dat nodig is. Het hecht aan voorspelbare en toereikende begrotingssteun, een evenwichtige verdeling van de lasten tussen internationale partners en tijdige beschikbaarstelling van toegezegde middelen. Daarnaast blijft voortgang bij hervormingen op het gebied van bestuur en corruptiebestrijding essentieel voor verdere steunbetalingen.</w:t>
      </w:r>
      <w:r w:rsidR="00276CE1">
        <w:rPr>
          <w:rFonts w:ascii="Verdana" w:hAnsi="Verdana" w:eastAsia="Calibri" w:cs="Arial"/>
          <w:sz w:val="18"/>
          <w:szCs w:val="18"/>
        </w:rPr>
        <w:t xml:space="preserve"> Ten slotte blijft het kabinet pleiten voor het onderzoeken van de mogelijkheden voor de inzet van de geïmmobiliseerde Russische centralebanktegoeden.</w:t>
      </w:r>
    </w:p>
    <w:p w:rsidRPr="004B6505" w:rsidR="008B2621" w:rsidP="004B6505" w:rsidRDefault="008B2621" w14:paraId="64FB653C" w14:textId="77777777">
      <w:pPr>
        <w:spacing w:after="0" w:line="276" w:lineRule="auto"/>
        <w:rPr>
          <w:rFonts w:ascii="Verdana" w:hAnsi="Verdana" w:eastAsia="Calibri" w:cs="Arial"/>
          <w:sz w:val="18"/>
          <w:szCs w:val="18"/>
        </w:rPr>
      </w:pPr>
    </w:p>
    <w:p w:rsidRPr="008B2621" w:rsidR="008B2621" w:rsidP="008B2621" w:rsidRDefault="63DA510D" w14:paraId="6C8068E4" w14:textId="11711BFB">
      <w:pPr>
        <w:spacing w:line="276" w:lineRule="auto"/>
        <w:rPr>
          <w:rFonts w:ascii="Verdana" w:hAnsi="Verdana" w:eastAsia="Calibri" w:cs="Arial"/>
          <w:sz w:val="18"/>
          <w:szCs w:val="18"/>
        </w:rPr>
      </w:pPr>
      <w:r w:rsidRPr="00C17CB8">
        <w:rPr>
          <w:rFonts w:ascii="Verdana" w:hAnsi="Verdana"/>
          <w:b/>
          <w:bCs/>
          <w:sz w:val="18"/>
          <w:szCs w:val="18"/>
        </w:rPr>
        <w:t xml:space="preserve">Agendaonderwerp: </w:t>
      </w:r>
      <w:r w:rsidRPr="00C17CB8">
        <w:rPr>
          <w:rFonts w:ascii="Verdana" w:hAnsi="Verdana" w:eastAsia="Verdana" w:cs="Verdana"/>
          <w:sz w:val="18"/>
          <w:szCs w:val="18"/>
        </w:rPr>
        <w:t xml:space="preserve">Vereenvoudiging </w:t>
      </w:r>
      <w:r w:rsidRPr="00C17CB8" w:rsidR="008B32E6">
        <w:rPr>
          <w:rFonts w:ascii="Verdana" w:hAnsi="Verdana" w:eastAsia="Verdana" w:cs="Verdana"/>
          <w:sz w:val="18"/>
          <w:szCs w:val="18"/>
        </w:rPr>
        <w:t>van regelgeving, implementatie en handhaving</w:t>
      </w:r>
      <w:r w:rsidR="00164384">
        <w:rPr>
          <w:rFonts w:ascii="Verdana" w:hAnsi="Verdana" w:eastAsia="Verdana" w:cs="Verdana"/>
          <w:sz w:val="18"/>
          <w:szCs w:val="18"/>
        </w:rPr>
        <w:t>,</w:t>
      </w:r>
      <w:r w:rsidRPr="00C17CB8" w:rsidR="008B32E6">
        <w:rPr>
          <w:rFonts w:ascii="Verdana" w:hAnsi="Verdana" w:eastAsia="Verdana" w:cs="Verdana"/>
          <w:sz w:val="18"/>
          <w:szCs w:val="18"/>
        </w:rPr>
        <w:t xml:space="preserve"> </w:t>
      </w:r>
      <w:r w:rsidRPr="00C17CB8">
        <w:rPr>
          <w:rFonts w:ascii="Verdana" w:hAnsi="Verdana" w:eastAsia="Verdana" w:cs="Verdana"/>
          <w:sz w:val="18"/>
          <w:szCs w:val="18"/>
        </w:rPr>
        <w:t>en economische gevolgen</w:t>
      </w:r>
      <w:r w:rsidRPr="00C17CB8">
        <w:rPr>
          <w:rFonts w:ascii="Verdana" w:hAnsi="Verdana"/>
          <w:sz w:val="18"/>
          <w:szCs w:val="18"/>
        </w:rPr>
        <w:br/>
      </w:r>
      <w:r w:rsidRPr="00C17CB8">
        <w:rPr>
          <w:rFonts w:ascii="Verdana" w:hAnsi="Verdana" w:eastAsia="Verdana" w:cs="Verdana"/>
          <w:b/>
          <w:bCs/>
          <w:sz w:val="18"/>
          <w:szCs w:val="18"/>
        </w:rPr>
        <w:t xml:space="preserve">Document: </w:t>
      </w:r>
      <w:r w:rsidRPr="008B2621" w:rsidR="008B2621">
        <w:rPr>
          <w:rFonts w:ascii="Verdana" w:hAnsi="Verdana" w:eastAsia="Aptos" w:cs="Times New Roman"/>
          <w:kern w:val="2"/>
          <w:sz w:val="18"/>
          <w:szCs w:val="18"/>
          <w14:ligatures w14:val="standardContextual"/>
        </w:rPr>
        <w:t>Jaarlijks Overzichtsrapportage wordt gepubliceerd op internet, de Jaarlijkse Voortgangsrapporten zijn te vinden op de website van de Commissie</w:t>
      </w:r>
      <w:r w:rsidRPr="008B2621" w:rsidR="008B2621">
        <w:rPr>
          <w:rFonts w:ascii="Verdana" w:hAnsi="Verdana" w:eastAsia="Aptos" w:cs="Times New Roman"/>
          <w:kern w:val="2"/>
          <w:sz w:val="18"/>
          <w:szCs w:val="18"/>
          <w:vertAlign w:val="superscript"/>
          <w14:ligatures w14:val="standardContextual"/>
        </w:rPr>
        <w:footnoteReference w:id="4"/>
      </w:r>
      <w:r w:rsidRPr="008B2621" w:rsidR="008B2621">
        <w:rPr>
          <w:rFonts w:ascii="Verdana" w:hAnsi="Verdana" w:eastAsia="Aptos" w:cs="Times New Roman"/>
          <w:kern w:val="2"/>
          <w:sz w:val="18"/>
          <w:szCs w:val="18"/>
          <w14:ligatures w14:val="standardContextual"/>
        </w:rPr>
        <w:t xml:space="preserve"> en overzicht economische gevolgen van EU-wetgeving wordt gepubliceerd op </w:t>
      </w:r>
      <w:r w:rsidRPr="007870A5" w:rsidR="008B2621">
        <w:rPr>
          <w:rFonts w:ascii="Verdana" w:hAnsi="Verdana" w:eastAsia="Aptos" w:cs="Times New Roman"/>
          <w:i/>
          <w:iCs/>
          <w:kern w:val="2"/>
          <w:sz w:val="18"/>
          <w:szCs w:val="18"/>
          <w14:ligatures w14:val="standardContextual"/>
        </w:rPr>
        <w:t>Delegates Portal</w:t>
      </w:r>
      <w:r w:rsidRPr="008B2621" w:rsidR="008B2621">
        <w:rPr>
          <w:rFonts w:ascii="Verdana" w:hAnsi="Verdana" w:eastAsia="Aptos" w:cs="Times New Roman"/>
          <w:kern w:val="2"/>
          <w:sz w:val="18"/>
          <w:szCs w:val="18"/>
          <w14:ligatures w14:val="standardContextual"/>
        </w:rPr>
        <w:t xml:space="preserve">. </w:t>
      </w:r>
      <w:r w:rsidRPr="00C17CB8">
        <w:rPr>
          <w:rFonts w:ascii="Verdana" w:hAnsi="Verdana"/>
          <w:sz w:val="18"/>
          <w:szCs w:val="18"/>
        </w:rPr>
        <w:br/>
      </w:r>
      <w:r w:rsidRPr="00C17CB8">
        <w:rPr>
          <w:rFonts w:ascii="Verdana" w:hAnsi="Verdana" w:eastAsia="Verdana" w:cs="Verdana"/>
          <w:b/>
          <w:bCs/>
          <w:sz w:val="18"/>
          <w:szCs w:val="18"/>
        </w:rPr>
        <w:t xml:space="preserve">Aard bespreking: </w:t>
      </w:r>
      <w:r w:rsidRPr="008B2621" w:rsidR="008B2621">
        <w:rPr>
          <w:rFonts w:ascii="Verdana" w:hAnsi="Verdana" w:eastAsia="Verdana" w:cs="Verdana"/>
          <w:sz w:val="18"/>
          <w:szCs w:val="18"/>
        </w:rPr>
        <w:t>Presentatie en gedachtewisseling</w:t>
      </w:r>
      <w:r w:rsidRPr="00C17CB8">
        <w:rPr>
          <w:rFonts w:ascii="Verdana" w:hAnsi="Verdana"/>
          <w:sz w:val="18"/>
          <w:szCs w:val="18"/>
        </w:rPr>
        <w:br/>
      </w:r>
      <w:r w:rsidRPr="00C17CB8">
        <w:rPr>
          <w:rFonts w:ascii="Verdana" w:hAnsi="Verdana" w:eastAsia="Verdana" w:cs="Verdana"/>
          <w:b/>
          <w:bCs/>
          <w:sz w:val="18"/>
          <w:szCs w:val="18"/>
        </w:rPr>
        <w:t xml:space="preserve">Besluitvormingsprocedure: </w:t>
      </w:r>
      <w:r w:rsidR="008B2621">
        <w:rPr>
          <w:rFonts w:ascii="Verdana" w:hAnsi="Verdana" w:eastAsia="Verdana" w:cs="Verdana"/>
          <w:sz w:val="18"/>
          <w:szCs w:val="18"/>
        </w:rPr>
        <w:t>N.v.t.</w:t>
      </w:r>
      <w:r w:rsidRPr="00C17CB8">
        <w:rPr>
          <w:rFonts w:ascii="Verdana" w:hAnsi="Verdana"/>
          <w:sz w:val="18"/>
          <w:szCs w:val="18"/>
        </w:rPr>
        <w:br/>
      </w:r>
      <w:r w:rsidRPr="00C17CB8">
        <w:rPr>
          <w:rFonts w:ascii="Verdana" w:hAnsi="Verdana" w:eastAsia="Verdana" w:cs="Verdana"/>
          <w:b/>
          <w:bCs/>
          <w:sz w:val="18"/>
          <w:szCs w:val="18"/>
        </w:rPr>
        <w:t>Toelichting:</w:t>
      </w:r>
      <w:r w:rsidRPr="00C17CB8">
        <w:rPr>
          <w:rFonts w:ascii="Verdana" w:hAnsi="Verdana"/>
          <w:sz w:val="18"/>
          <w:szCs w:val="18"/>
        </w:rPr>
        <w:br/>
      </w:r>
      <w:r w:rsidRPr="00C17CB8">
        <w:rPr>
          <w:rFonts w:ascii="Verdana" w:hAnsi="Verdana" w:eastAsia="Verdana" w:cs="Verdana"/>
          <w:sz w:val="18"/>
          <w:szCs w:val="18"/>
        </w:rPr>
        <w:t xml:space="preserve">De Ecofinraad zal van gedachten wisselen over vereenvoudiging van regelgeving, implementatie en handhaving en de economische gevolgen van EU-wetgeving. Tijdens de Raad zal de Commissie naar verwachting een presentatie geven over de Jaarlijks Overzichtsrapportage van de Commissie, waarvan dit de tweede editie is. In de Jaarlijkse Overzichtsrapportage 2026 presenteren de voorzitter van de Europese Commissie Von der Leyen en Eurocommissaris Dombrovskis (verantwoordelijk voor o.a. Uitvoering en Vereenvoudiging) de voortgang op de agenda voor Betere Regelgeving. Op het moment van schrijven van deze geannoteerde agenda zijn de stukken nog niet gepubliceerd. Daarnaast liggen ook de Jaarlijkse Voortgangsrapportages 2026 voor. Alle Eurocommissarissen rapporteren jaarlijks over de stand van zaken rond vereenvoudiging, implementatie en handhaving op hun beleidsterreinen. Naar verwachting geeft de Commissie een </w:t>
      </w:r>
      <w:r w:rsidRPr="008B2621">
        <w:rPr>
          <w:rFonts w:ascii="Verdana" w:hAnsi="Verdana" w:eastAsia="Calibri" w:cs="Arial"/>
          <w:sz w:val="18"/>
          <w:szCs w:val="18"/>
        </w:rPr>
        <w:t>presentatie van deze voortgangsrapportages.</w:t>
      </w:r>
    </w:p>
    <w:p w:rsidRPr="00C17CB8" w:rsidR="63DA510D" w:rsidP="21F23B44" w:rsidRDefault="63DA510D" w14:paraId="30ED6A0B" w14:textId="57CACB43">
      <w:pPr>
        <w:spacing w:line="276" w:lineRule="auto"/>
        <w:rPr>
          <w:rFonts w:ascii="Verdana" w:hAnsi="Verdana"/>
          <w:sz w:val="18"/>
          <w:szCs w:val="18"/>
        </w:rPr>
      </w:pPr>
      <w:r w:rsidRPr="008B2621">
        <w:rPr>
          <w:rFonts w:ascii="Verdana" w:hAnsi="Verdana" w:eastAsia="Calibri" w:cs="Arial"/>
          <w:sz w:val="18"/>
          <w:szCs w:val="18"/>
        </w:rPr>
        <w:t xml:space="preserve">Tot slot zal het Ierse voorzitterschap naar verwachting een presentatie geven over het halfjaarlijks </w:t>
      </w:r>
      <w:r w:rsidRPr="00C17CB8">
        <w:rPr>
          <w:rFonts w:ascii="Verdana" w:hAnsi="Verdana" w:eastAsia="Verdana" w:cs="Verdana"/>
          <w:sz w:val="18"/>
          <w:szCs w:val="18"/>
        </w:rPr>
        <w:t>overzicht van baten en lasten die voortvloeien uit nieuwe EU-wetgeving. De nadruk ligt hierbij op de economische, sociale en regelgevingsbaten en de geaggregeerde administratieve en aanpassingskosten voor bedrijven, burgers en overheidsinstanties. Met deze bespreking geeft de Raad opvolging aan eerdere discussies over de economische gevolgen van EU-wetgeving in de Ecofinraad van 12 december 2025</w:t>
      </w:r>
      <w:r w:rsidRPr="00C17CB8" w:rsidR="000F1873">
        <w:rPr>
          <w:rStyle w:val="Voetnootmarkering"/>
          <w:rFonts w:ascii="Verdana" w:hAnsi="Verdana" w:eastAsia="Verdana" w:cs="Verdana"/>
          <w:sz w:val="18"/>
          <w:szCs w:val="18"/>
        </w:rPr>
        <w:footnoteReference w:id="5"/>
      </w:r>
      <w:r w:rsidRPr="00C17CB8">
        <w:rPr>
          <w:rFonts w:ascii="Verdana" w:hAnsi="Verdana" w:eastAsia="Verdana" w:cs="Verdana"/>
          <w:sz w:val="18"/>
          <w:szCs w:val="18"/>
        </w:rPr>
        <w:t xml:space="preserve"> en 5 mei 2026</w:t>
      </w:r>
      <w:r w:rsidRPr="00C17CB8" w:rsidR="000F1873">
        <w:rPr>
          <w:rStyle w:val="Voetnootmarkering"/>
          <w:rFonts w:ascii="Verdana" w:hAnsi="Verdana" w:eastAsia="Verdana" w:cs="Verdana"/>
          <w:sz w:val="18"/>
          <w:szCs w:val="18"/>
        </w:rPr>
        <w:footnoteReference w:id="6"/>
      </w:r>
      <w:r w:rsidRPr="00C17CB8">
        <w:rPr>
          <w:rFonts w:ascii="Verdana" w:hAnsi="Verdana" w:eastAsia="Verdana" w:cs="Verdana"/>
          <w:sz w:val="18"/>
          <w:szCs w:val="18"/>
        </w:rPr>
        <w:t>, en de aangenomen Raadsconclusies door de Raad Algemene Zaken op 16 december 2025</w:t>
      </w:r>
      <w:r w:rsidRPr="00C17CB8" w:rsidR="000F1873">
        <w:rPr>
          <w:rStyle w:val="Voetnootmarkering"/>
          <w:rFonts w:ascii="Verdana" w:hAnsi="Verdana" w:eastAsia="Verdana" w:cs="Verdana"/>
          <w:sz w:val="18"/>
          <w:szCs w:val="18"/>
        </w:rPr>
        <w:footnoteReference w:id="7"/>
      </w:r>
      <w:r w:rsidRPr="00C17CB8">
        <w:rPr>
          <w:rFonts w:ascii="Verdana" w:hAnsi="Verdana" w:eastAsia="Verdana" w:cs="Verdana"/>
          <w:sz w:val="18"/>
          <w:szCs w:val="18"/>
        </w:rPr>
        <w:t xml:space="preserve">. Deze Raadsconclusies concludeerden dat de Ecofinraad, samen met de Raad voor Concurrentievermogen, de taak heeft gekregen om de kosten en voordelen van nieuwe EU-wetgeving te bespreken. </w:t>
      </w:r>
    </w:p>
    <w:p w:rsidR="63DA510D" w:rsidP="008B2621" w:rsidRDefault="63DA510D" w14:paraId="0DE4980D" w14:textId="34B2E194">
      <w:pPr>
        <w:spacing w:after="0" w:line="276" w:lineRule="auto"/>
        <w:rPr>
          <w:rFonts w:ascii="Verdana" w:hAnsi="Verdana" w:eastAsia="Calibri" w:cs="Arial"/>
          <w:sz w:val="18"/>
          <w:szCs w:val="18"/>
        </w:rPr>
      </w:pPr>
      <w:r w:rsidRPr="00C17CB8">
        <w:rPr>
          <w:rFonts w:ascii="Verdana" w:hAnsi="Verdana" w:eastAsia="Verdana" w:cs="Verdana"/>
          <w:sz w:val="18"/>
          <w:szCs w:val="18"/>
        </w:rPr>
        <w:t xml:space="preserve">Het kabinet zet in op stevige vermindering van onnodige regeldruk, zonder de daarmee verband houdende beleidsdoelstellingen te ondermijnen. Het kabinet steunt in dat kader de inzet om economische gevolgen van EU-wetgeving goed in kaart te brengen teneinde een goede weging te </w:t>
      </w:r>
      <w:r w:rsidRPr="008B2621">
        <w:rPr>
          <w:rFonts w:ascii="Verdana" w:hAnsi="Verdana" w:eastAsia="Calibri" w:cs="Arial"/>
          <w:sz w:val="18"/>
          <w:szCs w:val="18"/>
        </w:rPr>
        <w:t>kunnen maken van de kosten en baten van wetgeving, en de onnodige regeldruk te verminderen.</w:t>
      </w:r>
    </w:p>
    <w:p w:rsidRPr="008B2621" w:rsidR="008B2621" w:rsidP="008B2621" w:rsidRDefault="008B2621" w14:paraId="0EB554D6" w14:textId="77777777">
      <w:pPr>
        <w:spacing w:after="0" w:line="276" w:lineRule="auto"/>
        <w:rPr>
          <w:rFonts w:ascii="Verdana" w:hAnsi="Verdana" w:eastAsia="Calibri" w:cs="Arial"/>
          <w:sz w:val="18"/>
          <w:szCs w:val="18"/>
        </w:rPr>
      </w:pPr>
    </w:p>
    <w:p w:rsidRPr="00C17CB8" w:rsidR="00DF2F0B" w:rsidP="004B3766" w:rsidRDefault="222A5DAE" w14:paraId="1A50AD95" w14:textId="3221AC4F">
      <w:pPr>
        <w:spacing w:after="0" w:line="276" w:lineRule="auto"/>
        <w:rPr>
          <w:rFonts w:ascii="Verdana" w:hAnsi="Verdana"/>
          <w:sz w:val="18"/>
          <w:szCs w:val="18"/>
        </w:rPr>
      </w:pPr>
      <w:r w:rsidRPr="008B2621">
        <w:rPr>
          <w:rFonts w:ascii="Verdana" w:hAnsi="Verdana" w:eastAsia="Calibri" w:cs="Arial"/>
          <w:b/>
          <w:bCs/>
          <w:sz w:val="18"/>
          <w:szCs w:val="18"/>
        </w:rPr>
        <w:t xml:space="preserve">Agendaonderwerp: </w:t>
      </w:r>
      <w:r w:rsidRPr="007870A5" w:rsidR="00431DCA">
        <w:rPr>
          <w:rFonts w:ascii="Verdana" w:hAnsi="Verdana" w:eastAsia="Calibri" w:cs="Arial"/>
          <w:sz w:val="18"/>
          <w:szCs w:val="18"/>
        </w:rPr>
        <w:t xml:space="preserve">Implementatie Stabiliteits-en Groeipact - Raadsaanbeveling activering nationale ontsnappingsclausule Italië  </w:t>
      </w:r>
      <w:r w:rsidRPr="008B2621" w:rsidR="00DF2F0B">
        <w:rPr>
          <w:rFonts w:ascii="Verdana" w:hAnsi="Verdana" w:eastAsia="Calibri" w:cs="Arial"/>
          <w:sz w:val="18"/>
          <w:szCs w:val="18"/>
        </w:rPr>
        <w:br/>
      </w:r>
      <w:r w:rsidRPr="00C17CB8">
        <w:rPr>
          <w:rFonts w:ascii="Verdana" w:hAnsi="Verdana" w:cs="Arial"/>
          <w:b/>
          <w:bCs/>
          <w:sz w:val="18"/>
          <w:szCs w:val="18"/>
        </w:rPr>
        <w:t>Document:</w:t>
      </w:r>
      <w:r w:rsidRPr="007870A5">
        <w:rPr>
          <w:rFonts w:ascii="Verdana" w:hAnsi="Verdana" w:cs="Arial"/>
          <w:sz w:val="18"/>
          <w:szCs w:val="18"/>
        </w:rPr>
        <w:t xml:space="preserve"> </w:t>
      </w:r>
      <w:r w:rsidRPr="007870A5" w:rsidR="007870A5">
        <w:rPr>
          <w:rFonts w:ascii="Verdana" w:hAnsi="Verdana" w:cs="Arial"/>
          <w:sz w:val="18"/>
          <w:szCs w:val="18"/>
        </w:rPr>
        <w:t>Raadsaanbe</w:t>
      </w:r>
      <w:r w:rsidR="007870A5">
        <w:rPr>
          <w:rFonts w:ascii="Verdana" w:hAnsi="Verdana"/>
          <w:sz w:val="18"/>
          <w:szCs w:val="18"/>
        </w:rPr>
        <w:t>veling over de aanvraag van de nationale ontsnappingsclausule door Italië</w:t>
      </w:r>
      <w:r w:rsidRPr="00C17CB8" w:rsidR="00DF2F0B">
        <w:rPr>
          <w:rFonts w:ascii="Verdana" w:hAnsi="Verdana"/>
          <w:sz w:val="18"/>
          <w:szCs w:val="18"/>
        </w:rPr>
        <w:br/>
      </w:r>
      <w:r w:rsidRPr="00C17CB8">
        <w:rPr>
          <w:rFonts w:ascii="Verdana" w:hAnsi="Verdana" w:cs="Arial"/>
          <w:b/>
          <w:bCs/>
          <w:sz w:val="18"/>
          <w:szCs w:val="18"/>
        </w:rPr>
        <w:t xml:space="preserve">Aard bespreking: </w:t>
      </w:r>
      <w:r w:rsidRPr="00C17CB8" w:rsidR="00431DCA">
        <w:rPr>
          <w:rFonts w:ascii="Verdana" w:hAnsi="Verdana"/>
          <w:sz w:val="18"/>
          <w:szCs w:val="18"/>
        </w:rPr>
        <w:t xml:space="preserve">Goedkeuring Raadsaanbeveling activering nationale ontsnappingsclausule Italië </w:t>
      </w:r>
      <w:r w:rsidRPr="00C17CB8" w:rsidR="00DF2F0B">
        <w:rPr>
          <w:rFonts w:ascii="Verdana" w:hAnsi="Verdana"/>
          <w:sz w:val="18"/>
          <w:szCs w:val="18"/>
        </w:rPr>
        <w:br/>
      </w:r>
      <w:r w:rsidRPr="00C17CB8">
        <w:rPr>
          <w:rFonts w:ascii="Verdana" w:hAnsi="Verdana" w:cs="Arial"/>
          <w:b/>
          <w:bCs/>
          <w:sz w:val="18"/>
          <w:szCs w:val="18"/>
        </w:rPr>
        <w:t xml:space="preserve">Besluitvormingsprocedure: </w:t>
      </w:r>
      <w:r w:rsidR="008B2621">
        <w:rPr>
          <w:rFonts w:ascii="Verdana" w:hAnsi="Verdana"/>
          <w:sz w:val="18"/>
          <w:szCs w:val="18"/>
        </w:rPr>
        <w:t>V</w:t>
      </w:r>
      <w:r w:rsidRPr="00C17CB8" w:rsidR="00431DCA">
        <w:rPr>
          <w:rFonts w:ascii="Verdana" w:hAnsi="Verdana"/>
          <w:sz w:val="18"/>
          <w:szCs w:val="18"/>
        </w:rPr>
        <w:t>ersterkte gekwalificeerde meerderheid</w:t>
      </w:r>
      <w:r w:rsidRPr="00C17CB8" w:rsidR="00DF2F0B">
        <w:rPr>
          <w:rFonts w:ascii="Verdana" w:hAnsi="Verdana"/>
          <w:sz w:val="18"/>
          <w:szCs w:val="18"/>
        </w:rPr>
        <w:br/>
      </w:r>
      <w:r w:rsidRPr="00C17CB8">
        <w:rPr>
          <w:rFonts w:ascii="Verdana" w:hAnsi="Verdana" w:eastAsia="Calibri" w:cs="Arial"/>
          <w:b/>
          <w:bCs/>
          <w:sz w:val="18"/>
          <w:szCs w:val="18"/>
        </w:rPr>
        <w:t>Toelichting:</w:t>
      </w:r>
    </w:p>
    <w:p w:rsidRPr="008B2621" w:rsidR="00431DCA" w:rsidP="008B2621" w:rsidRDefault="00431DCA" w14:paraId="4DC24B49" w14:textId="5A055B09">
      <w:pPr>
        <w:spacing w:line="276" w:lineRule="auto"/>
        <w:rPr>
          <w:rFonts w:ascii="Verdana" w:hAnsi="Verdana" w:eastAsia="Verdana" w:cs="Verdana"/>
          <w:sz w:val="18"/>
          <w:szCs w:val="18"/>
        </w:rPr>
      </w:pPr>
      <w:r w:rsidRPr="00C17CB8">
        <w:rPr>
          <w:rFonts w:ascii="Verdana" w:hAnsi="Verdana"/>
          <w:sz w:val="18"/>
          <w:szCs w:val="18"/>
        </w:rPr>
        <w:t>Zoals toegelicht in de nazending van de geannoteerde agenda van de Eurogroep en Ecofinraad van juni 2025</w:t>
      </w:r>
      <w:r w:rsidRPr="00C17CB8">
        <w:rPr>
          <w:rStyle w:val="Voetnootmarkering"/>
          <w:rFonts w:ascii="Verdana" w:hAnsi="Verdana"/>
          <w:sz w:val="18"/>
          <w:szCs w:val="18"/>
        </w:rPr>
        <w:footnoteReference w:id="8"/>
      </w:r>
      <w:r w:rsidRPr="00C17CB8">
        <w:rPr>
          <w:rFonts w:ascii="Verdana" w:hAnsi="Verdana"/>
          <w:sz w:val="18"/>
          <w:szCs w:val="18"/>
        </w:rPr>
        <w:t> kan de nationale ontsnappingsclausule (</w:t>
      </w:r>
      <w:r w:rsidRPr="007870A5">
        <w:rPr>
          <w:rFonts w:ascii="Verdana" w:hAnsi="Verdana"/>
          <w:i/>
          <w:iCs/>
          <w:sz w:val="18"/>
          <w:szCs w:val="18"/>
        </w:rPr>
        <w:t>National Escape Clause</w:t>
      </w:r>
      <w:r w:rsidRPr="00C17CB8">
        <w:rPr>
          <w:rFonts w:ascii="Verdana" w:hAnsi="Verdana"/>
          <w:sz w:val="18"/>
          <w:szCs w:val="18"/>
        </w:rPr>
        <w:t xml:space="preserve">, NEC) binnen de Europese begrotingsregels op verzoek van een lidstaat worden geactiveerd. Daarvoor gelden drie voorwaarden: (i) uitzonderlijke omstandigheden buiten de controle van de lidstaat, (ii) een substantiële impact van deze omstandigheden op de overheidsfinanciën en (iii) behoud van de </w:t>
      </w:r>
      <w:r w:rsidRPr="008B2621">
        <w:rPr>
          <w:rFonts w:ascii="Verdana" w:hAnsi="Verdana" w:eastAsia="Verdana" w:cs="Verdana"/>
          <w:sz w:val="18"/>
          <w:szCs w:val="18"/>
        </w:rPr>
        <w:t>houdbaarheid van de overheidsfinanciën op middellange termijn.</w:t>
      </w:r>
    </w:p>
    <w:p w:rsidRPr="00C17CB8" w:rsidR="00431DCA" w:rsidP="008B2621" w:rsidRDefault="00431DCA" w14:paraId="6DFA67DA" w14:textId="6B999379">
      <w:pPr>
        <w:spacing w:line="276" w:lineRule="auto"/>
        <w:rPr>
          <w:rFonts w:ascii="Verdana" w:hAnsi="Verdana"/>
          <w:sz w:val="18"/>
          <w:szCs w:val="18"/>
        </w:rPr>
      </w:pPr>
      <w:r w:rsidRPr="008B2621">
        <w:rPr>
          <w:rFonts w:ascii="Verdana" w:hAnsi="Verdana" w:eastAsia="Verdana" w:cs="Verdana"/>
          <w:sz w:val="18"/>
          <w:szCs w:val="18"/>
        </w:rPr>
        <w:t>Op 8 juli 2025 heeft de Raad de NEC voor een eerste groep van vijftien lidstaten</w:t>
      </w:r>
      <w:r w:rsidRPr="008B2621" w:rsidR="00177240">
        <w:rPr>
          <w:rFonts w:ascii="Verdana" w:hAnsi="Verdana" w:eastAsia="Verdana" w:cs="Verdana"/>
          <w:sz w:val="18"/>
          <w:szCs w:val="18"/>
        </w:rPr>
        <w:t xml:space="preserve"> </w:t>
      </w:r>
      <w:r w:rsidRPr="008B2621">
        <w:rPr>
          <w:rFonts w:ascii="Verdana" w:hAnsi="Verdana" w:eastAsia="Verdana" w:cs="Verdana"/>
          <w:sz w:val="18"/>
          <w:szCs w:val="18"/>
        </w:rPr>
        <w:t>geactiveerd om</w:t>
      </w:r>
      <w:r w:rsidRPr="00C17CB8">
        <w:rPr>
          <w:rFonts w:ascii="Verdana" w:hAnsi="Verdana"/>
          <w:sz w:val="18"/>
          <w:szCs w:val="18"/>
        </w:rPr>
        <w:t xml:space="preserve"> ruimte te bieden voor hogere defensie-uitgaven in de periode 2025-2028</w:t>
      </w:r>
      <w:r w:rsidRPr="00C17CB8">
        <w:rPr>
          <w:rFonts w:ascii="Verdana" w:hAnsi="Verdana"/>
          <w:sz w:val="18"/>
          <w:szCs w:val="18"/>
          <w:vertAlign w:val="superscript"/>
        </w:rPr>
        <w:footnoteReference w:id="9"/>
      </w:r>
      <w:r w:rsidRPr="00C17CB8">
        <w:rPr>
          <w:rFonts w:ascii="Verdana" w:hAnsi="Verdana"/>
          <w:sz w:val="18"/>
          <w:szCs w:val="18"/>
        </w:rPr>
        <w:t>. Inmiddels is de clausule voor achttien</w:t>
      </w:r>
      <w:r w:rsidRPr="00C17CB8">
        <w:rPr>
          <w:rStyle w:val="Voetnootmarkering"/>
          <w:rFonts w:ascii="Verdana" w:hAnsi="Verdana"/>
          <w:sz w:val="18"/>
          <w:szCs w:val="18"/>
        </w:rPr>
        <w:footnoteReference w:id="10"/>
      </w:r>
      <w:r w:rsidRPr="00C17CB8">
        <w:rPr>
          <w:rFonts w:ascii="Verdana" w:hAnsi="Verdana"/>
          <w:sz w:val="18"/>
          <w:szCs w:val="18"/>
        </w:rPr>
        <w:t xml:space="preserve"> lidstaten geactiveerd. Deze lidstaten mogen tijdelijk afwijken van het door de Raad aanbevolen uitgavenpad vanwege een toename van hun defensie-uitgaven, tot maximaal 1,5% bbp per jaar</w:t>
      </w:r>
      <w:r w:rsidRPr="00C17CB8">
        <w:rPr>
          <w:rStyle w:val="Voetnootmarkering"/>
          <w:rFonts w:ascii="Verdana" w:hAnsi="Verdana"/>
          <w:sz w:val="18"/>
          <w:szCs w:val="18"/>
        </w:rPr>
        <w:footnoteReference w:id="11"/>
      </w:r>
      <w:r w:rsidRPr="00C17CB8">
        <w:rPr>
          <w:rFonts w:ascii="Verdana" w:hAnsi="Verdana"/>
          <w:sz w:val="18"/>
          <w:szCs w:val="18"/>
        </w:rPr>
        <w:t>.</w:t>
      </w:r>
    </w:p>
    <w:p w:rsidRPr="008B2621" w:rsidR="008B2621" w:rsidP="008B2621" w:rsidRDefault="00431DCA" w14:paraId="211A2BC8" w14:textId="76752AD7">
      <w:pPr>
        <w:spacing w:line="276" w:lineRule="auto"/>
        <w:rPr>
          <w:rFonts w:ascii="Verdana" w:hAnsi="Verdana" w:eastAsia="Verdana" w:cs="Verdana"/>
          <w:sz w:val="18"/>
          <w:szCs w:val="18"/>
        </w:rPr>
      </w:pPr>
      <w:r w:rsidRPr="00C17CB8">
        <w:rPr>
          <w:rFonts w:ascii="Verdana" w:hAnsi="Verdana"/>
          <w:sz w:val="18"/>
          <w:szCs w:val="18"/>
        </w:rPr>
        <w:t>In de overkoepelende mededeling bij het lentepakket van 3 juni 2026 heeft de Commissie aangekondigd dat de reikwijdte van de NEC op verzoek van lidstaten kan worden uitgebreid naar maatregelen, genomen na 28 februari 2026, die de weerbaarheid van het Europese energiesysteem versterken en de transitie weg van fossiele brandstoffen versnellen</w:t>
      </w:r>
      <w:r w:rsidRPr="00C17CB8">
        <w:rPr>
          <w:rStyle w:val="Voetnootmarkering"/>
          <w:rFonts w:ascii="Verdana" w:hAnsi="Verdana"/>
          <w:sz w:val="18"/>
          <w:szCs w:val="18"/>
        </w:rPr>
        <w:footnoteReference w:id="12"/>
      </w:r>
      <w:r w:rsidRPr="00C17CB8">
        <w:rPr>
          <w:rFonts w:ascii="Verdana" w:hAnsi="Verdana"/>
          <w:sz w:val="18"/>
          <w:szCs w:val="18"/>
        </w:rPr>
        <w:t xml:space="preserve">. Voor de extra uitgavenruimte op grond van deze energiezekerheidsmaatregelen geldt een maximum van 0,3% bbp per jaar en cumulatief 0,6% bbp over de periode 2026-2028. Deze ruimte valt bovendien binnen het hiervoor genoemde bestaande plafond van 1,5% bbp per jaar. De uitbreiding leidt niet tot verlenging van de looptijd van de NEC. Op 18 augustus 2026 heeft de </w:t>
      </w:r>
      <w:r w:rsidRPr="008B2621">
        <w:rPr>
          <w:rFonts w:ascii="Verdana" w:hAnsi="Verdana" w:eastAsia="Verdana" w:cs="Verdana"/>
          <w:sz w:val="18"/>
          <w:szCs w:val="18"/>
        </w:rPr>
        <w:t>Commissie nadere richtsnoeren voor deze uitbreiding gepubliceerd.</w:t>
      </w:r>
    </w:p>
    <w:p w:rsidRPr="008B2621" w:rsidR="00431DCA" w:rsidP="008B2621" w:rsidRDefault="00431DCA" w14:paraId="33BDEAAF" w14:textId="0AC23F88">
      <w:pPr>
        <w:spacing w:line="276" w:lineRule="auto"/>
        <w:rPr>
          <w:rFonts w:ascii="Verdana" w:hAnsi="Verdana" w:eastAsia="Verdana" w:cs="Verdana"/>
          <w:sz w:val="18"/>
          <w:szCs w:val="18"/>
        </w:rPr>
      </w:pPr>
      <w:r w:rsidRPr="008B2621">
        <w:rPr>
          <w:rFonts w:ascii="Verdana" w:hAnsi="Verdana" w:eastAsia="Verdana" w:cs="Verdana"/>
          <w:sz w:val="18"/>
          <w:szCs w:val="18"/>
        </w:rPr>
        <w:t>Italië heeft op 11 september 2026 verzocht om activering van de NEC voor zowel hogere defensie-</w:t>
      </w:r>
      <w:r w:rsidRPr="00C17CB8">
        <w:rPr>
          <w:rFonts w:ascii="Verdana" w:hAnsi="Verdana"/>
          <w:sz w:val="18"/>
          <w:szCs w:val="18"/>
        </w:rPr>
        <w:t xml:space="preserve">uitgaven als energiezekerheidsmaatregelen. De Commissie heeft beide onderdelen positief beoordeeld en op 8 oktober 2026 een aanbeveling aan de Raad gedaan. De Commissie acht de schuldhoudbaarheid op middellange termijn gewaarborgd, mede gelet op de Italiaanse toezegging om de benodigde begrotingsaanpassingen in het volgende budgettair-structurele plan door te </w:t>
      </w:r>
      <w:r w:rsidRPr="008B2621">
        <w:rPr>
          <w:rFonts w:ascii="Verdana" w:hAnsi="Verdana" w:eastAsia="Verdana" w:cs="Verdana"/>
          <w:sz w:val="18"/>
          <w:szCs w:val="18"/>
        </w:rPr>
        <w:t>voeren.</w:t>
      </w:r>
    </w:p>
    <w:p w:rsidRPr="008B2621" w:rsidR="00431DCA" w:rsidP="008B2621" w:rsidRDefault="00431DCA" w14:paraId="2CC3BCF1" w14:textId="30AB1E5A">
      <w:pPr>
        <w:spacing w:line="276" w:lineRule="auto"/>
        <w:rPr>
          <w:rFonts w:ascii="Verdana" w:hAnsi="Verdana" w:eastAsia="Verdana" w:cs="Verdana"/>
          <w:sz w:val="18"/>
          <w:szCs w:val="18"/>
        </w:rPr>
      </w:pPr>
      <w:r w:rsidRPr="008B2621">
        <w:rPr>
          <w:rFonts w:ascii="Verdana" w:hAnsi="Verdana" w:eastAsia="Verdana" w:cs="Verdana"/>
          <w:sz w:val="18"/>
          <w:szCs w:val="18"/>
        </w:rPr>
        <w:t>De aanbeveling voorziet in halfjaarlijkse rapportage door Italië, uiterlijk op 15 april en 15 oktober,</w:t>
      </w:r>
      <w:r w:rsidRPr="00C17CB8">
        <w:rPr>
          <w:rFonts w:ascii="Verdana" w:hAnsi="Verdana"/>
          <w:sz w:val="18"/>
          <w:szCs w:val="18"/>
        </w:rPr>
        <w:t xml:space="preserve"> over de energiezekerheidsmaatregelen en hun budgettaire gevolgen. Op basis daarvan beoordeelt de Commissie welke maatregelen voor flexibiliteit in aanmerking komen en houdt zij het gebruik </w:t>
      </w:r>
      <w:r w:rsidRPr="008B2621">
        <w:rPr>
          <w:rFonts w:ascii="Verdana" w:hAnsi="Verdana" w:eastAsia="Verdana" w:cs="Verdana"/>
          <w:sz w:val="18"/>
          <w:szCs w:val="18"/>
        </w:rPr>
        <w:t>daarvan bij in het begrotingstoezicht.</w:t>
      </w:r>
    </w:p>
    <w:p w:rsidR="008B2621" w:rsidP="008B2621" w:rsidRDefault="00431DCA" w14:paraId="7B97729C" w14:textId="7730CDE9">
      <w:pPr>
        <w:spacing w:after="0" w:line="276" w:lineRule="auto"/>
        <w:rPr>
          <w:rFonts w:ascii="Verdana" w:hAnsi="Verdana" w:eastAsia="Calibri" w:cs="Arial"/>
          <w:sz w:val="18"/>
          <w:szCs w:val="18"/>
        </w:rPr>
      </w:pPr>
      <w:r w:rsidRPr="008B2621">
        <w:rPr>
          <w:rFonts w:ascii="Verdana" w:hAnsi="Verdana" w:eastAsia="Verdana" w:cs="Verdana"/>
          <w:sz w:val="18"/>
          <w:szCs w:val="18"/>
        </w:rPr>
        <w:t>Het kabinet volgt de beoordeling van de Commissie en is voornemens in te stemmen met de</w:t>
      </w:r>
      <w:r w:rsidRPr="00C17CB8">
        <w:rPr>
          <w:rFonts w:ascii="Verdana" w:hAnsi="Verdana"/>
          <w:sz w:val="18"/>
          <w:szCs w:val="18"/>
        </w:rPr>
        <w:t xml:space="preserve"> nieuwe Raadsaanbeveling voor </w:t>
      </w:r>
      <w:r w:rsidRPr="00C17CB8" w:rsidR="00177240">
        <w:rPr>
          <w:rFonts w:ascii="Verdana" w:hAnsi="Verdana"/>
          <w:sz w:val="18"/>
          <w:szCs w:val="18"/>
        </w:rPr>
        <w:t>Italië</w:t>
      </w:r>
      <w:r w:rsidRPr="00C17CB8">
        <w:rPr>
          <w:rFonts w:ascii="Verdana" w:hAnsi="Verdana"/>
          <w:sz w:val="18"/>
          <w:szCs w:val="18"/>
        </w:rPr>
        <w:t xml:space="preserve"> tijdens de Ecofinraad van </w:t>
      </w:r>
      <w:r w:rsidRPr="00C17CB8" w:rsidR="00177240">
        <w:rPr>
          <w:rFonts w:ascii="Verdana" w:hAnsi="Verdana"/>
          <w:sz w:val="18"/>
          <w:szCs w:val="18"/>
        </w:rPr>
        <w:t>november</w:t>
      </w:r>
      <w:r w:rsidRPr="00C17CB8">
        <w:rPr>
          <w:rFonts w:ascii="Verdana" w:hAnsi="Verdana"/>
          <w:sz w:val="18"/>
          <w:szCs w:val="18"/>
        </w:rPr>
        <w:t xml:space="preserve">. Bij de monitoring van de toepassing van de NEC zal het kabinet aandacht blijven vragen voor schuldhoudbaarheid en financiële stabiliteit, evenals voor de tijdelijkheid en gerichtheid van de ontsnappingsclausule. Daarbij blijft het kabinet het belang benadrukken van herprioritering van uitgaven om structureel </w:t>
      </w:r>
      <w:r w:rsidRPr="008B2621">
        <w:rPr>
          <w:rFonts w:ascii="Verdana" w:hAnsi="Verdana" w:eastAsia="Calibri" w:cs="Arial"/>
          <w:sz w:val="18"/>
          <w:szCs w:val="18"/>
        </w:rPr>
        <w:t>hogere uitgaven binnen de nationale begrotingen op te vangen.</w:t>
      </w:r>
    </w:p>
    <w:p w:rsidRPr="008B2621" w:rsidR="008B2621" w:rsidP="008B2621" w:rsidRDefault="008B2621" w14:paraId="166AD0D5" w14:textId="77777777">
      <w:pPr>
        <w:spacing w:after="0" w:line="276" w:lineRule="auto"/>
        <w:rPr>
          <w:rFonts w:ascii="Verdana" w:hAnsi="Verdana" w:eastAsia="Calibri" w:cs="Arial"/>
          <w:sz w:val="18"/>
          <w:szCs w:val="18"/>
        </w:rPr>
      </w:pPr>
    </w:p>
    <w:p w:rsidR="00164384" w:rsidP="00164384" w:rsidRDefault="222A5DAE" w14:paraId="1D4C764A" w14:textId="139E83ED">
      <w:pPr>
        <w:spacing w:line="276" w:lineRule="auto"/>
        <w:rPr>
          <w:rFonts w:ascii="Verdana" w:hAnsi="Verdana" w:eastAsia="Verdana" w:cs="Verdana"/>
          <w:sz w:val="18"/>
          <w:szCs w:val="18"/>
        </w:rPr>
      </w:pPr>
      <w:r w:rsidRPr="008B2621">
        <w:rPr>
          <w:rFonts w:ascii="Verdana" w:hAnsi="Verdana" w:eastAsia="Calibri" w:cs="Arial"/>
          <w:b/>
          <w:bCs/>
          <w:sz w:val="18"/>
          <w:szCs w:val="18"/>
        </w:rPr>
        <w:t>Agendaonderwerp</w:t>
      </w:r>
      <w:r w:rsidR="008B2621">
        <w:rPr>
          <w:rFonts w:ascii="Verdana" w:hAnsi="Verdana" w:eastAsia="Calibri" w:cs="Arial"/>
          <w:sz w:val="18"/>
          <w:szCs w:val="18"/>
        </w:rPr>
        <w:t>:</w:t>
      </w:r>
      <w:r w:rsidRPr="008B2621">
        <w:rPr>
          <w:rFonts w:ascii="Verdana" w:hAnsi="Verdana" w:eastAsia="Calibri" w:cs="Arial"/>
          <w:sz w:val="18"/>
          <w:szCs w:val="18"/>
        </w:rPr>
        <w:t xml:space="preserve"> Economisch herstel in Europa</w:t>
      </w:r>
      <w:r w:rsidRPr="008B2621" w:rsidR="06656C08">
        <w:rPr>
          <w:rFonts w:ascii="Verdana" w:hAnsi="Verdana" w:eastAsia="Calibri" w:cs="Arial"/>
          <w:sz w:val="18"/>
          <w:szCs w:val="18"/>
        </w:rPr>
        <w:t>: de herstel- en veerkrachtfaciliteit</w:t>
      </w:r>
      <w:r w:rsidRPr="00C17CB8" w:rsidR="00AC3420">
        <w:rPr>
          <w:rFonts w:ascii="Verdana" w:hAnsi="Verdana"/>
          <w:sz w:val="18"/>
          <w:szCs w:val="18"/>
        </w:rPr>
        <w:br/>
      </w:r>
      <w:r w:rsidRPr="00C17CB8">
        <w:rPr>
          <w:rFonts w:ascii="Verdana" w:hAnsi="Verdana" w:eastAsia="Verdana" w:cs="Verdana"/>
          <w:b/>
          <w:bCs/>
          <w:sz w:val="18"/>
          <w:szCs w:val="18"/>
        </w:rPr>
        <w:t xml:space="preserve">Document: </w:t>
      </w:r>
      <w:r w:rsidRPr="00C17CB8" w:rsidR="06656C08">
        <w:rPr>
          <w:rFonts w:ascii="Verdana" w:hAnsi="Verdana" w:eastAsia="Verdana" w:cs="Verdana"/>
          <w:sz w:val="18"/>
          <w:szCs w:val="18"/>
        </w:rPr>
        <w:t>N.v.t.</w:t>
      </w:r>
      <w:r w:rsidRPr="00C17CB8" w:rsidR="00AC3420">
        <w:rPr>
          <w:rFonts w:ascii="Verdana" w:hAnsi="Verdana"/>
          <w:sz w:val="18"/>
          <w:szCs w:val="18"/>
        </w:rPr>
        <w:br/>
      </w:r>
      <w:r w:rsidRPr="00C17CB8">
        <w:rPr>
          <w:rFonts w:ascii="Verdana" w:hAnsi="Verdana" w:eastAsia="Verdana" w:cs="Verdana"/>
          <w:b/>
          <w:bCs/>
          <w:sz w:val="18"/>
          <w:szCs w:val="18"/>
        </w:rPr>
        <w:t xml:space="preserve">Aard bespreking: </w:t>
      </w:r>
      <w:r w:rsidRPr="00C17CB8" w:rsidR="06656C08">
        <w:rPr>
          <w:rFonts w:ascii="Verdana" w:hAnsi="Verdana" w:eastAsia="Verdana" w:cs="Verdana"/>
          <w:sz w:val="18"/>
          <w:szCs w:val="18"/>
        </w:rPr>
        <w:t>Gedachtewisseling</w:t>
      </w:r>
      <w:r w:rsidRPr="00C17CB8" w:rsidR="00AC3420">
        <w:rPr>
          <w:rFonts w:ascii="Verdana" w:hAnsi="Verdana"/>
          <w:sz w:val="18"/>
          <w:szCs w:val="18"/>
        </w:rPr>
        <w:br/>
      </w:r>
      <w:r w:rsidRPr="00C17CB8">
        <w:rPr>
          <w:rFonts w:ascii="Verdana" w:hAnsi="Verdana" w:eastAsia="Verdana" w:cs="Verdana"/>
          <w:b/>
          <w:bCs/>
          <w:sz w:val="18"/>
          <w:szCs w:val="18"/>
        </w:rPr>
        <w:t xml:space="preserve">Besluitvormingsprocedure: </w:t>
      </w:r>
      <w:r w:rsidRPr="00C17CB8" w:rsidR="06656C08">
        <w:rPr>
          <w:rFonts w:ascii="Verdana" w:hAnsi="Verdana" w:eastAsia="Verdana" w:cs="Verdana"/>
          <w:sz w:val="18"/>
          <w:szCs w:val="18"/>
        </w:rPr>
        <w:t>N.v.t.</w:t>
      </w:r>
      <w:r w:rsidRPr="00C17CB8" w:rsidR="00AC3420">
        <w:rPr>
          <w:rFonts w:ascii="Verdana" w:hAnsi="Verdana"/>
          <w:sz w:val="18"/>
          <w:szCs w:val="18"/>
        </w:rPr>
        <w:br/>
      </w:r>
      <w:r w:rsidRPr="00C17CB8">
        <w:rPr>
          <w:rFonts w:ascii="Verdana" w:hAnsi="Verdana" w:eastAsia="Verdana" w:cs="Verdana"/>
          <w:b/>
          <w:bCs/>
          <w:sz w:val="18"/>
          <w:szCs w:val="18"/>
        </w:rPr>
        <w:t>Toelichting:</w:t>
      </w:r>
      <w:r w:rsidRPr="00C17CB8">
        <w:rPr>
          <w:rFonts w:ascii="Verdana" w:hAnsi="Verdana"/>
          <w:sz w:val="18"/>
          <w:szCs w:val="18"/>
        </w:rPr>
        <w:br/>
      </w:r>
      <w:r w:rsidRPr="00C17CB8" w:rsidR="06656C08">
        <w:rPr>
          <w:rFonts w:ascii="Verdana" w:hAnsi="Verdana" w:eastAsia="Verdana" w:cs="Verdana"/>
          <w:sz w:val="18"/>
          <w:szCs w:val="18"/>
        </w:rPr>
        <w:t xml:space="preserve">Tijdens de Ecofinraad zal worden stilgestaan bij de stand van zaken ten aanzien van de Herstel- en Veerkrachtfaciliteit (HVF). Naar verwachting zal de Commissie een update geven over de ontvangen betaalverzoeken en de tot op heden uitbetaalde subsidies en leningen uit de faciliteit. </w:t>
      </w:r>
    </w:p>
    <w:p w:rsidR="006F40DB" w:rsidP="006F40DB" w:rsidRDefault="06656C08" w14:paraId="647D1600" w14:textId="77777777">
      <w:pPr>
        <w:spacing w:after="0" w:line="276" w:lineRule="auto"/>
        <w:rPr>
          <w:rFonts w:ascii="Verdana" w:hAnsi="Verdana" w:eastAsia="Verdana" w:cs="Verdana"/>
          <w:sz w:val="18"/>
          <w:szCs w:val="18"/>
        </w:rPr>
      </w:pPr>
      <w:r w:rsidRPr="00C17CB8">
        <w:rPr>
          <w:rFonts w:ascii="Verdana" w:hAnsi="Verdana" w:eastAsia="Verdana" w:cs="Verdana"/>
          <w:sz w:val="18"/>
          <w:szCs w:val="18"/>
        </w:rPr>
        <w:t>De HVF loopt tot en met 31 december 2026, waarna er geen uitbetalingen uit de faciliteit meer kunnen plaatsvinden. Lidstaten hadden tot eind augustus om de mijlpalen en doelstellingen uit het herstel- en veerkrachtplan te implementeren en tot dezelfde datum de mogelijkheid om het herstel- en veerkrachtplan te wijzigen. Vervolgens konden lidstaten tot en met 30 september betaalverzoeken indienen. De Europese Commissie heeft tot medio november om deze te beoordelen.</w:t>
      </w:r>
    </w:p>
    <w:p w:rsidRPr="00C1576C" w:rsidR="222A5DAE" w:rsidP="007870A5" w:rsidRDefault="222A5DAE" w14:paraId="007A3E31" w14:textId="1A823EAA">
      <w:pPr>
        <w:spacing w:after="0" w:line="276" w:lineRule="auto"/>
        <w:rPr>
          <w:rFonts w:ascii="Verdana" w:hAnsi="Verdana"/>
          <w:sz w:val="18"/>
          <w:szCs w:val="18"/>
        </w:rPr>
      </w:pPr>
    </w:p>
    <w:p w:rsidRPr="00C17CB8" w:rsidR="222A5DAE" w:rsidP="00C1576C" w:rsidRDefault="222A5DAE" w14:paraId="6354BFEC" w14:textId="009BEBC4">
      <w:pPr>
        <w:spacing w:after="0" w:line="276" w:lineRule="auto"/>
        <w:rPr>
          <w:rFonts w:ascii="Verdana" w:hAnsi="Verdana" w:eastAsia="Calibri" w:cs="Arial"/>
          <w:sz w:val="18"/>
          <w:szCs w:val="18"/>
        </w:rPr>
      </w:pPr>
      <w:r w:rsidRPr="00C17CB8">
        <w:rPr>
          <w:rFonts w:ascii="Verdana" w:hAnsi="Verdana"/>
          <w:b/>
          <w:bCs/>
          <w:sz w:val="18"/>
          <w:szCs w:val="18"/>
        </w:rPr>
        <w:t xml:space="preserve">Agendaonderwerp: </w:t>
      </w:r>
      <w:r w:rsidRPr="00C17CB8">
        <w:rPr>
          <w:rFonts w:ascii="Verdana" w:hAnsi="Verdana" w:eastAsia="Verdana" w:cs="Verdana"/>
          <w:sz w:val="18"/>
          <w:szCs w:val="18"/>
        </w:rPr>
        <w:t>Conclusies op EU-statistieken</w:t>
      </w:r>
    </w:p>
    <w:p w:rsidRPr="00C1576C" w:rsidR="00AC3420" w:rsidP="00C1576C" w:rsidRDefault="63DA510D" w14:paraId="13198CED" w14:textId="170532DB">
      <w:pPr>
        <w:pStyle w:val="Plattetekst"/>
        <w:spacing w:after="0" w:line="276" w:lineRule="auto"/>
        <w:rPr>
          <w:rFonts w:ascii="Verdana" w:hAnsi="Verdana" w:eastAsiaTheme="minorEastAsia"/>
          <w:sz w:val="18"/>
          <w:szCs w:val="18"/>
          <w:lang w:eastAsia="en-US"/>
        </w:rPr>
      </w:pPr>
      <w:r w:rsidRPr="00C17CB8">
        <w:rPr>
          <w:rFonts w:ascii="Verdana" w:hAnsi="Verdana" w:eastAsia="Verdana" w:cs="Verdana"/>
          <w:b/>
          <w:bCs/>
          <w:sz w:val="18"/>
          <w:szCs w:val="18"/>
        </w:rPr>
        <w:t xml:space="preserve">Document: </w:t>
      </w:r>
      <w:r w:rsidRPr="007870A5" w:rsidR="00C1576C">
        <w:rPr>
          <w:rFonts w:ascii="Verdana" w:hAnsi="Verdana" w:eastAsia="Verdana" w:cs="Verdana"/>
          <w:i/>
          <w:iCs/>
          <w:sz w:val="18"/>
          <w:szCs w:val="18"/>
        </w:rPr>
        <w:t>Draft Council Conclusions on European Statistics</w:t>
      </w:r>
      <w:r w:rsidRPr="00C1576C" w:rsidR="00C1576C">
        <w:rPr>
          <w:rFonts w:ascii="Verdana" w:hAnsi="Verdana" w:eastAsia="Verdana" w:cs="Verdana"/>
          <w:sz w:val="18"/>
          <w:szCs w:val="18"/>
        </w:rPr>
        <w:t xml:space="preserve"> (2026)</w:t>
      </w:r>
    </w:p>
    <w:p w:rsidRPr="00C1576C" w:rsidR="00AC3420" w:rsidP="00C1576C" w:rsidRDefault="688ECF3B" w14:paraId="6AD1106D" w14:textId="7414AA23">
      <w:pPr>
        <w:pStyle w:val="Plattetekst"/>
        <w:spacing w:after="0" w:line="276" w:lineRule="auto"/>
        <w:rPr>
          <w:rFonts w:ascii="Verdana" w:hAnsi="Verdana" w:eastAsia="Calibri" w:cs="Arial"/>
          <w:sz w:val="18"/>
          <w:szCs w:val="18"/>
        </w:rPr>
      </w:pPr>
      <w:r w:rsidRPr="00C17CB8">
        <w:rPr>
          <w:rFonts w:ascii="Verdana" w:hAnsi="Verdana" w:eastAsia="Calibri" w:cs="Arial"/>
          <w:b/>
          <w:bCs/>
          <w:sz w:val="18"/>
          <w:szCs w:val="18"/>
        </w:rPr>
        <w:t xml:space="preserve">Aard bespreking: </w:t>
      </w:r>
      <w:r w:rsidR="00C1576C">
        <w:rPr>
          <w:rFonts w:ascii="Verdana" w:hAnsi="Verdana" w:eastAsia="Calibri" w:cs="Arial"/>
          <w:sz w:val="18"/>
          <w:szCs w:val="18"/>
        </w:rPr>
        <w:t>Aanname raadsconclusies over EU-statistieken</w:t>
      </w:r>
    </w:p>
    <w:p w:rsidRPr="00C1576C" w:rsidR="008366AF" w:rsidP="00C1576C" w:rsidRDefault="63DA510D" w14:paraId="1753C2C9" w14:textId="159FDF18">
      <w:pPr>
        <w:pStyle w:val="Plattetekst"/>
        <w:spacing w:after="0" w:line="276" w:lineRule="auto"/>
        <w:rPr>
          <w:rFonts w:ascii="Verdana" w:hAnsi="Verdana" w:eastAsia="Calibri" w:cs="Arial"/>
          <w:sz w:val="18"/>
          <w:szCs w:val="18"/>
        </w:rPr>
      </w:pPr>
      <w:r w:rsidRPr="00C17CB8">
        <w:rPr>
          <w:rFonts w:ascii="Verdana" w:hAnsi="Verdana" w:eastAsia="Calibri" w:cs="Arial"/>
          <w:b/>
          <w:bCs/>
          <w:sz w:val="18"/>
          <w:szCs w:val="18"/>
        </w:rPr>
        <w:t xml:space="preserve">Besluitvormingsprocedure: </w:t>
      </w:r>
      <w:r w:rsidR="00C1576C">
        <w:rPr>
          <w:rFonts w:ascii="Verdana" w:hAnsi="Verdana" w:eastAsia="Calibri" w:cs="Arial"/>
          <w:sz w:val="18"/>
          <w:szCs w:val="18"/>
        </w:rPr>
        <w:t>Consensus</w:t>
      </w:r>
    </w:p>
    <w:p w:rsidRPr="00C17CB8" w:rsidR="008366AF" w:rsidP="00C1576C" w:rsidRDefault="222A5DAE" w14:paraId="118AF3F0" w14:textId="31ABFE9F">
      <w:pPr>
        <w:pStyle w:val="Plattetekst"/>
        <w:spacing w:after="0" w:line="276" w:lineRule="auto"/>
        <w:rPr>
          <w:rFonts w:ascii="Verdana" w:hAnsi="Verdana" w:eastAsia="Calibri" w:cs="Arial"/>
          <w:b/>
          <w:bCs/>
          <w:sz w:val="18"/>
          <w:szCs w:val="18"/>
        </w:rPr>
      </w:pPr>
      <w:r w:rsidRPr="00C17CB8">
        <w:rPr>
          <w:rFonts w:ascii="Verdana" w:hAnsi="Verdana" w:eastAsia="Calibri" w:cs="Arial"/>
          <w:b/>
          <w:bCs/>
          <w:sz w:val="18"/>
          <w:szCs w:val="18"/>
        </w:rPr>
        <w:t>Toelichting:</w:t>
      </w:r>
    </w:p>
    <w:p w:rsidRPr="00C1576C" w:rsidR="00C1576C" w:rsidP="21F23B44" w:rsidRDefault="00C1576C" w14:paraId="0A585EC5" w14:textId="2BCDECE2">
      <w:pPr>
        <w:spacing w:line="276" w:lineRule="auto"/>
        <w:rPr>
          <w:rFonts w:ascii="Verdana" w:hAnsi="Verdana" w:eastAsia="Verdana" w:cs="Verdana"/>
          <w:sz w:val="18"/>
          <w:szCs w:val="18"/>
        </w:rPr>
      </w:pPr>
      <w:r>
        <w:rPr>
          <w:rFonts w:ascii="Verdana" w:hAnsi="Verdana" w:eastAsia="Aptos" w:cs="Aptos"/>
          <w:sz w:val="18"/>
          <w:szCs w:val="18"/>
          <w14:ligatures w14:val="standardContextual"/>
        </w:rPr>
        <w:t>Het kabinet</w:t>
      </w:r>
      <w:r w:rsidRPr="00C1576C">
        <w:rPr>
          <w:rFonts w:ascii="Verdana" w:hAnsi="Verdana" w:eastAsia="Aptos" w:cs="Aptos"/>
          <w:sz w:val="18"/>
          <w:szCs w:val="18"/>
          <w14:ligatures w14:val="standardContextual"/>
        </w:rPr>
        <w:t xml:space="preserve"> kan instemmen met de voorliggende raadsconclusies over EU-statistiek</w:t>
      </w:r>
      <w:r>
        <w:rPr>
          <w:rFonts w:ascii="Verdana" w:hAnsi="Verdana" w:eastAsia="Aptos" w:cs="Aptos"/>
          <w:sz w:val="18"/>
          <w:szCs w:val="18"/>
          <w14:ligatures w14:val="standardContextual"/>
        </w:rPr>
        <w:t>en</w:t>
      </w:r>
      <w:r w:rsidRPr="00C1576C">
        <w:rPr>
          <w:rFonts w:ascii="Verdana" w:hAnsi="Verdana" w:eastAsia="Aptos" w:cs="Aptos"/>
          <w:sz w:val="18"/>
          <w:szCs w:val="18"/>
          <w14:ligatures w14:val="standardContextual"/>
        </w:rPr>
        <w:t xml:space="preserve"> voor 2026. De conclusies bouwen voort op de prioriteiten uit 2025 en sluiten aan bij de EU-agenda 2024-2029. Belangrijke punten zijn de implementatie van de herziene Verordening (EG) nr. 223/2009, die betere toegang tot administratieve en privégegevens mogelijk maakt. De Raad roept op tot verdere samenwerking tussen lidstaten om datadeling voor statistische doeleinden te verbeteren en de rapportagelast te verminderen</w:t>
      </w:r>
      <w:r>
        <w:rPr>
          <w:rFonts w:ascii="Verdana" w:hAnsi="Verdana" w:eastAsia="Aptos" w:cs="Aptos"/>
          <w:sz w:val="18"/>
          <w:szCs w:val="18"/>
          <w14:ligatures w14:val="standardContextual"/>
        </w:rPr>
        <w:t>.</w:t>
      </w:r>
      <w:r w:rsidRPr="00C1576C">
        <w:rPr>
          <w:rFonts w:ascii="Verdana" w:hAnsi="Verdana" w:eastAsia="Aptos" w:cs="Aptos"/>
          <w:sz w:val="18"/>
          <w:szCs w:val="18"/>
          <w14:ligatures w14:val="standardContextual"/>
        </w:rPr>
        <w:t xml:space="preserve"> Daarnaast wordt benadrukt dat vereenvoudiging en lastenverlichting prioriteiten blijven, met een oproep tot versnelling via een actieplan en een gebalanceerde afweging tussen gebruikersbehoeften, kosten en rapportagelast. De Commissie wordt gevraagd om in 2027 een eerste pakket voor vereenvoudiging voor te leggen in delegatie- </w:t>
      </w:r>
      <w:r w:rsidRPr="00C1576C">
        <w:rPr>
          <w:rFonts w:ascii="Verdana" w:hAnsi="Verdana" w:eastAsia="Verdana" w:cs="Verdana"/>
          <w:sz w:val="18"/>
          <w:szCs w:val="18"/>
        </w:rPr>
        <w:t xml:space="preserve">en uitvoeringshandelingen. </w:t>
      </w:r>
    </w:p>
    <w:p w:rsidR="00C1576C" w:rsidP="21F23B44" w:rsidRDefault="00C1576C" w14:paraId="708FA3D0" w14:textId="3D802891">
      <w:pPr>
        <w:spacing w:after="0" w:line="276" w:lineRule="auto"/>
        <w:rPr>
          <w:rFonts w:ascii="Verdana" w:hAnsi="Verdana" w:eastAsia="Aptos" w:cs="Aptos"/>
          <w:sz w:val="18"/>
          <w:szCs w:val="18"/>
        </w:rPr>
      </w:pPr>
      <w:r w:rsidRPr="00C1576C">
        <w:rPr>
          <w:rFonts w:ascii="Verdana" w:hAnsi="Verdana" w:eastAsia="Verdana" w:cs="Verdana"/>
          <w:sz w:val="18"/>
          <w:szCs w:val="18"/>
          <w:u w:val="single"/>
        </w:rPr>
        <w:t>Conclusies over EU-statistieken 2026</w:t>
      </w:r>
      <w:r>
        <w:rPr>
          <w:rFonts w:ascii="Verdana" w:hAnsi="Verdana" w:eastAsia="Verdana" w:cs="Verdana"/>
          <w:sz w:val="18"/>
          <w:szCs w:val="18"/>
        </w:rPr>
        <w:br/>
      </w:r>
      <w:r w:rsidRPr="00C1576C">
        <w:rPr>
          <w:rFonts w:ascii="Verdana" w:hAnsi="Verdana" w:eastAsia="Aptos" w:cs="Aptos"/>
          <w:sz w:val="18"/>
          <w:szCs w:val="18"/>
          <w14:ligatures w14:val="standardContextual"/>
        </w:rPr>
        <w:t xml:space="preserve">De </w:t>
      </w:r>
      <w:r>
        <w:rPr>
          <w:rFonts w:ascii="Verdana" w:hAnsi="Verdana" w:eastAsia="Aptos" w:cs="Aptos"/>
          <w:sz w:val="18"/>
          <w:szCs w:val="18"/>
          <w14:ligatures w14:val="standardContextual"/>
        </w:rPr>
        <w:t>R</w:t>
      </w:r>
      <w:r w:rsidRPr="00C1576C">
        <w:rPr>
          <w:rFonts w:ascii="Verdana" w:hAnsi="Verdana" w:eastAsia="Aptos" w:cs="Aptos"/>
          <w:sz w:val="18"/>
          <w:szCs w:val="18"/>
          <w14:ligatures w14:val="standardContextual"/>
        </w:rPr>
        <w:t xml:space="preserve">aad bespreekt jaarlijks de ontwikkelingen op het terrein van de statistiek in de </w:t>
      </w:r>
      <w:r>
        <w:rPr>
          <w:rFonts w:ascii="Verdana" w:hAnsi="Verdana" w:eastAsia="Aptos" w:cs="Aptos"/>
          <w:sz w:val="18"/>
          <w:szCs w:val="18"/>
          <w14:ligatures w14:val="standardContextual"/>
        </w:rPr>
        <w:t>EU</w:t>
      </w:r>
      <w:r w:rsidRPr="00C1576C">
        <w:rPr>
          <w:rFonts w:ascii="Verdana" w:hAnsi="Verdana" w:eastAsia="Aptos" w:cs="Aptos"/>
          <w:sz w:val="18"/>
          <w:szCs w:val="18"/>
          <w14:ligatures w14:val="standardContextual"/>
        </w:rPr>
        <w:t xml:space="preserve">. De Raad verwelkomt de vooruitgang in de implementatie van de herziene EU-statistiekverordening en de strategische prioriteiten voor AI-klaarheid binnen het </w:t>
      </w:r>
      <w:r w:rsidR="006F40DB">
        <w:rPr>
          <w:rFonts w:ascii="Verdana" w:hAnsi="Verdana" w:eastAsia="Aptos" w:cs="Aptos"/>
          <w:sz w:val="18"/>
          <w:szCs w:val="18"/>
          <w14:ligatures w14:val="standardContextual"/>
        </w:rPr>
        <w:t>Europees Statistisch Systeem (</w:t>
      </w:r>
      <w:r w:rsidRPr="00C1576C">
        <w:rPr>
          <w:rFonts w:ascii="Verdana" w:hAnsi="Verdana" w:eastAsia="Aptos" w:cs="Aptos"/>
          <w:sz w:val="18"/>
          <w:szCs w:val="18"/>
          <w14:ligatures w14:val="standardContextual"/>
        </w:rPr>
        <w:t>ESS</w:t>
      </w:r>
      <w:r w:rsidR="006F40DB">
        <w:rPr>
          <w:rFonts w:ascii="Verdana" w:hAnsi="Verdana" w:eastAsia="Aptos" w:cs="Aptos"/>
          <w:sz w:val="18"/>
          <w:szCs w:val="18"/>
          <w14:ligatures w14:val="standardContextual"/>
        </w:rPr>
        <w:t>)</w:t>
      </w:r>
      <w:r w:rsidRPr="00C1576C">
        <w:rPr>
          <w:rFonts w:ascii="Verdana" w:hAnsi="Verdana" w:eastAsia="Aptos" w:cs="Aptos"/>
          <w:sz w:val="18"/>
          <w:szCs w:val="18"/>
          <w14:ligatures w14:val="standardContextual"/>
        </w:rPr>
        <w:t xml:space="preserve">. De Raad benadrukt het belang van voldoende middelen voor hoogwaardige statistieken en vereenvoudiging. Vooruitgang in </w:t>
      </w:r>
      <w:r w:rsidR="006F40DB">
        <w:rPr>
          <w:rFonts w:ascii="Verdana" w:hAnsi="Verdana" w:eastAsia="Aptos" w:cs="Aptos"/>
          <w:sz w:val="18"/>
          <w:szCs w:val="18"/>
          <w14:ligatures w14:val="standardContextual"/>
        </w:rPr>
        <w:t>de belangrijkste Europese economische indicatoren (Principal European Economic Indicators (</w:t>
      </w:r>
      <w:r w:rsidRPr="00C1576C">
        <w:rPr>
          <w:rFonts w:ascii="Verdana" w:hAnsi="Verdana" w:eastAsia="Aptos" w:cs="Aptos"/>
          <w:sz w:val="18"/>
          <w:szCs w:val="18"/>
          <w14:ligatures w14:val="standardContextual"/>
        </w:rPr>
        <w:t>PEEIs</w:t>
      </w:r>
      <w:r w:rsidR="006F40DB">
        <w:rPr>
          <w:rFonts w:ascii="Verdana" w:hAnsi="Verdana" w:eastAsia="Aptos" w:cs="Aptos"/>
          <w:sz w:val="18"/>
          <w:szCs w:val="18"/>
          <w14:ligatures w14:val="standardContextual"/>
        </w:rPr>
        <w:t>))</w:t>
      </w:r>
      <w:r w:rsidRPr="00C1576C">
        <w:rPr>
          <w:rFonts w:ascii="Verdana" w:hAnsi="Verdana" w:eastAsia="Aptos" w:cs="Aptos"/>
          <w:sz w:val="18"/>
          <w:szCs w:val="18"/>
          <w14:ligatures w14:val="standardContextual"/>
        </w:rPr>
        <w:t xml:space="preserve">, </w:t>
      </w:r>
      <w:r w:rsidR="006F40DB">
        <w:rPr>
          <w:rFonts w:ascii="Verdana" w:hAnsi="Verdana" w:eastAsia="Aptos" w:cs="Aptos"/>
          <w:sz w:val="18"/>
          <w:szCs w:val="18"/>
          <w14:ligatures w14:val="standardContextual"/>
        </w:rPr>
        <w:t>de geharmoniseerde consumentenprijsindex (Harmonised Index of Consumer Prices, (</w:t>
      </w:r>
      <w:r w:rsidRPr="00C1576C">
        <w:rPr>
          <w:rFonts w:ascii="Verdana" w:hAnsi="Verdana" w:eastAsia="Aptos" w:cs="Aptos"/>
          <w:sz w:val="18"/>
          <w:szCs w:val="18"/>
          <w14:ligatures w14:val="standardContextual"/>
        </w:rPr>
        <w:t>HICP</w:t>
      </w:r>
      <w:r w:rsidR="006F40DB">
        <w:rPr>
          <w:rFonts w:ascii="Verdana" w:hAnsi="Verdana" w:eastAsia="Aptos" w:cs="Aptos"/>
          <w:sz w:val="18"/>
          <w:szCs w:val="18"/>
          <w14:ligatures w14:val="standardContextual"/>
        </w:rPr>
        <w:t>))</w:t>
      </w:r>
      <w:r w:rsidRPr="00C1576C">
        <w:rPr>
          <w:rFonts w:ascii="Verdana" w:hAnsi="Verdana" w:eastAsia="Aptos" w:cs="Aptos"/>
          <w:sz w:val="18"/>
          <w:szCs w:val="18"/>
          <w14:ligatures w14:val="standardContextual"/>
        </w:rPr>
        <w:t>, overheidsfinanciën, defensie, woningmarkt, duurzaamheid en arbeidsmarktstatistieken wordt gewaardeerd. De Raad roept op tot verdere samenwerking om de administratieve lasten te verminderen.</w:t>
      </w:r>
    </w:p>
    <w:p w:rsidRPr="00C1576C" w:rsidR="006F40DB" w:rsidP="007870A5" w:rsidRDefault="006F40DB" w14:paraId="48EB421F" w14:textId="77777777">
      <w:pPr>
        <w:spacing w:after="0" w:line="276" w:lineRule="auto"/>
        <w:rPr>
          <w:rFonts w:ascii="Verdana" w:hAnsi="Verdana" w:eastAsia="Verdana" w:cs="Verdana"/>
          <w:sz w:val="18"/>
          <w:szCs w:val="18"/>
        </w:rPr>
      </w:pPr>
    </w:p>
    <w:p w:rsidRPr="00C17CB8" w:rsidR="222A5DAE" w:rsidP="004B3766" w:rsidRDefault="222A5DAE" w14:paraId="23CFDDFB" w14:textId="556E9575">
      <w:pPr>
        <w:spacing w:after="0" w:line="276" w:lineRule="auto"/>
        <w:rPr>
          <w:rFonts w:ascii="Verdana" w:hAnsi="Verdana" w:eastAsia="Verdana" w:cs="Verdana"/>
          <w:sz w:val="18"/>
          <w:szCs w:val="18"/>
        </w:rPr>
      </w:pPr>
      <w:r w:rsidRPr="00C17CB8">
        <w:rPr>
          <w:rFonts w:ascii="Verdana" w:hAnsi="Verdana"/>
          <w:b/>
          <w:bCs/>
          <w:sz w:val="18"/>
          <w:szCs w:val="18"/>
        </w:rPr>
        <w:t xml:space="preserve">Agendaonderwerp: </w:t>
      </w:r>
      <w:r w:rsidRPr="00B80ABB" w:rsidR="00B80ABB">
        <w:rPr>
          <w:rFonts w:ascii="Verdana" w:hAnsi="Verdana" w:eastAsia="Verdana" w:cs="Verdana"/>
          <w:sz w:val="18"/>
          <w:szCs w:val="18"/>
        </w:rPr>
        <w:t>Follow-up na de G20-bijeenkomst van ministers van Financiën en centralebankpresidenten van 15 oktober 2026</w:t>
      </w:r>
    </w:p>
    <w:p w:rsidRPr="00B80ABB" w:rsidR="222A5DAE" w:rsidP="004B3766" w:rsidRDefault="222A5DAE" w14:paraId="429B80BD" w14:textId="73052A46">
      <w:pPr>
        <w:pStyle w:val="Plattetekst"/>
        <w:spacing w:after="0" w:line="276" w:lineRule="auto"/>
        <w:rPr>
          <w:rFonts w:ascii="Verdana" w:hAnsi="Verdana" w:eastAsiaTheme="minorEastAsia"/>
          <w:sz w:val="18"/>
          <w:szCs w:val="18"/>
          <w:lang w:eastAsia="en-US"/>
        </w:rPr>
      </w:pPr>
      <w:r w:rsidRPr="00C17CB8">
        <w:rPr>
          <w:rFonts w:ascii="Verdana" w:hAnsi="Verdana" w:eastAsia="Verdana" w:cs="Verdana"/>
          <w:b/>
          <w:bCs/>
          <w:sz w:val="18"/>
          <w:szCs w:val="18"/>
        </w:rPr>
        <w:t xml:space="preserve">Document: </w:t>
      </w:r>
      <w:r w:rsidR="00B80ABB">
        <w:rPr>
          <w:rFonts w:ascii="Verdana" w:hAnsi="Verdana" w:eastAsiaTheme="minorEastAsia"/>
          <w:sz w:val="18"/>
          <w:szCs w:val="18"/>
          <w:lang w:eastAsia="en-US"/>
        </w:rPr>
        <w:t>N.v.t.</w:t>
      </w:r>
    </w:p>
    <w:p w:rsidRPr="00C17CB8" w:rsidR="222A5DAE" w:rsidP="004B3766" w:rsidRDefault="222A5DAE" w14:paraId="631E2CE4" w14:textId="1BF5BE84">
      <w:pPr>
        <w:pStyle w:val="Plattetekst"/>
        <w:spacing w:after="0" w:line="276" w:lineRule="auto"/>
        <w:rPr>
          <w:rFonts w:ascii="Verdana" w:hAnsi="Verdana" w:eastAsia="Calibri" w:cs="Arial"/>
          <w:sz w:val="18"/>
          <w:szCs w:val="18"/>
        </w:rPr>
      </w:pPr>
      <w:r w:rsidRPr="00C17CB8">
        <w:rPr>
          <w:rFonts w:ascii="Verdana" w:hAnsi="Verdana" w:eastAsia="Calibri" w:cs="Arial"/>
          <w:b/>
          <w:bCs/>
          <w:sz w:val="18"/>
          <w:szCs w:val="18"/>
        </w:rPr>
        <w:t>Aard bespreking:</w:t>
      </w:r>
      <w:r w:rsidR="00B80ABB">
        <w:rPr>
          <w:rFonts w:ascii="Verdana" w:hAnsi="Verdana" w:eastAsia="Calibri" w:cs="Arial"/>
          <w:b/>
          <w:bCs/>
          <w:sz w:val="18"/>
          <w:szCs w:val="18"/>
        </w:rPr>
        <w:t xml:space="preserve"> </w:t>
      </w:r>
      <w:r w:rsidR="00B80ABB">
        <w:rPr>
          <w:rFonts w:ascii="Verdana" w:hAnsi="Verdana" w:eastAsia="Calibri" w:cs="Arial"/>
          <w:sz w:val="18"/>
          <w:szCs w:val="18"/>
        </w:rPr>
        <w:t>Gedachtewisseling</w:t>
      </w:r>
      <w:r w:rsidRPr="00C17CB8">
        <w:rPr>
          <w:rFonts w:ascii="Verdana" w:hAnsi="Verdana" w:eastAsia="Calibri" w:cs="Arial"/>
          <w:b/>
          <w:bCs/>
          <w:sz w:val="18"/>
          <w:szCs w:val="18"/>
        </w:rPr>
        <w:t xml:space="preserve"> </w:t>
      </w:r>
    </w:p>
    <w:p w:rsidRPr="00B80ABB" w:rsidR="222A5DAE" w:rsidP="004B3766" w:rsidRDefault="222A5DAE" w14:paraId="7B451D20" w14:textId="3FE4A64A">
      <w:pPr>
        <w:pStyle w:val="Plattetekst"/>
        <w:spacing w:after="0" w:line="276" w:lineRule="auto"/>
        <w:rPr>
          <w:rFonts w:ascii="Verdana" w:hAnsi="Verdana" w:eastAsia="Calibri" w:cs="Arial"/>
          <w:sz w:val="18"/>
          <w:szCs w:val="18"/>
        </w:rPr>
      </w:pPr>
      <w:r w:rsidRPr="00C17CB8">
        <w:rPr>
          <w:rFonts w:ascii="Verdana" w:hAnsi="Verdana" w:eastAsia="Calibri" w:cs="Arial"/>
          <w:b/>
          <w:bCs/>
          <w:sz w:val="18"/>
          <w:szCs w:val="18"/>
        </w:rPr>
        <w:t xml:space="preserve">Besluitvormingsprocedure: </w:t>
      </w:r>
      <w:r w:rsidR="00B80ABB">
        <w:rPr>
          <w:rFonts w:ascii="Verdana" w:hAnsi="Verdana" w:eastAsia="Calibri" w:cs="Arial"/>
          <w:sz w:val="18"/>
          <w:szCs w:val="18"/>
        </w:rPr>
        <w:t>N.v.t.</w:t>
      </w:r>
    </w:p>
    <w:p w:rsidR="00B80ABB" w:rsidP="21F23B44" w:rsidRDefault="21F23B44" w14:paraId="54AC295A" w14:textId="72A56115">
      <w:pPr>
        <w:pStyle w:val="Plattetekst"/>
        <w:spacing w:after="0" w:line="276" w:lineRule="auto"/>
        <w:rPr>
          <w:rFonts w:ascii="Verdana" w:hAnsi="Verdana" w:eastAsia="Calibri" w:cs="Arial"/>
          <w:sz w:val="18"/>
          <w:szCs w:val="18"/>
        </w:rPr>
      </w:pPr>
      <w:r w:rsidRPr="21F23B44">
        <w:rPr>
          <w:rFonts w:ascii="Verdana" w:hAnsi="Verdana" w:eastAsia="Calibri" w:cs="Arial"/>
          <w:b/>
          <w:bCs/>
          <w:sz w:val="18"/>
          <w:szCs w:val="18"/>
        </w:rPr>
        <w:t>Toelichting:</w:t>
      </w:r>
      <w:r w:rsidR="222A5DAE">
        <w:br/>
      </w:r>
      <w:r w:rsidRPr="21F23B44">
        <w:rPr>
          <w:rFonts w:ascii="Verdana" w:hAnsi="Verdana" w:eastAsia="Calibri" w:cs="Arial"/>
          <w:sz w:val="18"/>
          <w:szCs w:val="18"/>
        </w:rPr>
        <w:t xml:space="preserve">De Raad zal de uitkomsten bespreken van de G20-bijeenkomst van ministers van Financiën en centralebankpresidenten van 15 oktober 2026 in Bangkok. De G20-bijeenkomst ging hoofdzakelijk over de financiële sector. De </w:t>
      </w:r>
      <w:r w:rsidRPr="21F23B44">
        <w:rPr>
          <w:rFonts w:ascii="Verdana" w:hAnsi="Verdana" w:eastAsia="Calibri" w:cs="Arial"/>
          <w:i/>
          <w:iCs/>
          <w:sz w:val="18"/>
          <w:szCs w:val="18"/>
        </w:rPr>
        <w:t>Financial Stability Board</w:t>
      </w:r>
      <w:r w:rsidRPr="21F23B44">
        <w:rPr>
          <w:rFonts w:ascii="Verdana" w:hAnsi="Verdana" w:eastAsia="Calibri" w:cs="Arial"/>
          <w:sz w:val="18"/>
          <w:szCs w:val="18"/>
        </w:rPr>
        <w:t xml:space="preserve"> benadrukte het belang van financiële stabiliteit bij de opkomst van nieuwe technologieën met bijzondere aandacht voor AI, stablecoins en de modernisering van regelgeving en toezicht. G20-landen verwelkomden de aanbevelingen voor verantwoord AI-gebruik en riepen op tot meer internationale samenwerking, betere risicobeheersing en aandacht voor cyberdreigingen en grensoverschrijdende risico’s. Ook werd het belang onderstreept van effectieve, proportionele en flexibele regelgeving.</w:t>
      </w:r>
    </w:p>
    <w:p w:rsidRPr="00B80ABB" w:rsidR="00B80ABB" w:rsidP="00B80ABB" w:rsidRDefault="00B80ABB" w14:paraId="41A9D409" w14:textId="77777777">
      <w:pPr>
        <w:pStyle w:val="Plattetekst"/>
        <w:spacing w:after="0" w:line="276" w:lineRule="auto"/>
        <w:rPr>
          <w:rFonts w:ascii="Verdana" w:hAnsi="Verdana" w:eastAsia="Calibri" w:cs="Arial"/>
          <w:sz w:val="18"/>
          <w:szCs w:val="18"/>
        </w:rPr>
      </w:pPr>
    </w:p>
    <w:p w:rsidRPr="00B80ABB" w:rsidR="00AC17C3" w:rsidP="00AC17C3" w:rsidRDefault="21F23B44" w14:paraId="2AD7ECDC" w14:textId="7D01EC48">
      <w:pPr>
        <w:pStyle w:val="Plattetekst"/>
        <w:spacing w:after="0" w:line="276" w:lineRule="auto"/>
        <w:rPr>
          <w:rFonts w:ascii="Verdana" w:hAnsi="Verdana" w:eastAsia="Calibri" w:cs="Arial"/>
          <w:sz w:val="18"/>
          <w:szCs w:val="18"/>
        </w:rPr>
      </w:pPr>
      <w:r w:rsidRPr="21F23B44">
        <w:rPr>
          <w:rFonts w:ascii="Verdana" w:hAnsi="Verdana" w:eastAsia="Calibri" w:cs="Arial"/>
          <w:sz w:val="18"/>
          <w:szCs w:val="18"/>
        </w:rPr>
        <w:t xml:space="preserve">Het Verenigd Koninkrijk, de G20-voorzitter in 2027, presenteerde de plannen voor het </w:t>
      </w:r>
      <w:r w:rsidRPr="21F23B44">
        <w:rPr>
          <w:rFonts w:ascii="Verdana" w:hAnsi="Verdana" w:eastAsia="Calibri" w:cs="Arial"/>
          <w:i/>
          <w:iCs/>
          <w:sz w:val="18"/>
          <w:szCs w:val="18"/>
        </w:rPr>
        <w:t>Finance Track</w:t>
      </w:r>
      <w:r w:rsidRPr="21F23B44">
        <w:rPr>
          <w:rFonts w:ascii="Verdana" w:hAnsi="Verdana" w:eastAsia="Calibri" w:cs="Arial"/>
          <w:sz w:val="18"/>
          <w:szCs w:val="18"/>
        </w:rPr>
        <w:t xml:space="preserve"> van de G20.</w:t>
      </w:r>
      <w:r w:rsidR="00AC17C3">
        <w:rPr>
          <w:rFonts w:ascii="Verdana" w:hAnsi="Verdana" w:eastAsia="Calibri" w:cs="Arial"/>
          <w:sz w:val="18"/>
          <w:szCs w:val="18"/>
        </w:rPr>
        <w:t xml:space="preserve"> </w:t>
      </w:r>
      <w:r w:rsidRPr="00305C6C" w:rsidR="00305C6C">
        <w:rPr>
          <w:rFonts w:ascii="Verdana" w:hAnsi="Verdana" w:eastAsia="Calibri" w:cs="Arial"/>
          <w:sz w:val="18"/>
          <w:szCs w:val="18"/>
        </w:rPr>
        <w:t xml:space="preserve">Het VK zal zich richten op AI, het versterken van de veerkracht van economieën tegen globale schokken en het beter laten functioneren van de internationale financiële markten. </w:t>
      </w:r>
    </w:p>
    <w:p w:rsidRPr="00B80ABB" w:rsidR="00B80ABB" w:rsidP="21F23B44" w:rsidRDefault="00B80ABB" w14:paraId="6BBB5442" w14:textId="38A66D3E">
      <w:pPr>
        <w:pStyle w:val="Plattetekst"/>
        <w:spacing w:after="0" w:line="276" w:lineRule="auto"/>
        <w:rPr>
          <w:rFonts w:ascii="Verdana" w:hAnsi="Verdana" w:eastAsia="Calibri" w:cs="Arial"/>
          <w:sz w:val="18"/>
          <w:szCs w:val="18"/>
        </w:rPr>
      </w:pPr>
    </w:p>
    <w:p w:rsidRPr="00C17CB8" w:rsidR="222A5DAE" w:rsidP="004B3766" w:rsidRDefault="222A5DAE" w14:paraId="5FA31659" w14:textId="0C9C5DC4">
      <w:pPr>
        <w:pStyle w:val="Plattetekst"/>
        <w:spacing w:after="0" w:line="276" w:lineRule="auto"/>
        <w:rPr>
          <w:rFonts w:ascii="Verdana" w:hAnsi="Verdana" w:eastAsia="Calibri" w:cs="Arial"/>
          <w:b/>
          <w:bCs/>
          <w:sz w:val="18"/>
          <w:szCs w:val="18"/>
        </w:rPr>
      </w:pPr>
    </w:p>
    <w:sectPr w:rsidRPr="00C17CB8" w:rsidR="222A5DAE" w:rsidSect="001D0F10">
      <w:footerReference w:type="default" r:id="rId7"/>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2387A" w14:textId="77777777" w:rsidR="00A61570" w:rsidRDefault="00A61570" w:rsidP="00800606">
      <w:pPr>
        <w:spacing w:after="0" w:line="240" w:lineRule="auto"/>
      </w:pPr>
      <w:r>
        <w:separator/>
      </w:r>
    </w:p>
  </w:endnote>
  <w:endnote w:type="continuationSeparator" w:id="0">
    <w:p w14:paraId="732C192E" w14:textId="77777777" w:rsidR="00A61570" w:rsidRDefault="00A61570" w:rsidP="00800606">
      <w:pPr>
        <w:spacing w:after="0" w:line="240" w:lineRule="auto"/>
      </w:pPr>
      <w:r>
        <w:continuationSeparator/>
      </w:r>
    </w:p>
  </w:endnote>
  <w:endnote w:type="continuationNotice" w:id="1">
    <w:p w14:paraId="043D270A" w14:textId="77777777" w:rsidR="00A61570" w:rsidRDefault="00A615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138567"/>
      <w:docPartObj>
        <w:docPartGallery w:val="Page Numbers (Bottom of Page)"/>
        <w:docPartUnique/>
      </w:docPartObj>
    </w:sdtPr>
    <w:sdtEndPr/>
    <w:sdtContent>
      <w:p w14:paraId="39EA0293" w14:textId="27789E93" w:rsidR="00A34A96" w:rsidRDefault="00A34A96">
        <w:pPr>
          <w:pStyle w:val="Voettekst"/>
          <w:jc w:val="right"/>
        </w:pPr>
        <w:r>
          <w:fldChar w:fldCharType="begin"/>
        </w:r>
        <w:r>
          <w:instrText>PAGE   \* MERGEFORMAT</w:instrText>
        </w:r>
        <w:r>
          <w:fldChar w:fldCharType="separate"/>
        </w:r>
        <w:r>
          <w:t>2</w:t>
        </w:r>
        <w:r>
          <w:fldChar w:fldCharType="end"/>
        </w:r>
      </w:p>
    </w:sdtContent>
  </w:sdt>
  <w:p w14:paraId="1167A21F" w14:textId="77777777" w:rsidR="00A34A96" w:rsidRDefault="00A34A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6603E" w14:textId="77777777" w:rsidR="00A61570" w:rsidRDefault="00A61570" w:rsidP="00800606">
      <w:pPr>
        <w:spacing w:after="0" w:line="240" w:lineRule="auto"/>
      </w:pPr>
      <w:r>
        <w:separator/>
      </w:r>
    </w:p>
  </w:footnote>
  <w:footnote w:type="continuationSeparator" w:id="0">
    <w:p w14:paraId="0A0FA32F" w14:textId="77777777" w:rsidR="00A61570" w:rsidRDefault="00A61570" w:rsidP="00800606">
      <w:pPr>
        <w:spacing w:after="0" w:line="240" w:lineRule="auto"/>
      </w:pPr>
      <w:r>
        <w:continuationSeparator/>
      </w:r>
    </w:p>
  </w:footnote>
  <w:footnote w:type="continuationNotice" w:id="1">
    <w:p w14:paraId="7147AF8D" w14:textId="77777777" w:rsidR="00A61570" w:rsidRDefault="00A61570">
      <w:pPr>
        <w:spacing w:after="0" w:line="240" w:lineRule="auto"/>
      </w:pPr>
    </w:p>
  </w:footnote>
  <w:footnote w:id="2">
    <w:p w14:paraId="783CAC10" w14:textId="2A0C3167" w:rsidR="00276CE1" w:rsidRPr="00276CE1" w:rsidRDefault="00276CE1" w:rsidP="00276CE1">
      <w:pPr>
        <w:pStyle w:val="Voetnoottekst"/>
        <w:jc w:val="both"/>
        <w:rPr>
          <w:rFonts w:ascii="Verdana" w:hAnsi="Verdana"/>
          <w:sz w:val="14"/>
          <w:szCs w:val="14"/>
        </w:rPr>
      </w:pPr>
      <w:r w:rsidRPr="00276CE1">
        <w:rPr>
          <w:rStyle w:val="Voetnootmarkering"/>
          <w:rFonts w:ascii="Verdana" w:hAnsi="Verdana"/>
          <w:sz w:val="14"/>
          <w:szCs w:val="14"/>
        </w:rPr>
        <w:footnoteRef/>
      </w:r>
      <w:r w:rsidRPr="00276CE1">
        <w:rPr>
          <w:rFonts w:ascii="Verdana" w:hAnsi="Verdana"/>
          <w:sz w:val="14"/>
          <w:szCs w:val="14"/>
        </w:rPr>
        <w:t xml:space="preserve"> DLT (letterlijk vertaald: gedeelde grootboektechnologie) is een manier om eigendom, zoals geld of activa vast te leggen. Het is een database van transacties die niet op één centrale locatie is opgeslagen, maar over een netwerk van vele computers is verspreid.</w:t>
      </w:r>
    </w:p>
  </w:footnote>
  <w:footnote w:id="3">
    <w:p w14:paraId="4158B66E" w14:textId="507357A8" w:rsidR="004B3766" w:rsidRPr="006F40DB" w:rsidRDefault="004B3766">
      <w:pPr>
        <w:pStyle w:val="Voetnoottekst"/>
        <w:rPr>
          <w:rFonts w:ascii="Verdana" w:hAnsi="Verdana"/>
          <w:sz w:val="14"/>
          <w:szCs w:val="14"/>
        </w:rPr>
      </w:pPr>
      <w:r w:rsidRPr="006F40DB">
        <w:rPr>
          <w:rStyle w:val="Voetnootmarkering"/>
          <w:rFonts w:ascii="Verdana" w:hAnsi="Verdana"/>
          <w:sz w:val="14"/>
          <w:szCs w:val="14"/>
        </w:rPr>
        <w:footnoteRef/>
      </w:r>
      <w:r w:rsidRPr="006F40DB">
        <w:rPr>
          <w:rFonts w:ascii="Verdana" w:hAnsi="Verdana"/>
          <w:sz w:val="14"/>
          <w:szCs w:val="14"/>
        </w:rPr>
        <w:t xml:space="preserve"> </w:t>
      </w:r>
      <w:r w:rsidRPr="006F40DB">
        <w:rPr>
          <w:rFonts w:ascii="Verdana" w:eastAsia="Arial" w:hAnsi="Verdana" w:cs="Arial"/>
          <w:sz w:val="14"/>
          <w:szCs w:val="14"/>
        </w:rPr>
        <w:t>Kamerstukken II, 2025/26, 22 112, nr. 4170.</w:t>
      </w:r>
    </w:p>
  </w:footnote>
  <w:footnote w:id="4">
    <w:p w14:paraId="7E9A90A2" w14:textId="77777777" w:rsidR="008B2621" w:rsidRPr="00EE49EE" w:rsidRDefault="008B2621" w:rsidP="008B2621">
      <w:pPr>
        <w:pStyle w:val="Voetnoottekst"/>
        <w:rPr>
          <w:rFonts w:ascii="Verdana" w:hAnsi="Verdana"/>
          <w:sz w:val="14"/>
          <w:szCs w:val="14"/>
        </w:rPr>
      </w:pPr>
      <w:r w:rsidRPr="006F40DB">
        <w:rPr>
          <w:rStyle w:val="Voetnootmarkering"/>
          <w:rFonts w:ascii="Verdana" w:hAnsi="Verdana"/>
          <w:sz w:val="14"/>
          <w:szCs w:val="14"/>
        </w:rPr>
        <w:footnoteRef/>
      </w:r>
      <w:r w:rsidRPr="00EE49EE">
        <w:rPr>
          <w:rFonts w:ascii="Verdana" w:hAnsi="Verdana"/>
          <w:sz w:val="14"/>
          <w:szCs w:val="14"/>
        </w:rPr>
        <w:t xml:space="preserve"> </w:t>
      </w:r>
      <w:hyperlink r:id="rId1" w:history="1">
        <w:r w:rsidRPr="00EE49EE">
          <w:rPr>
            <w:rStyle w:val="Hyperlink"/>
            <w:rFonts w:ascii="Verdana" w:hAnsi="Verdana"/>
            <w:sz w:val="14"/>
            <w:szCs w:val="14"/>
          </w:rPr>
          <w:t>2026 Annual Progress Reports on Simplification, Implementation and Enforcement - European Commission</w:t>
        </w:r>
      </w:hyperlink>
    </w:p>
  </w:footnote>
  <w:footnote w:id="5">
    <w:p w14:paraId="077B11D3" w14:textId="080A5C8D" w:rsidR="000F1873" w:rsidRPr="00EE49EE" w:rsidRDefault="000F1873" w:rsidP="008B2621">
      <w:pPr>
        <w:pStyle w:val="Voetnoottekst"/>
        <w:rPr>
          <w:rFonts w:ascii="Verdana" w:hAnsi="Verdana"/>
          <w:sz w:val="14"/>
          <w:szCs w:val="14"/>
        </w:rPr>
      </w:pPr>
      <w:r w:rsidRPr="006F40DB">
        <w:rPr>
          <w:rStyle w:val="Voetnootmarkering"/>
          <w:rFonts w:ascii="Verdana" w:hAnsi="Verdana"/>
          <w:sz w:val="14"/>
          <w:szCs w:val="14"/>
        </w:rPr>
        <w:footnoteRef/>
      </w:r>
      <w:r w:rsidRPr="00EE49EE">
        <w:rPr>
          <w:rFonts w:ascii="Verdana" w:hAnsi="Verdana"/>
          <w:sz w:val="14"/>
          <w:szCs w:val="14"/>
        </w:rPr>
        <w:t xml:space="preserve"> </w:t>
      </w:r>
      <w:r w:rsidRPr="00EE49EE">
        <w:rPr>
          <w:rFonts w:ascii="Verdana" w:eastAsia="Verdana" w:hAnsi="Verdana" w:cs="Verdana"/>
          <w:sz w:val="14"/>
          <w:szCs w:val="14"/>
        </w:rPr>
        <w:t>Kamerstukken I, vergaderjaar 2025-2026, 21501-07 nr. 2157.</w:t>
      </w:r>
    </w:p>
  </w:footnote>
  <w:footnote w:id="6">
    <w:p w14:paraId="483597E8" w14:textId="3B81CA58" w:rsidR="000F1873" w:rsidRPr="00EE49EE" w:rsidRDefault="000F1873" w:rsidP="008B2621">
      <w:pPr>
        <w:pStyle w:val="Voetnoottekst"/>
        <w:rPr>
          <w:rFonts w:ascii="Verdana" w:hAnsi="Verdana"/>
          <w:sz w:val="14"/>
          <w:szCs w:val="14"/>
        </w:rPr>
      </w:pPr>
      <w:r w:rsidRPr="006F40DB">
        <w:rPr>
          <w:rStyle w:val="Voetnootmarkering"/>
          <w:rFonts w:ascii="Verdana" w:hAnsi="Verdana"/>
          <w:sz w:val="14"/>
          <w:szCs w:val="14"/>
        </w:rPr>
        <w:footnoteRef/>
      </w:r>
      <w:r w:rsidRPr="00EE49EE">
        <w:rPr>
          <w:rFonts w:ascii="Verdana" w:hAnsi="Verdana"/>
          <w:sz w:val="14"/>
          <w:szCs w:val="14"/>
        </w:rPr>
        <w:t xml:space="preserve"> </w:t>
      </w:r>
      <w:r w:rsidRPr="00EE49EE">
        <w:rPr>
          <w:rFonts w:ascii="Verdana" w:eastAsia="Verdana" w:hAnsi="Verdana" w:cs="Verdana"/>
          <w:sz w:val="14"/>
          <w:szCs w:val="14"/>
        </w:rPr>
        <w:t>Kamerstukken II, vergaderjaar 2026-2026, 21501-07 nr. 2189</w:t>
      </w:r>
    </w:p>
  </w:footnote>
  <w:footnote w:id="7">
    <w:p w14:paraId="09AD82DA" w14:textId="5BCEDDB5" w:rsidR="000F1873" w:rsidRPr="00EE49EE" w:rsidRDefault="000F1873" w:rsidP="008B2621">
      <w:pPr>
        <w:spacing w:after="0"/>
        <w:rPr>
          <w:rFonts w:ascii="Verdana" w:hAnsi="Verdana"/>
          <w:sz w:val="14"/>
          <w:szCs w:val="14"/>
        </w:rPr>
      </w:pPr>
      <w:r w:rsidRPr="006F40DB">
        <w:rPr>
          <w:rStyle w:val="Voetnootmarkering"/>
          <w:rFonts w:ascii="Verdana" w:hAnsi="Verdana"/>
          <w:sz w:val="14"/>
          <w:szCs w:val="14"/>
        </w:rPr>
        <w:footnoteRef/>
      </w:r>
      <w:r w:rsidRPr="00EE49EE">
        <w:rPr>
          <w:rFonts w:ascii="Verdana" w:hAnsi="Verdana"/>
          <w:sz w:val="14"/>
          <w:szCs w:val="14"/>
        </w:rPr>
        <w:t xml:space="preserve"> </w:t>
      </w:r>
      <w:hyperlink r:id="rId2">
        <w:r w:rsidRPr="00EE49EE">
          <w:rPr>
            <w:rStyle w:val="Hyperlink"/>
            <w:rFonts w:ascii="Verdana" w:eastAsia="Verdana" w:hAnsi="Verdana" w:cs="Verdana"/>
            <w:sz w:val="14"/>
            <w:szCs w:val="14"/>
          </w:rPr>
          <w:t>General Affairs Council - Consilium</w:t>
        </w:r>
      </w:hyperlink>
    </w:p>
  </w:footnote>
  <w:footnote w:id="8">
    <w:p w14:paraId="329B7487" w14:textId="77777777" w:rsidR="00431DCA" w:rsidRPr="006F40DB" w:rsidRDefault="00431DCA" w:rsidP="008B2621">
      <w:pPr>
        <w:pStyle w:val="Voetnoottekst"/>
        <w:rPr>
          <w:rFonts w:ascii="Verdana" w:hAnsi="Verdana"/>
          <w:sz w:val="14"/>
          <w:szCs w:val="14"/>
        </w:rPr>
      </w:pPr>
      <w:r w:rsidRPr="006F40DB">
        <w:rPr>
          <w:rStyle w:val="Voetnootmarkering"/>
          <w:rFonts w:ascii="Verdana" w:hAnsi="Verdana"/>
          <w:sz w:val="14"/>
          <w:szCs w:val="14"/>
        </w:rPr>
        <w:footnoteRef/>
      </w:r>
      <w:r w:rsidRPr="006F40DB">
        <w:rPr>
          <w:rFonts w:ascii="Verdana" w:hAnsi="Verdana"/>
          <w:sz w:val="14"/>
          <w:szCs w:val="14"/>
        </w:rPr>
        <w:t xml:space="preserve"> Zie de Nazending Geannoteerde agenda Eurogroep en Ecofinraad juni 2025, Kamerstukken II 2024/25, 21 501-07, nr. 2119.</w:t>
      </w:r>
    </w:p>
  </w:footnote>
  <w:footnote w:id="9">
    <w:p w14:paraId="10D21E6F" w14:textId="77777777" w:rsidR="00431DCA" w:rsidRPr="006F40DB" w:rsidRDefault="00431DCA" w:rsidP="00431DCA">
      <w:pPr>
        <w:pStyle w:val="Voetnoottekst"/>
        <w:rPr>
          <w:rFonts w:ascii="Verdana" w:hAnsi="Verdana"/>
          <w:sz w:val="14"/>
          <w:szCs w:val="14"/>
        </w:rPr>
      </w:pPr>
      <w:r w:rsidRPr="006F40DB">
        <w:rPr>
          <w:rStyle w:val="Voetnootmarkering"/>
          <w:rFonts w:ascii="Verdana" w:hAnsi="Verdana"/>
          <w:sz w:val="14"/>
          <w:szCs w:val="14"/>
        </w:rPr>
        <w:footnoteRef/>
      </w:r>
      <w:r w:rsidRPr="006F40DB">
        <w:rPr>
          <w:rFonts w:ascii="Verdana" w:hAnsi="Verdana"/>
          <w:sz w:val="14"/>
          <w:szCs w:val="14"/>
        </w:rPr>
        <w:t xml:space="preserve"> Zie geannoteerde agenda Eurogroep en Ecofinraad juli 2025, Kamerstukken II 2024/25, 21 501-07, nr. 2124.</w:t>
      </w:r>
    </w:p>
  </w:footnote>
  <w:footnote w:id="10">
    <w:p w14:paraId="67E6556C" w14:textId="77777777" w:rsidR="00431DCA" w:rsidRPr="006F40DB" w:rsidRDefault="00431DCA" w:rsidP="00431DCA">
      <w:pPr>
        <w:pStyle w:val="Voetnoottekst"/>
        <w:rPr>
          <w:rFonts w:ascii="Verdana" w:hAnsi="Verdana"/>
          <w:sz w:val="14"/>
          <w:szCs w:val="14"/>
        </w:rPr>
      </w:pPr>
      <w:r w:rsidRPr="006F40DB">
        <w:rPr>
          <w:rStyle w:val="Voetnootmarkering"/>
          <w:rFonts w:ascii="Verdana" w:hAnsi="Verdana"/>
          <w:sz w:val="14"/>
          <w:szCs w:val="14"/>
        </w:rPr>
        <w:footnoteRef/>
      </w:r>
      <w:r w:rsidRPr="006F40DB">
        <w:rPr>
          <w:rFonts w:ascii="Verdana" w:hAnsi="Verdana"/>
          <w:sz w:val="14"/>
          <w:szCs w:val="14"/>
        </w:rPr>
        <w:t xml:space="preserve"> België, Bulgarije, Denemarken, Duitsland, Estland, Finland, Griekenland, Hongarije, Kroatië, Letland, Litouwen, Oostenrijk, Polen, Portugal, Slovenië, Slowakije, Spanje en Tsjechië</w:t>
      </w:r>
    </w:p>
  </w:footnote>
  <w:footnote w:id="11">
    <w:p w14:paraId="0A680CEB" w14:textId="77777777" w:rsidR="00431DCA" w:rsidRPr="006F40DB" w:rsidRDefault="00431DCA" w:rsidP="00431DCA">
      <w:pPr>
        <w:pStyle w:val="Voetnoottekst"/>
        <w:rPr>
          <w:rFonts w:ascii="Verdana" w:hAnsi="Verdana"/>
          <w:sz w:val="14"/>
          <w:szCs w:val="14"/>
        </w:rPr>
      </w:pPr>
      <w:r w:rsidRPr="006F40DB">
        <w:rPr>
          <w:rStyle w:val="Voetnootmarkering"/>
          <w:rFonts w:ascii="Verdana" w:hAnsi="Verdana"/>
          <w:sz w:val="14"/>
          <w:szCs w:val="14"/>
        </w:rPr>
        <w:footnoteRef/>
      </w:r>
      <w:r w:rsidRPr="006F40DB">
        <w:rPr>
          <w:rFonts w:ascii="Verdana" w:hAnsi="Verdana"/>
          <w:sz w:val="14"/>
          <w:szCs w:val="14"/>
        </w:rPr>
        <w:t xml:space="preserve"> Kamerstuk 21501-20 nr. 2207</w:t>
      </w:r>
    </w:p>
  </w:footnote>
  <w:footnote w:id="12">
    <w:p w14:paraId="54C45070" w14:textId="77777777" w:rsidR="00431DCA" w:rsidRPr="006F40DB" w:rsidRDefault="00431DCA" w:rsidP="00431DCA">
      <w:pPr>
        <w:pStyle w:val="Voetnoottekst"/>
        <w:rPr>
          <w:rFonts w:ascii="Verdana" w:hAnsi="Verdana"/>
          <w:sz w:val="14"/>
          <w:szCs w:val="14"/>
        </w:rPr>
      </w:pPr>
      <w:r w:rsidRPr="006F40DB">
        <w:rPr>
          <w:rStyle w:val="Voetnootmarkering"/>
          <w:rFonts w:ascii="Verdana" w:hAnsi="Verdana"/>
          <w:sz w:val="14"/>
          <w:szCs w:val="14"/>
        </w:rPr>
        <w:footnoteRef/>
      </w:r>
      <w:r w:rsidRPr="006F40DB">
        <w:rPr>
          <w:rFonts w:ascii="Verdana" w:hAnsi="Verdana"/>
          <w:sz w:val="14"/>
          <w:szCs w:val="14"/>
        </w:rPr>
        <w:t xml:space="preserve"> Zie de nazending van de geannoteerde agenda van de Eurogroep en Ecofinraad van 11 en 12 juni 2026 (lentepakket), Kamerstukken II 2025/26, 21 501-07, nr. 2197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0243B"/>
    <w:multiLevelType w:val="hybridMultilevel"/>
    <w:tmpl w:val="C082BA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0814AB1"/>
    <w:multiLevelType w:val="hybridMultilevel"/>
    <w:tmpl w:val="CF8A79F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D827B4"/>
    <w:multiLevelType w:val="hybridMultilevel"/>
    <w:tmpl w:val="A2AACFEA"/>
    <w:lvl w:ilvl="0" w:tplc="F51A96FC">
      <w:start w:val="1"/>
      <w:numFmt w:val="bullet"/>
      <w:lvlText w:val=""/>
      <w:lvlJc w:val="left"/>
      <w:pPr>
        <w:ind w:left="720" w:hanging="360"/>
      </w:pPr>
      <w:rPr>
        <w:rFonts w:ascii="Symbol" w:hAnsi="Symbol" w:hint="default"/>
      </w:rPr>
    </w:lvl>
    <w:lvl w:ilvl="1" w:tplc="BBDEA594">
      <w:start w:val="1"/>
      <w:numFmt w:val="bullet"/>
      <w:lvlText w:val="o"/>
      <w:lvlJc w:val="left"/>
      <w:pPr>
        <w:ind w:left="1440" w:hanging="360"/>
      </w:pPr>
      <w:rPr>
        <w:rFonts w:ascii="Courier New" w:hAnsi="Courier New" w:hint="default"/>
      </w:rPr>
    </w:lvl>
    <w:lvl w:ilvl="2" w:tplc="980ED810">
      <w:start w:val="1"/>
      <w:numFmt w:val="bullet"/>
      <w:lvlText w:val=""/>
      <w:lvlJc w:val="left"/>
      <w:pPr>
        <w:ind w:left="2160" w:hanging="360"/>
      </w:pPr>
      <w:rPr>
        <w:rFonts w:ascii="Wingdings" w:hAnsi="Wingdings" w:hint="default"/>
      </w:rPr>
    </w:lvl>
    <w:lvl w:ilvl="3" w:tplc="5F62A50A">
      <w:start w:val="1"/>
      <w:numFmt w:val="bullet"/>
      <w:lvlText w:val=""/>
      <w:lvlJc w:val="left"/>
      <w:pPr>
        <w:ind w:left="2880" w:hanging="360"/>
      </w:pPr>
      <w:rPr>
        <w:rFonts w:ascii="Symbol" w:hAnsi="Symbol" w:hint="default"/>
      </w:rPr>
    </w:lvl>
    <w:lvl w:ilvl="4" w:tplc="24A08ABA">
      <w:start w:val="1"/>
      <w:numFmt w:val="bullet"/>
      <w:lvlText w:val="o"/>
      <w:lvlJc w:val="left"/>
      <w:pPr>
        <w:ind w:left="3600" w:hanging="360"/>
      </w:pPr>
      <w:rPr>
        <w:rFonts w:ascii="Courier New" w:hAnsi="Courier New" w:hint="default"/>
      </w:rPr>
    </w:lvl>
    <w:lvl w:ilvl="5" w:tplc="8192594E">
      <w:start w:val="1"/>
      <w:numFmt w:val="bullet"/>
      <w:lvlText w:val=""/>
      <w:lvlJc w:val="left"/>
      <w:pPr>
        <w:ind w:left="4320" w:hanging="360"/>
      </w:pPr>
      <w:rPr>
        <w:rFonts w:ascii="Wingdings" w:hAnsi="Wingdings" w:hint="default"/>
      </w:rPr>
    </w:lvl>
    <w:lvl w:ilvl="6" w:tplc="63820BE8">
      <w:start w:val="1"/>
      <w:numFmt w:val="bullet"/>
      <w:lvlText w:val=""/>
      <w:lvlJc w:val="left"/>
      <w:pPr>
        <w:ind w:left="5040" w:hanging="360"/>
      </w:pPr>
      <w:rPr>
        <w:rFonts w:ascii="Symbol" w:hAnsi="Symbol" w:hint="default"/>
      </w:rPr>
    </w:lvl>
    <w:lvl w:ilvl="7" w:tplc="3BF47556">
      <w:start w:val="1"/>
      <w:numFmt w:val="bullet"/>
      <w:lvlText w:val="o"/>
      <w:lvlJc w:val="left"/>
      <w:pPr>
        <w:ind w:left="5760" w:hanging="360"/>
      </w:pPr>
      <w:rPr>
        <w:rFonts w:ascii="Courier New" w:hAnsi="Courier New" w:hint="default"/>
      </w:rPr>
    </w:lvl>
    <w:lvl w:ilvl="8" w:tplc="DBA28242">
      <w:start w:val="1"/>
      <w:numFmt w:val="bullet"/>
      <w:lvlText w:val=""/>
      <w:lvlJc w:val="left"/>
      <w:pPr>
        <w:ind w:left="6480" w:hanging="360"/>
      </w:pPr>
      <w:rPr>
        <w:rFonts w:ascii="Wingdings" w:hAnsi="Wingdings" w:hint="default"/>
      </w:rPr>
    </w:lvl>
  </w:abstractNum>
  <w:abstractNum w:abstractNumId="3" w15:restartNumberingAfterBreak="0">
    <w:nsid w:val="1B885E6A"/>
    <w:multiLevelType w:val="hybridMultilevel"/>
    <w:tmpl w:val="8DCEB8C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4004A33"/>
    <w:multiLevelType w:val="hybridMultilevel"/>
    <w:tmpl w:val="D1D21048"/>
    <w:lvl w:ilvl="0" w:tplc="73F4D4FA">
      <w:start w:val="1"/>
      <w:numFmt w:val="bullet"/>
      <w:lvlText w:val=""/>
      <w:lvlJc w:val="left"/>
      <w:pPr>
        <w:ind w:left="360" w:hanging="360"/>
      </w:pPr>
      <w:rPr>
        <w:rFonts w:ascii="Symbol" w:hAnsi="Symbol" w:hint="default"/>
      </w:rPr>
    </w:lvl>
    <w:lvl w:ilvl="1" w:tplc="35461216">
      <w:start w:val="1"/>
      <w:numFmt w:val="bullet"/>
      <w:lvlText w:val=""/>
      <w:lvlJc w:val="left"/>
      <w:pPr>
        <w:ind w:left="1080" w:hanging="360"/>
      </w:pPr>
      <w:rPr>
        <w:rFonts w:ascii="Symbol" w:hAnsi="Symbol" w:hint="default"/>
      </w:rPr>
    </w:lvl>
    <w:lvl w:ilvl="2" w:tplc="27D0C05E">
      <w:start w:val="1"/>
      <w:numFmt w:val="bullet"/>
      <w:lvlText w:val=""/>
      <w:lvlJc w:val="left"/>
      <w:pPr>
        <w:ind w:left="1800" w:hanging="360"/>
      </w:pPr>
      <w:rPr>
        <w:rFonts w:ascii="Wingdings" w:hAnsi="Wingdings" w:hint="default"/>
      </w:rPr>
    </w:lvl>
    <w:lvl w:ilvl="3" w:tplc="4EDEEBC4">
      <w:start w:val="1"/>
      <w:numFmt w:val="bullet"/>
      <w:lvlText w:val=""/>
      <w:lvlJc w:val="left"/>
      <w:pPr>
        <w:ind w:left="2520" w:hanging="360"/>
      </w:pPr>
      <w:rPr>
        <w:rFonts w:ascii="Symbol" w:hAnsi="Symbol" w:hint="default"/>
      </w:rPr>
    </w:lvl>
    <w:lvl w:ilvl="4" w:tplc="63008D72">
      <w:start w:val="1"/>
      <w:numFmt w:val="bullet"/>
      <w:lvlText w:val="o"/>
      <w:lvlJc w:val="left"/>
      <w:pPr>
        <w:ind w:left="3240" w:hanging="360"/>
      </w:pPr>
      <w:rPr>
        <w:rFonts w:ascii="Courier New" w:hAnsi="Courier New" w:hint="default"/>
      </w:rPr>
    </w:lvl>
    <w:lvl w:ilvl="5" w:tplc="B01A5136">
      <w:start w:val="1"/>
      <w:numFmt w:val="bullet"/>
      <w:lvlText w:val=""/>
      <w:lvlJc w:val="left"/>
      <w:pPr>
        <w:ind w:left="3960" w:hanging="360"/>
      </w:pPr>
      <w:rPr>
        <w:rFonts w:ascii="Wingdings" w:hAnsi="Wingdings" w:hint="default"/>
      </w:rPr>
    </w:lvl>
    <w:lvl w:ilvl="6" w:tplc="E8304082">
      <w:start w:val="1"/>
      <w:numFmt w:val="bullet"/>
      <w:lvlText w:val=""/>
      <w:lvlJc w:val="left"/>
      <w:pPr>
        <w:ind w:left="4680" w:hanging="360"/>
      </w:pPr>
      <w:rPr>
        <w:rFonts w:ascii="Symbol" w:hAnsi="Symbol" w:hint="default"/>
      </w:rPr>
    </w:lvl>
    <w:lvl w:ilvl="7" w:tplc="25CC684A">
      <w:start w:val="1"/>
      <w:numFmt w:val="bullet"/>
      <w:lvlText w:val="o"/>
      <w:lvlJc w:val="left"/>
      <w:pPr>
        <w:ind w:left="5400" w:hanging="360"/>
      </w:pPr>
      <w:rPr>
        <w:rFonts w:ascii="Courier New" w:hAnsi="Courier New" w:hint="default"/>
      </w:rPr>
    </w:lvl>
    <w:lvl w:ilvl="8" w:tplc="632C08B0">
      <w:start w:val="1"/>
      <w:numFmt w:val="bullet"/>
      <w:lvlText w:val=""/>
      <w:lvlJc w:val="left"/>
      <w:pPr>
        <w:ind w:left="6120" w:hanging="360"/>
      </w:pPr>
      <w:rPr>
        <w:rFonts w:ascii="Wingdings" w:hAnsi="Wingdings" w:hint="default"/>
      </w:rPr>
    </w:lvl>
  </w:abstractNum>
  <w:abstractNum w:abstractNumId="5" w15:restartNumberingAfterBreak="0">
    <w:nsid w:val="333E0578"/>
    <w:multiLevelType w:val="hybridMultilevel"/>
    <w:tmpl w:val="11648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544D24"/>
    <w:multiLevelType w:val="hybridMultilevel"/>
    <w:tmpl w:val="569AE23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B90FFB"/>
    <w:multiLevelType w:val="hybridMultilevel"/>
    <w:tmpl w:val="7474E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09F02AE"/>
    <w:multiLevelType w:val="hybridMultilevel"/>
    <w:tmpl w:val="DC2C33A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6016483"/>
    <w:multiLevelType w:val="hybridMultilevel"/>
    <w:tmpl w:val="871E1B60"/>
    <w:lvl w:ilvl="0" w:tplc="9E50FAEA">
      <w:start w:val="1"/>
      <w:numFmt w:val="bullet"/>
      <w:lvlText w:val=""/>
      <w:lvlJc w:val="left"/>
      <w:pPr>
        <w:ind w:left="720" w:hanging="360"/>
      </w:pPr>
      <w:rPr>
        <w:rFonts w:ascii="Symbol" w:hAnsi="Symbol" w:hint="default"/>
      </w:rPr>
    </w:lvl>
    <w:lvl w:ilvl="1" w:tplc="81EE2ED4">
      <w:start w:val="1"/>
      <w:numFmt w:val="bullet"/>
      <w:lvlText w:val="o"/>
      <w:lvlJc w:val="left"/>
      <w:pPr>
        <w:ind w:left="1440" w:hanging="360"/>
      </w:pPr>
      <w:rPr>
        <w:rFonts w:ascii="Courier New" w:hAnsi="Courier New" w:hint="default"/>
      </w:rPr>
    </w:lvl>
    <w:lvl w:ilvl="2" w:tplc="CEBA35D4">
      <w:start w:val="1"/>
      <w:numFmt w:val="bullet"/>
      <w:lvlText w:val=""/>
      <w:lvlJc w:val="left"/>
      <w:pPr>
        <w:ind w:left="2160" w:hanging="360"/>
      </w:pPr>
      <w:rPr>
        <w:rFonts w:ascii="Wingdings" w:hAnsi="Wingdings" w:hint="default"/>
      </w:rPr>
    </w:lvl>
    <w:lvl w:ilvl="3" w:tplc="661CB164">
      <w:start w:val="1"/>
      <w:numFmt w:val="bullet"/>
      <w:lvlText w:val=""/>
      <w:lvlJc w:val="left"/>
      <w:pPr>
        <w:ind w:left="2880" w:hanging="360"/>
      </w:pPr>
      <w:rPr>
        <w:rFonts w:ascii="Symbol" w:hAnsi="Symbol" w:hint="default"/>
      </w:rPr>
    </w:lvl>
    <w:lvl w:ilvl="4" w:tplc="C70238EE">
      <w:start w:val="1"/>
      <w:numFmt w:val="bullet"/>
      <w:lvlText w:val="o"/>
      <w:lvlJc w:val="left"/>
      <w:pPr>
        <w:ind w:left="3600" w:hanging="360"/>
      </w:pPr>
      <w:rPr>
        <w:rFonts w:ascii="Courier New" w:hAnsi="Courier New" w:hint="default"/>
      </w:rPr>
    </w:lvl>
    <w:lvl w:ilvl="5" w:tplc="4C76E080">
      <w:start w:val="1"/>
      <w:numFmt w:val="bullet"/>
      <w:lvlText w:val=""/>
      <w:lvlJc w:val="left"/>
      <w:pPr>
        <w:ind w:left="4320" w:hanging="360"/>
      </w:pPr>
      <w:rPr>
        <w:rFonts w:ascii="Wingdings" w:hAnsi="Wingdings" w:hint="default"/>
      </w:rPr>
    </w:lvl>
    <w:lvl w:ilvl="6" w:tplc="493851FC">
      <w:start w:val="1"/>
      <w:numFmt w:val="bullet"/>
      <w:lvlText w:val=""/>
      <w:lvlJc w:val="left"/>
      <w:pPr>
        <w:ind w:left="5040" w:hanging="360"/>
      </w:pPr>
      <w:rPr>
        <w:rFonts w:ascii="Symbol" w:hAnsi="Symbol" w:hint="default"/>
      </w:rPr>
    </w:lvl>
    <w:lvl w:ilvl="7" w:tplc="A6660402">
      <w:start w:val="1"/>
      <w:numFmt w:val="bullet"/>
      <w:lvlText w:val="o"/>
      <w:lvlJc w:val="left"/>
      <w:pPr>
        <w:ind w:left="5760" w:hanging="360"/>
      </w:pPr>
      <w:rPr>
        <w:rFonts w:ascii="Courier New" w:hAnsi="Courier New" w:hint="default"/>
      </w:rPr>
    </w:lvl>
    <w:lvl w:ilvl="8" w:tplc="3A80A6BA">
      <w:start w:val="1"/>
      <w:numFmt w:val="bullet"/>
      <w:lvlText w:val=""/>
      <w:lvlJc w:val="left"/>
      <w:pPr>
        <w:ind w:left="6480" w:hanging="360"/>
      </w:pPr>
      <w:rPr>
        <w:rFonts w:ascii="Wingdings" w:hAnsi="Wingdings" w:hint="default"/>
      </w:rPr>
    </w:lvl>
  </w:abstractNum>
  <w:abstractNum w:abstractNumId="10" w15:restartNumberingAfterBreak="0">
    <w:nsid w:val="7A6E1000"/>
    <w:multiLevelType w:val="hybridMultilevel"/>
    <w:tmpl w:val="7AE05498"/>
    <w:lvl w:ilvl="0" w:tplc="0902D496">
      <w:numFmt w:val="bullet"/>
      <w:lvlText w:val="•"/>
      <w:lvlJc w:val="left"/>
      <w:pPr>
        <w:ind w:left="720" w:hanging="360"/>
      </w:pPr>
      <w:rPr>
        <w:rFonts w:ascii="Verdana" w:eastAsia="Verdana" w:hAnsi="Verdana" w:cs="Verdana" w:hint="default"/>
      </w:rPr>
    </w:lvl>
    <w:lvl w:ilvl="1" w:tplc="D238490C">
      <w:numFmt w:val="bullet"/>
      <w:lvlText w:val=""/>
      <w:lvlJc w:val="left"/>
      <w:pPr>
        <w:ind w:left="1440" w:hanging="360"/>
      </w:pPr>
      <w:rPr>
        <w:rFonts w:ascii="Symbol" w:eastAsia="Verdana" w:hAnsi="Symbol" w:cs="Verdana"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39364209">
    <w:abstractNumId w:val="9"/>
  </w:num>
  <w:num w:numId="2" w16cid:durableId="746927878">
    <w:abstractNumId w:val="0"/>
  </w:num>
  <w:num w:numId="3" w16cid:durableId="1828595638">
    <w:abstractNumId w:val="5"/>
  </w:num>
  <w:num w:numId="4" w16cid:durableId="1234313726">
    <w:abstractNumId w:val="7"/>
  </w:num>
  <w:num w:numId="5" w16cid:durableId="1653438606">
    <w:abstractNumId w:val="4"/>
  </w:num>
  <w:num w:numId="6" w16cid:durableId="475221442">
    <w:abstractNumId w:val="8"/>
  </w:num>
  <w:num w:numId="7" w16cid:durableId="1480532276">
    <w:abstractNumId w:val="1"/>
  </w:num>
  <w:num w:numId="8" w16cid:durableId="1504663115">
    <w:abstractNumId w:val="6"/>
  </w:num>
  <w:num w:numId="9" w16cid:durableId="2146123240">
    <w:abstractNumId w:val="2"/>
  </w:num>
  <w:num w:numId="10" w16cid:durableId="1915431228">
    <w:abstractNumId w:val="3"/>
  </w:num>
  <w:num w:numId="11" w16cid:durableId="4340636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5A0D70"/>
    <w:rsid w:val="00000B75"/>
    <w:rsid w:val="000021A3"/>
    <w:rsid w:val="0000414D"/>
    <w:rsid w:val="00004486"/>
    <w:rsid w:val="00004AE8"/>
    <w:rsid w:val="000053BB"/>
    <w:rsid w:val="00005849"/>
    <w:rsid w:val="00005B80"/>
    <w:rsid w:val="00007E60"/>
    <w:rsid w:val="0001315A"/>
    <w:rsid w:val="000201E8"/>
    <w:rsid w:val="00021097"/>
    <w:rsid w:val="00022320"/>
    <w:rsid w:val="00022956"/>
    <w:rsid w:val="00035158"/>
    <w:rsid w:val="00036EE1"/>
    <w:rsid w:val="00041A3F"/>
    <w:rsid w:val="00042A7D"/>
    <w:rsid w:val="00047F0A"/>
    <w:rsid w:val="00050765"/>
    <w:rsid w:val="00051C0D"/>
    <w:rsid w:val="000555E0"/>
    <w:rsid w:val="00062595"/>
    <w:rsid w:val="000645F5"/>
    <w:rsid w:val="000677FF"/>
    <w:rsid w:val="00071574"/>
    <w:rsid w:val="0007260E"/>
    <w:rsid w:val="000731FC"/>
    <w:rsid w:val="00074533"/>
    <w:rsid w:val="00074782"/>
    <w:rsid w:val="0008035E"/>
    <w:rsid w:val="0008350F"/>
    <w:rsid w:val="00084918"/>
    <w:rsid w:val="00086AD7"/>
    <w:rsid w:val="00090B78"/>
    <w:rsid w:val="00092AC7"/>
    <w:rsid w:val="000959CD"/>
    <w:rsid w:val="00097C85"/>
    <w:rsid w:val="000A0056"/>
    <w:rsid w:val="000A3818"/>
    <w:rsid w:val="000A3E2F"/>
    <w:rsid w:val="000A4CDB"/>
    <w:rsid w:val="000B174A"/>
    <w:rsid w:val="000B24D4"/>
    <w:rsid w:val="000B2DAA"/>
    <w:rsid w:val="000B3E30"/>
    <w:rsid w:val="000B7B15"/>
    <w:rsid w:val="000C1452"/>
    <w:rsid w:val="000C5571"/>
    <w:rsid w:val="000C617F"/>
    <w:rsid w:val="000C6304"/>
    <w:rsid w:val="000C6C10"/>
    <w:rsid w:val="000C7A5B"/>
    <w:rsid w:val="000D2A04"/>
    <w:rsid w:val="000D3526"/>
    <w:rsid w:val="000D359E"/>
    <w:rsid w:val="000D656F"/>
    <w:rsid w:val="000E2F75"/>
    <w:rsid w:val="000F1873"/>
    <w:rsid w:val="000F4477"/>
    <w:rsid w:val="000F77B7"/>
    <w:rsid w:val="00102264"/>
    <w:rsid w:val="00103031"/>
    <w:rsid w:val="001031E7"/>
    <w:rsid w:val="00103A25"/>
    <w:rsid w:val="0010447F"/>
    <w:rsid w:val="00104927"/>
    <w:rsid w:val="00104B75"/>
    <w:rsid w:val="00105123"/>
    <w:rsid w:val="00106119"/>
    <w:rsid w:val="0010763E"/>
    <w:rsid w:val="00110485"/>
    <w:rsid w:val="00111107"/>
    <w:rsid w:val="001124D9"/>
    <w:rsid w:val="001153A7"/>
    <w:rsid w:val="00116A50"/>
    <w:rsid w:val="00120061"/>
    <w:rsid w:val="00121C2A"/>
    <w:rsid w:val="00122176"/>
    <w:rsid w:val="00125236"/>
    <w:rsid w:val="0013433C"/>
    <w:rsid w:val="001411DD"/>
    <w:rsid w:val="001424B3"/>
    <w:rsid w:val="001454D5"/>
    <w:rsid w:val="001469C5"/>
    <w:rsid w:val="00147202"/>
    <w:rsid w:val="00150081"/>
    <w:rsid w:val="001500E3"/>
    <w:rsid w:val="00151E94"/>
    <w:rsid w:val="00154B15"/>
    <w:rsid w:val="0015678D"/>
    <w:rsid w:val="001567C7"/>
    <w:rsid w:val="001570AC"/>
    <w:rsid w:val="00163E6A"/>
    <w:rsid w:val="00164384"/>
    <w:rsid w:val="001645ED"/>
    <w:rsid w:val="00164A80"/>
    <w:rsid w:val="00164C80"/>
    <w:rsid w:val="00173387"/>
    <w:rsid w:val="00173D00"/>
    <w:rsid w:val="00175D66"/>
    <w:rsid w:val="00177240"/>
    <w:rsid w:val="00177453"/>
    <w:rsid w:val="001775B3"/>
    <w:rsid w:val="0018184F"/>
    <w:rsid w:val="0018666F"/>
    <w:rsid w:val="00191E26"/>
    <w:rsid w:val="00193264"/>
    <w:rsid w:val="00194B3C"/>
    <w:rsid w:val="001A0CDC"/>
    <w:rsid w:val="001A109E"/>
    <w:rsid w:val="001A403C"/>
    <w:rsid w:val="001B1D8C"/>
    <w:rsid w:val="001B2509"/>
    <w:rsid w:val="001B4B30"/>
    <w:rsid w:val="001C35ED"/>
    <w:rsid w:val="001C4143"/>
    <w:rsid w:val="001C539A"/>
    <w:rsid w:val="001C7E55"/>
    <w:rsid w:val="001D0F10"/>
    <w:rsid w:val="001D1E35"/>
    <w:rsid w:val="001D28C9"/>
    <w:rsid w:val="001E2AD8"/>
    <w:rsid w:val="001E4251"/>
    <w:rsid w:val="001E4745"/>
    <w:rsid w:val="001F0C3A"/>
    <w:rsid w:val="001F639B"/>
    <w:rsid w:val="00201299"/>
    <w:rsid w:val="0020228C"/>
    <w:rsid w:val="00205029"/>
    <w:rsid w:val="002078B2"/>
    <w:rsid w:val="00221A72"/>
    <w:rsid w:val="00221EA1"/>
    <w:rsid w:val="00222BF0"/>
    <w:rsid w:val="00223092"/>
    <w:rsid w:val="002242A3"/>
    <w:rsid w:val="002259EA"/>
    <w:rsid w:val="00231A8F"/>
    <w:rsid w:val="002322DD"/>
    <w:rsid w:val="0023256C"/>
    <w:rsid w:val="0023621D"/>
    <w:rsid w:val="00245C6D"/>
    <w:rsid w:val="00252BD0"/>
    <w:rsid w:val="00254B3A"/>
    <w:rsid w:val="002565AE"/>
    <w:rsid w:val="00257FE4"/>
    <w:rsid w:val="0026249D"/>
    <w:rsid w:val="00263EDF"/>
    <w:rsid w:val="00266853"/>
    <w:rsid w:val="00270D4B"/>
    <w:rsid w:val="00271938"/>
    <w:rsid w:val="00271969"/>
    <w:rsid w:val="00274672"/>
    <w:rsid w:val="00276CE1"/>
    <w:rsid w:val="00282695"/>
    <w:rsid w:val="00294348"/>
    <w:rsid w:val="00297285"/>
    <w:rsid w:val="002A0D3E"/>
    <w:rsid w:val="002A515B"/>
    <w:rsid w:val="002A7DCA"/>
    <w:rsid w:val="002B204C"/>
    <w:rsid w:val="002B233A"/>
    <w:rsid w:val="002B2E1C"/>
    <w:rsid w:val="002B3F7D"/>
    <w:rsid w:val="002C1746"/>
    <w:rsid w:val="002C2395"/>
    <w:rsid w:val="002C31C3"/>
    <w:rsid w:val="002D48B6"/>
    <w:rsid w:val="002D5072"/>
    <w:rsid w:val="002E24A3"/>
    <w:rsid w:val="002E2509"/>
    <w:rsid w:val="002E3018"/>
    <w:rsid w:val="002E358A"/>
    <w:rsid w:val="002E6B9E"/>
    <w:rsid w:val="002F04D3"/>
    <w:rsid w:val="002F26E4"/>
    <w:rsid w:val="002F275D"/>
    <w:rsid w:val="002F33E4"/>
    <w:rsid w:val="002F58D1"/>
    <w:rsid w:val="002F7AE4"/>
    <w:rsid w:val="00301447"/>
    <w:rsid w:val="00305C6C"/>
    <w:rsid w:val="003061DB"/>
    <w:rsid w:val="00306618"/>
    <w:rsid w:val="00312913"/>
    <w:rsid w:val="00314EC9"/>
    <w:rsid w:val="003209A1"/>
    <w:rsid w:val="00321B80"/>
    <w:rsid w:val="00321C5F"/>
    <w:rsid w:val="00321FD1"/>
    <w:rsid w:val="00325D87"/>
    <w:rsid w:val="003271B1"/>
    <w:rsid w:val="00327405"/>
    <w:rsid w:val="0033126B"/>
    <w:rsid w:val="00332D6E"/>
    <w:rsid w:val="0033304E"/>
    <w:rsid w:val="00335491"/>
    <w:rsid w:val="00336B79"/>
    <w:rsid w:val="003378A9"/>
    <w:rsid w:val="00337A5F"/>
    <w:rsid w:val="00337EFB"/>
    <w:rsid w:val="003408C0"/>
    <w:rsid w:val="00341058"/>
    <w:rsid w:val="00343023"/>
    <w:rsid w:val="00347EE1"/>
    <w:rsid w:val="00352308"/>
    <w:rsid w:val="00354722"/>
    <w:rsid w:val="00360E89"/>
    <w:rsid w:val="00361170"/>
    <w:rsid w:val="00361EFF"/>
    <w:rsid w:val="00363A7A"/>
    <w:rsid w:val="0036434B"/>
    <w:rsid w:val="00367E6D"/>
    <w:rsid w:val="003700AF"/>
    <w:rsid w:val="0037195C"/>
    <w:rsid w:val="00372670"/>
    <w:rsid w:val="0037278D"/>
    <w:rsid w:val="00375DC6"/>
    <w:rsid w:val="00375FAC"/>
    <w:rsid w:val="00381C5F"/>
    <w:rsid w:val="003826EB"/>
    <w:rsid w:val="0038662F"/>
    <w:rsid w:val="00390F09"/>
    <w:rsid w:val="00391C17"/>
    <w:rsid w:val="00391CD5"/>
    <w:rsid w:val="003920D5"/>
    <w:rsid w:val="00392802"/>
    <w:rsid w:val="0039572E"/>
    <w:rsid w:val="003971B9"/>
    <w:rsid w:val="003A2311"/>
    <w:rsid w:val="003A260A"/>
    <w:rsid w:val="003A34C4"/>
    <w:rsid w:val="003A7FD9"/>
    <w:rsid w:val="003B7436"/>
    <w:rsid w:val="003E1E3E"/>
    <w:rsid w:val="003E48B2"/>
    <w:rsid w:val="003E5F60"/>
    <w:rsid w:val="003E6A12"/>
    <w:rsid w:val="003F180A"/>
    <w:rsid w:val="003F46E4"/>
    <w:rsid w:val="003F604D"/>
    <w:rsid w:val="00401089"/>
    <w:rsid w:val="00402BBE"/>
    <w:rsid w:val="00407F30"/>
    <w:rsid w:val="00413834"/>
    <w:rsid w:val="004153DA"/>
    <w:rsid w:val="00422CAD"/>
    <w:rsid w:val="0042305D"/>
    <w:rsid w:val="004232C3"/>
    <w:rsid w:val="004238C6"/>
    <w:rsid w:val="00425449"/>
    <w:rsid w:val="00431DCA"/>
    <w:rsid w:val="00433EBF"/>
    <w:rsid w:val="00435723"/>
    <w:rsid w:val="00435724"/>
    <w:rsid w:val="00437B06"/>
    <w:rsid w:val="0044050F"/>
    <w:rsid w:val="004461B2"/>
    <w:rsid w:val="0044763E"/>
    <w:rsid w:val="00447B24"/>
    <w:rsid w:val="00447EF5"/>
    <w:rsid w:val="004535D7"/>
    <w:rsid w:val="00455BF1"/>
    <w:rsid w:val="004561F3"/>
    <w:rsid w:val="004627A6"/>
    <w:rsid w:val="00467749"/>
    <w:rsid w:val="00470D98"/>
    <w:rsid w:val="004723A3"/>
    <w:rsid w:val="00475BA8"/>
    <w:rsid w:val="00475F39"/>
    <w:rsid w:val="00476415"/>
    <w:rsid w:val="00485667"/>
    <w:rsid w:val="00486EFF"/>
    <w:rsid w:val="00487226"/>
    <w:rsid w:val="00487B27"/>
    <w:rsid w:val="00492AAA"/>
    <w:rsid w:val="00494AFA"/>
    <w:rsid w:val="004958BD"/>
    <w:rsid w:val="0049602A"/>
    <w:rsid w:val="004A130A"/>
    <w:rsid w:val="004A36BB"/>
    <w:rsid w:val="004A622C"/>
    <w:rsid w:val="004B3766"/>
    <w:rsid w:val="004B54E6"/>
    <w:rsid w:val="004B63BC"/>
    <w:rsid w:val="004B6505"/>
    <w:rsid w:val="004C098F"/>
    <w:rsid w:val="004C1735"/>
    <w:rsid w:val="004C44A2"/>
    <w:rsid w:val="004C620A"/>
    <w:rsid w:val="004C781D"/>
    <w:rsid w:val="004D22AE"/>
    <w:rsid w:val="004D36FE"/>
    <w:rsid w:val="004D6A6A"/>
    <w:rsid w:val="004E4C27"/>
    <w:rsid w:val="004F15FF"/>
    <w:rsid w:val="004F1EDD"/>
    <w:rsid w:val="004F563A"/>
    <w:rsid w:val="004F7EF9"/>
    <w:rsid w:val="0050380B"/>
    <w:rsid w:val="00505026"/>
    <w:rsid w:val="00512190"/>
    <w:rsid w:val="00521362"/>
    <w:rsid w:val="0052201D"/>
    <w:rsid w:val="00522414"/>
    <w:rsid w:val="0054059D"/>
    <w:rsid w:val="00540BF1"/>
    <w:rsid w:val="00542504"/>
    <w:rsid w:val="005449A3"/>
    <w:rsid w:val="00546D2F"/>
    <w:rsid w:val="0054792B"/>
    <w:rsid w:val="005522F2"/>
    <w:rsid w:val="00552A6E"/>
    <w:rsid w:val="00563E37"/>
    <w:rsid w:val="00564172"/>
    <w:rsid w:val="0057167B"/>
    <w:rsid w:val="00571BDB"/>
    <w:rsid w:val="00572EF4"/>
    <w:rsid w:val="005765D7"/>
    <w:rsid w:val="005775E4"/>
    <w:rsid w:val="0058037A"/>
    <w:rsid w:val="005823CB"/>
    <w:rsid w:val="005861A4"/>
    <w:rsid w:val="00586BC7"/>
    <w:rsid w:val="00586FA4"/>
    <w:rsid w:val="0058770C"/>
    <w:rsid w:val="00587ACA"/>
    <w:rsid w:val="0059133E"/>
    <w:rsid w:val="00591829"/>
    <w:rsid w:val="00591AA8"/>
    <w:rsid w:val="0059325F"/>
    <w:rsid w:val="0059358D"/>
    <w:rsid w:val="00595D88"/>
    <w:rsid w:val="00595E03"/>
    <w:rsid w:val="00595F14"/>
    <w:rsid w:val="00597C29"/>
    <w:rsid w:val="005A0F23"/>
    <w:rsid w:val="005A11BD"/>
    <w:rsid w:val="005A1A99"/>
    <w:rsid w:val="005A2F0A"/>
    <w:rsid w:val="005A3F83"/>
    <w:rsid w:val="005A6526"/>
    <w:rsid w:val="005B008F"/>
    <w:rsid w:val="005B0270"/>
    <w:rsid w:val="005B3B4D"/>
    <w:rsid w:val="005B53CC"/>
    <w:rsid w:val="005B6021"/>
    <w:rsid w:val="005B6866"/>
    <w:rsid w:val="005B74D6"/>
    <w:rsid w:val="005C1AFC"/>
    <w:rsid w:val="005C68D8"/>
    <w:rsid w:val="005C7880"/>
    <w:rsid w:val="005C79A6"/>
    <w:rsid w:val="005D37F1"/>
    <w:rsid w:val="005D7464"/>
    <w:rsid w:val="005E03C6"/>
    <w:rsid w:val="005E3307"/>
    <w:rsid w:val="005E5719"/>
    <w:rsid w:val="005F008B"/>
    <w:rsid w:val="005F1651"/>
    <w:rsid w:val="005F51F6"/>
    <w:rsid w:val="005FCF12"/>
    <w:rsid w:val="006057AB"/>
    <w:rsid w:val="00611581"/>
    <w:rsid w:val="00612668"/>
    <w:rsid w:val="00613A9E"/>
    <w:rsid w:val="00614310"/>
    <w:rsid w:val="00621788"/>
    <w:rsid w:val="00623302"/>
    <w:rsid w:val="00623478"/>
    <w:rsid w:val="00635BC5"/>
    <w:rsid w:val="00637BA4"/>
    <w:rsid w:val="00644068"/>
    <w:rsid w:val="006451D3"/>
    <w:rsid w:val="00651371"/>
    <w:rsid w:val="00653F26"/>
    <w:rsid w:val="00654C00"/>
    <w:rsid w:val="00655886"/>
    <w:rsid w:val="00655DDB"/>
    <w:rsid w:val="00656A54"/>
    <w:rsid w:val="00662B08"/>
    <w:rsid w:val="006665E4"/>
    <w:rsid w:val="006672C9"/>
    <w:rsid w:val="006718E3"/>
    <w:rsid w:val="00671E03"/>
    <w:rsid w:val="006812AB"/>
    <w:rsid w:val="006838B9"/>
    <w:rsid w:val="0068394B"/>
    <w:rsid w:val="00687631"/>
    <w:rsid w:val="00687DF5"/>
    <w:rsid w:val="00690048"/>
    <w:rsid w:val="00690382"/>
    <w:rsid w:val="00691ECD"/>
    <w:rsid w:val="006933B8"/>
    <w:rsid w:val="00697EB4"/>
    <w:rsid w:val="006A0051"/>
    <w:rsid w:val="006A1A0E"/>
    <w:rsid w:val="006A315B"/>
    <w:rsid w:val="006A3AE1"/>
    <w:rsid w:val="006A755F"/>
    <w:rsid w:val="006A7674"/>
    <w:rsid w:val="006B658A"/>
    <w:rsid w:val="006C0F70"/>
    <w:rsid w:val="006C4297"/>
    <w:rsid w:val="006D01D6"/>
    <w:rsid w:val="006D1852"/>
    <w:rsid w:val="006D2793"/>
    <w:rsid w:val="006D3AB5"/>
    <w:rsid w:val="006D6A20"/>
    <w:rsid w:val="006E74E8"/>
    <w:rsid w:val="006E7D31"/>
    <w:rsid w:val="006F21F3"/>
    <w:rsid w:val="006F40DB"/>
    <w:rsid w:val="00700680"/>
    <w:rsid w:val="00702E18"/>
    <w:rsid w:val="007030EB"/>
    <w:rsid w:val="00703B1A"/>
    <w:rsid w:val="00703F06"/>
    <w:rsid w:val="00704EF5"/>
    <w:rsid w:val="00705C9C"/>
    <w:rsid w:val="00705F3E"/>
    <w:rsid w:val="007062E5"/>
    <w:rsid w:val="00706442"/>
    <w:rsid w:val="00706902"/>
    <w:rsid w:val="00706EAE"/>
    <w:rsid w:val="00712A2F"/>
    <w:rsid w:val="00714662"/>
    <w:rsid w:val="007149EF"/>
    <w:rsid w:val="00716440"/>
    <w:rsid w:val="00716CB1"/>
    <w:rsid w:val="00722DAF"/>
    <w:rsid w:val="007300AE"/>
    <w:rsid w:val="0073444A"/>
    <w:rsid w:val="007354FE"/>
    <w:rsid w:val="007371E5"/>
    <w:rsid w:val="007459B3"/>
    <w:rsid w:val="0074646C"/>
    <w:rsid w:val="007528FC"/>
    <w:rsid w:val="0075794E"/>
    <w:rsid w:val="007602AA"/>
    <w:rsid w:val="00761169"/>
    <w:rsid w:val="0076574B"/>
    <w:rsid w:val="00766606"/>
    <w:rsid w:val="00773413"/>
    <w:rsid w:val="007750B7"/>
    <w:rsid w:val="0078046B"/>
    <w:rsid w:val="00783F5A"/>
    <w:rsid w:val="00784A63"/>
    <w:rsid w:val="007870A5"/>
    <w:rsid w:val="00791395"/>
    <w:rsid w:val="007A51D1"/>
    <w:rsid w:val="007A6AB9"/>
    <w:rsid w:val="007A6E25"/>
    <w:rsid w:val="007A7EED"/>
    <w:rsid w:val="007B0E92"/>
    <w:rsid w:val="007B1764"/>
    <w:rsid w:val="007B38BB"/>
    <w:rsid w:val="007B3A8D"/>
    <w:rsid w:val="007B56EC"/>
    <w:rsid w:val="007B7D0F"/>
    <w:rsid w:val="007C2B16"/>
    <w:rsid w:val="007C3790"/>
    <w:rsid w:val="007C5A22"/>
    <w:rsid w:val="007C7588"/>
    <w:rsid w:val="007D05CA"/>
    <w:rsid w:val="007D1ECB"/>
    <w:rsid w:val="007D3058"/>
    <w:rsid w:val="007D3138"/>
    <w:rsid w:val="007D4371"/>
    <w:rsid w:val="007D4803"/>
    <w:rsid w:val="007D56F7"/>
    <w:rsid w:val="007D7724"/>
    <w:rsid w:val="007D7EC4"/>
    <w:rsid w:val="007E0898"/>
    <w:rsid w:val="007E331D"/>
    <w:rsid w:val="007E4504"/>
    <w:rsid w:val="007E5855"/>
    <w:rsid w:val="007F2D75"/>
    <w:rsid w:val="007F7670"/>
    <w:rsid w:val="00800606"/>
    <w:rsid w:val="008010C5"/>
    <w:rsid w:val="00811A1F"/>
    <w:rsid w:val="008132F5"/>
    <w:rsid w:val="008154C9"/>
    <w:rsid w:val="00815A65"/>
    <w:rsid w:val="00817C87"/>
    <w:rsid w:val="00820078"/>
    <w:rsid w:val="008221AF"/>
    <w:rsid w:val="00824869"/>
    <w:rsid w:val="0083217A"/>
    <w:rsid w:val="0083576C"/>
    <w:rsid w:val="008362EB"/>
    <w:rsid w:val="008366AF"/>
    <w:rsid w:val="008367D0"/>
    <w:rsid w:val="0084285F"/>
    <w:rsid w:val="00844454"/>
    <w:rsid w:val="008505B2"/>
    <w:rsid w:val="00851163"/>
    <w:rsid w:val="0085246C"/>
    <w:rsid w:val="00852CD9"/>
    <w:rsid w:val="00852EFA"/>
    <w:rsid w:val="00853385"/>
    <w:rsid w:val="00853469"/>
    <w:rsid w:val="008543C1"/>
    <w:rsid w:val="00854F6C"/>
    <w:rsid w:val="0085578A"/>
    <w:rsid w:val="00856862"/>
    <w:rsid w:val="00856FB3"/>
    <w:rsid w:val="00863E9E"/>
    <w:rsid w:val="00865E25"/>
    <w:rsid w:val="00866727"/>
    <w:rsid w:val="0087056F"/>
    <w:rsid w:val="008752BB"/>
    <w:rsid w:val="008760B0"/>
    <w:rsid w:val="00876386"/>
    <w:rsid w:val="00880CD6"/>
    <w:rsid w:val="00880DB1"/>
    <w:rsid w:val="0088205D"/>
    <w:rsid w:val="00884603"/>
    <w:rsid w:val="00884FD2"/>
    <w:rsid w:val="00886A16"/>
    <w:rsid w:val="008911D1"/>
    <w:rsid w:val="008939D4"/>
    <w:rsid w:val="0089460A"/>
    <w:rsid w:val="0089744D"/>
    <w:rsid w:val="008A2E8A"/>
    <w:rsid w:val="008A44BE"/>
    <w:rsid w:val="008A7299"/>
    <w:rsid w:val="008A77C7"/>
    <w:rsid w:val="008B159C"/>
    <w:rsid w:val="008B2621"/>
    <w:rsid w:val="008B2B75"/>
    <w:rsid w:val="008B32E6"/>
    <w:rsid w:val="008B4DD3"/>
    <w:rsid w:val="008B62C5"/>
    <w:rsid w:val="008C24F5"/>
    <w:rsid w:val="008C2967"/>
    <w:rsid w:val="008C4E44"/>
    <w:rsid w:val="008C629E"/>
    <w:rsid w:val="008D23BD"/>
    <w:rsid w:val="008D3375"/>
    <w:rsid w:val="008D61F1"/>
    <w:rsid w:val="008D729E"/>
    <w:rsid w:val="008E05E6"/>
    <w:rsid w:val="008E12A9"/>
    <w:rsid w:val="008E6D77"/>
    <w:rsid w:val="008F0773"/>
    <w:rsid w:val="008F0AE6"/>
    <w:rsid w:val="008F1075"/>
    <w:rsid w:val="008F4A4B"/>
    <w:rsid w:val="009025B7"/>
    <w:rsid w:val="009042F4"/>
    <w:rsid w:val="009071A3"/>
    <w:rsid w:val="009071ED"/>
    <w:rsid w:val="00910222"/>
    <w:rsid w:val="00911CCB"/>
    <w:rsid w:val="00912E5E"/>
    <w:rsid w:val="009137AE"/>
    <w:rsid w:val="009144FC"/>
    <w:rsid w:val="00922489"/>
    <w:rsid w:val="00923871"/>
    <w:rsid w:val="00924CAF"/>
    <w:rsid w:val="0092579D"/>
    <w:rsid w:val="00930795"/>
    <w:rsid w:val="00940BE5"/>
    <w:rsid w:val="0094255D"/>
    <w:rsid w:val="009449D6"/>
    <w:rsid w:val="00946CA7"/>
    <w:rsid w:val="00951C81"/>
    <w:rsid w:val="00951D93"/>
    <w:rsid w:val="0095208E"/>
    <w:rsid w:val="009615E9"/>
    <w:rsid w:val="00962FC3"/>
    <w:rsid w:val="009638C7"/>
    <w:rsid w:val="009640BF"/>
    <w:rsid w:val="009660DE"/>
    <w:rsid w:val="009720C6"/>
    <w:rsid w:val="00972F02"/>
    <w:rsid w:val="009744CB"/>
    <w:rsid w:val="00975E2A"/>
    <w:rsid w:val="00976EF2"/>
    <w:rsid w:val="00980F5B"/>
    <w:rsid w:val="0098289E"/>
    <w:rsid w:val="00982F9A"/>
    <w:rsid w:val="00984B70"/>
    <w:rsid w:val="009858F9"/>
    <w:rsid w:val="00985BFB"/>
    <w:rsid w:val="00991B66"/>
    <w:rsid w:val="009933AB"/>
    <w:rsid w:val="009938AA"/>
    <w:rsid w:val="009A220C"/>
    <w:rsid w:val="009A3307"/>
    <w:rsid w:val="009A39C7"/>
    <w:rsid w:val="009A49AF"/>
    <w:rsid w:val="009A5103"/>
    <w:rsid w:val="009B1079"/>
    <w:rsid w:val="009B2633"/>
    <w:rsid w:val="009B466E"/>
    <w:rsid w:val="009B4E30"/>
    <w:rsid w:val="009B5419"/>
    <w:rsid w:val="009B7327"/>
    <w:rsid w:val="009C158E"/>
    <w:rsid w:val="009C176F"/>
    <w:rsid w:val="009C3500"/>
    <w:rsid w:val="009C6265"/>
    <w:rsid w:val="009C68AA"/>
    <w:rsid w:val="009C7185"/>
    <w:rsid w:val="009D1748"/>
    <w:rsid w:val="009D41FA"/>
    <w:rsid w:val="009D4233"/>
    <w:rsid w:val="009E5075"/>
    <w:rsid w:val="009E5D0B"/>
    <w:rsid w:val="009F09C0"/>
    <w:rsid w:val="009F1063"/>
    <w:rsid w:val="009F3300"/>
    <w:rsid w:val="009F578E"/>
    <w:rsid w:val="009F7FF6"/>
    <w:rsid w:val="00A024F0"/>
    <w:rsid w:val="00A03FA5"/>
    <w:rsid w:val="00A04014"/>
    <w:rsid w:val="00A05192"/>
    <w:rsid w:val="00A052CB"/>
    <w:rsid w:val="00A10329"/>
    <w:rsid w:val="00A113C1"/>
    <w:rsid w:val="00A12DB3"/>
    <w:rsid w:val="00A158F5"/>
    <w:rsid w:val="00A221BA"/>
    <w:rsid w:val="00A2359F"/>
    <w:rsid w:val="00A24A98"/>
    <w:rsid w:val="00A25563"/>
    <w:rsid w:val="00A25A2F"/>
    <w:rsid w:val="00A30E9A"/>
    <w:rsid w:val="00A3245B"/>
    <w:rsid w:val="00A34A96"/>
    <w:rsid w:val="00A413D3"/>
    <w:rsid w:val="00A42A82"/>
    <w:rsid w:val="00A4598C"/>
    <w:rsid w:val="00A463E0"/>
    <w:rsid w:val="00A5100C"/>
    <w:rsid w:val="00A52972"/>
    <w:rsid w:val="00A563C5"/>
    <w:rsid w:val="00A57054"/>
    <w:rsid w:val="00A57102"/>
    <w:rsid w:val="00A578BB"/>
    <w:rsid w:val="00A57AF3"/>
    <w:rsid w:val="00A61570"/>
    <w:rsid w:val="00A61E61"/>
    <w:rsid w:val="00A642F2"/>
    <w:rsid w:val="00A64648"/>
    <w:rsid w:val="00A64D70"/>
    <w:rsid w:val="00A65C28"/>
    <w:rsid w:val="00A664BB"/>
    <w:rsid w:val="00A678A4"/>
    <w:rsid w:val="00A7443A"/>
    <w:rsid w:val="00A7546C"/>
    <w:rsid w:val="00A76E12"/>
    <w:rsid w:val="00A81434"/>
    <w:rsid w:val="00A8287A"/>
    <w:rsid w:val="00A83354"/>
    <w:rsid w:val="00A83B32"/>
    <w:rsid w:val="00A843D2"/>
    <w:rsid w:val="00A8794D"/>
    <w:rsid w:val="00A977E6"/>
    <w:rsid w:val="00AA484B"/>
    <w:rsid w:val="00AA52A2"/>
    <w:rsid w:val="00AA7EFF"/>
    <w:rsid w:val="00AB0EB6"/>
    <w:rsid w:val="00AB22CF"/>
    <w:rsid w:val="00AB2710"/>
    <w:rsid w:val="00AB2F03"/>
    <w:rsid w:val="00AB6072"/>
    <w:rsid w:val="00AB6B79"/>
    <w:rsid w:val="00AC17C3"/>
    <w:rsid w:val="00AC3420"/>
    <w:rsid w:val="00AC6C19"/>
    <w:rsid w:val="00AC7101"/>
    <w:rsid w:val="00AD2571"/>
    <w:rsid w:val="00AD3745"/>
    <w:rsid w:val="00AD5015"/>
    <w:rsid w:val="00AD5A44"/>
    <w:rsid w:val="00AE24E5"/>
    <w:rsid w:val="00AF111F"/>
    <w:rsid w:val="00AF2ECD"/>
    <w:rsid w:val="00AF4401"/>
    <w:rsid w:val="00AF5123"/>
    <w:rsid w:val="00AF5202"/>
    <w:rsid w:val="00AF5B28"/>
    <w:rsid w:val="00AF7F94"/>
    <w:rsid w:val="00B01F7C"/>
    <w:rsid w:val="00B04978"/>
    <w:rsid w:val="00B06B20"/>
    <w:rsid w:val="00B07BBD"/>
    <w:rsid w:val="00B10B31"/>
    <w:rsid w:val="00B146DA"/>
    <w:rsid w:val="00B16C87"/>
    <w:rsid w:val="00B22700"/>
    <w:rsid w:val="00B23945"/>
    <w:rsid w:val="00B23B05"/>
    <w:rsid w:val="00B23EC6"/>
    <w:rsid w:val="00B26961"/>
    <w:rsid w:val="00B269DF"/>
    <w:rsid w:val="00B26A19"/>
    <w:rsid w:val="00B27D58"/>
    <w:rsid w:val="00B27EDF"/>
    <w:rsid w:val="00B30FE8"/>
    <w:rsid w:val="00B32C72"/>
    <w:rsid w:val="00B3302E"/>
    <w:rsid w:val="00B35C6A"/>
    <w:rsid w:val="00B40CA4"/>
    <w:rsid w:val="00B41B19"/>
    <w:rsid w:val="00B463D3"/>
    <w:rsid w:val="00B465BF"/>
    <w:rsid w:val="00B46A58"/>
    <w:rsid w:val="00B500C8"/>
    <w:rsid w:val="00B55454"/>
    <w:rsid w:val="00B554C3"/>
    <w:rsid w:val="00B56920"/>
    <w:rsid w:val="00B66223"/>
    <w:rsid w:val="00B663DB"/>
    <w:rsid w:val="00B73C54"/>
    <w:rsid w:val="00B74DC2"/>
    <w:rsid w:val="00B74F4F"/>
    <w:rsid w:val="00B80ABB"/>
    <w:rsid w:val="00B810CC"/>
    <w:rsid w:val="00B918E2"/>
    <w:rsid w:val="00B94887"/>
    <w:rsid w:val="00B952CB"/>
    <w:rsid w:val="00B977EF"/>
    <w:rsid w:val="00B97C42"/>
    <w:rsid w:val="00BA0588"/>
    <w:rsid w:val="00BA16B1"/>
    <w:rsid w:val="00BB04B3"/>
    <w:rsid w:val="00BB36D4"/>
    <w:rsid w:val="00BB7EB6"/>
    <w:rsid w:val="00BC1BD1"/>
    <w:rsid w:val="00BC1E6F"/>
    <w:rsid w:val="00BC50D9"/>
    <w:rsid w:val="00BC56FE"/>
    <w:rsid w:val="00BD3C15"/>
    <w:rsid w:val="00BD761D"/>
    <w:rsid w:val="00BD790F"/>
    <w:rsid w:val="00BD7C93"/>
    <w:rsid w:val="00BD7CEE"/>
    <w:rsid w:val="00BE71A6"/>
    <w:rsid w:val="00BE7FBB"/>
    <w:rsid w:val="00BF3820"/>
    <w:rsid w:val="00BF4C9D"/>
    <w:rsid w:val="00BF6B0A"/>
    <w:rsid w:val="00BF7070"/>
    <w:rsid w:val="00C00F7E"/>
    <w:rsid w:val="00C031B1"/>
    <w:rsid w:val="00C05AC9"/>
    <w:rsid w:val="00C06077"/>
    <w:rsid w:val="00C1186F"/>
    <w:rsid w:val="00C12E78"/>
    <w:rsid w:val="00C1576C"/>
    <w:rsid w:val="00C17CB8"/>
    <w:rsid w:val="00C219FB"/>
    <w:rsid w:val="00C22539"/>
    <w:rsid w:val="00C2550A"/>
    <w:rsid w:val="00C26ADB"/>
    <w:rsid w:val="00C31145"/>
    <w:rsid w:val="00C45AAB"/>
    <w:rsid w:val="00C46D00"/>
    <w:rsid w:val="00C509AE"/>
    <w:rsid w:val="00C52B24"/>
    <w:rsid w:val="00C53FED"/>
    <w:rsid w:val="00C54A40"/>
    <w:rsid w:val="00C61229"/>
    <w:rsid w:val="00C64CF8"/>
    <w:rsid w:val="00C65B54"/>
    <w:rsid w:val="00C66068"/>
    <w:rsid w:val="00C6738D"/>
    <w:rsid w:val="00C704F0"/>
    <w:rsid w:val="00C76A5C"/>
    <w:rsid w:val="00C76C80"/>
    <w:rsid w:val="00C855F1"/>
    <w:rsid w:val="00C9009C"/>
    <w:rsid w:val="00C90C90"/>
    <w:rsid w:val="00C9358C"/>
    <w:rsid w:val="00C93AC6"/>
    <w:rsid w:val="00C97732"/>
    <w:rsid w:val="00CA01E1"/>
    <w:rsid w:val="00CA029C"/>
    <w:rsid w:val="00CA03CC"/>
    <w:rsid w:val="00CA04D2"/>
    <w:rsid w:val="00CA1078"/>
    <w:rsid w:val="00CA153B"/>
    <w:rsid w:val="00CA363E"/>
    <w:rsid w:val="00CB13AD"/>
    <w:rsid w:val="00CB29CF"/>
    <w:rsid w:val="00CB33B7"/>
    <w:rsid w:val="00CC1711"/>
    <w:rsid w:val="00CC1843"/>
    <w:rsid w:val="00CC2B2D"/>
    <w:rsid w:val="00CC5C69"/>
    <w:rsid w:val="00CD08FB"/>
    <w:rsid w:val="00CD099B"/>
    <w:rsid w:val="00CD3265"/>
    <w:rsid w:val="00CD3AF9"/>
    <w:rsid w:val="00CD4874"/>
    <w:rsid w:val="00CD6222"/>
    <w:rsid w:val="00CE22DB"/>
    <w:rsid w:val="00CE6B4C"/>
    <w:rsid w:val="00CF22CB"/>
    <w:rsid w:val="00CF29A7"/>
    <w:rsid w:val="00CF4CCE"/>
    <w:rsid w:val="00CF5C27"/>
    <w:rsid w:val="00CF5E5D"/>
    <w:rsid w:val="00CF5F7F"/>
    <w:rsid w:val="00CF6AD0"/>
    <w:rsid w:val="00D00E87"/>
    <w:rsid w:val="00D01281"/>
    <w:rsid w:val="00D04DC7"/>
    <w:rsid w:val="00D06192"/>
    <w:rsid w:val="00D07D73"/>
    <w:rsid w:val="00D112D8"/>
    <w:rsid w:val="00D16093"/>
    <w:rsid w:val="00D17A0C"/>
    <w:rsid w:val="00D21B31"/>
    <w:rsid w:val="00D22416"/>
    <w:rsid w:val="00D22858"/>
    <w:rsid w:val="00D23F7F"/>
    <w:rsid w:val="00D25C70"/>
    <w:rsid w:val="00D25CBE"/>
    <w:rsid w:val="00D27333"/>
    <w:rsid w:val="00D3158A"/>
    <w:rsid w:val="00D35D7B"/>
    <w:rsid w:val="00D36D77"/>
    <w:rsid w:val="00D449F2"/>
    <w:rsid w:val="00D44FAF"/>
    <w:rsid w:val="00D47B46"/>
    <w:rsid w:val="00D47D8B"/>
    <w:rsid w:val="00D53176"/>
    <w:rsid w:val="00D53CCA"/>
    <w:rsid w:val="00D54882"/>
    <w:rsid w:val="00D55085"/>
    <w:rsid w:val="00D569BD"/>
    <w:rsid w:val="00D615D6"/>
    <w:rsid w:val="00D725F9"/>
    <w:rsid w:val="00D737CD"/>
    <w:rsid w:val="00D77BEF"/>
    <w:rsid w:val="00D77E11"/>
    <w:rsid w:val="00D81B4C"/>
    <w:rsid w:val="00D84043"/>
    <w:rsid w:val="00D845A2"/>
    <w:rsid w:val="00D868CB"/>
    <w:rsid w:val="00D86C4D"/>
    <w:rsid w:val="00D8708E"/>
    <w:rsid w:val="00D908C5"/>
    <w:rsid w:val="00D90DFC"/>
    <w:rsid w:val="00D91503"/>
    <w:rsid w:val="00D922EA"/>
    <w:rsid w:val="00D9345F"/>
    <w:rsid w:val="00D93E71"/>
    <w:rsid w:val="00DA0FAC"/>
    <w:rsid w:val="00DA7245"/>
    <w:rsid w:val="00DA7F75"/>
    <w:rsid w:val="00DB09DB"/>
    <w:rsid w:val="00DB2773"/>
    <w:rsid w:val="00DB2B01"/>
    <w:rsid w:val="00DC23A6"/>
    <w:rsid w:val="00DC5588"/>
    <w:rsid w:val="00DC6BDB"/>
    <w:rsid w:val="00DC7663"/>
    <w:rsid w:val="00DD0F6A"/>
    <w:rsid w:val="00DD1E5A"/>
    <w:rsid w:val="00DD23BE"/>
    <w:rsid w:val="00DD2753"/>
    <w:rsid w:val="00DD34D6"/>
    <w:rsid w:val="00DE154E"/>
    <w:rsid w:val="00DE1B93"/>
    <w:rsid w:val="00DE41CA"/>
    <w:rsid w:val="00DE707F"/>
    <w:rsid w:val="00DF18B3"/>
    <w:rsid w:val="00DF2F0B"/>
    <w:rsid w:val="00DF4AEA"/>
    <w:rsid w:val="00DF7580"/>
    <w:rsid w:val="00E02C31"/>
    <w:rsid w:val="00E03CAA"/>
    <w:rsid w:val="00E04F72"/>
    <w:rsid w:val="00E07FC2"/>
    <w:rsid w:val="00E16B71"/>
    <w:rsid w:val="00E20321"/>
    <w:rsid w:val="00E26B7B"/>
    <w:rsid w:val="00E33BA5"/>
    <w:rsid w:val="00E35004"/>
    <w:rsid w:val="00E3525C"/>
    <w:rsid w:val="00E415F5"/>
    <w:rsid w:val="00E4305D"/>
    <w:rsid w:val="00E44185"/>
    <w:rsid w:val="00E470B3"/>
    <w:rsid w:val="00E50148"/>
    <w:rsid w:val="00E5155F"/>
    <w:rsid w:val="00E52A94"/>
    <w:rsid w:val="00E57028"/>
    <w:rsid w:val="00E57AAA"/>
    <w:rsid w:val="00E60438"/>
    <w:rsid w:val="00E6361B"/>
    <w:rsid w:val="00E66A11"/>
    <w:rsid w:val="00E74C39"/>
    <w:rsid w:val="00E7773D"/>
    <w:rsid w:val="00E8012D"/>
    <w:rsid w:val="00E81201"/>
    <w:rsid w:val="00E82354"/>
    <w:rsid w:val="00E85365"/>
    <w:rsid w:val="00E8631F"/>
    <w:rsid w:val="00E9156B"/>
    <w:rsid w:val="00E918E4"/>
    <w:rsid w:val="00E92FE3"/>
    <w:rsid w:val="00E94179"/>
    <w:rsid w:val="00EA0161"/>
    <w:rsid w:val="00EA2E8A"/>
    <w:rsid w:val="00EA3590"/>
    <w:rsid w:val="00EA517A"/>
    <w:rsid w:val="00EB1594"/>
    <w:rsid w:val="00EB15D2"/>
    <w:rsid w:val="00EB5569"/>
    <w:rsid w:val="00EB5F24"/>
    <w:rsid w:val="00EB6F8D"/>
    <w:rsid w:val="00ED0A21"/>
    <w:rsid w:val="00ED56A2"/>
    <w:rsid w:val="00ED72D1"/>
    <w:rsid w:val="00EE2103"/>
    <w:rsid w:val="00EE3A78"/>
    <w:rsid w:val="00EE418E"/>
    <w:rsid w:val="00EE44EE"/>
    <w:rsid w:val="00EE49EE"/>
    <w:rsid w:val="00EE4FE9"/>
    <w:rsid w:val="00EF11BF"/>
    <w:rsid w:val="00EF15C3"/>
    <w:rsid w:val="00EF2A19"/>
    <w:rsid w:val="00EF3899"/>
    <w:rsid w:val="00EF3DF7"/>
    <w:rsid w:val="00EF77C2"/>
    <w:rsid w:val="00EF789E"/>
    <w:rsid w:val="00EF7A28"/>
    <w:rsid w:val="00F006CA"/>
    <w:rsid w:val="00F101BC"/>
    <w:rsid w:val="00F106CF"/>
    <w:rsid w:val="00F14792"/>
    <w:rsid w:val="00F214C0"/>
    <w:rsid w:val="00F22E96"/>
    <w:rsid w:val="00F27200"/>
    <w:rsid w:val="00F32DF5"/>
    <w:rsid w:val="00F37A12"/>
    <w:rsid w:val="00F4104A"/>
    <w:rsid w:val="00F41DA0"/>
    <w:rsid w:val="00F438F9"/>
    <w:rsid w:val="00F47757"/>
    <w:rsid w:val="00F50151"/>
    <w:rsid w:val="00F55D89"/>
    <w:rsid w:val="00F56A32"/>
    <w:rsid w:val="00F5724F"/>
    <w:rsid w:val="00F57F46"/>
    <w:rsid w:val="00F61876"/>
    <w:rsid w:val="00F65C40"/>
    <w:rsid w:val="00F67A65"/>
    <w:rsid w:val="00F74F02"/>
    <w:rsid w:val="00F80E5D"/>
    <w:rsid w:val="00F84B67"/>
    <w:rsid w:val="00F870C2"/>
    <w:rsid w:val="00F90396"/>
    <w:rsid w:val="00F9122C"/>
    <w:rsid w:val="00F92008"/>
    <w:rsid w:val="00F97B96"/>
    <w:rsid w:val="00FA7DA4"/>
    <w:rsid w:val="00FB79BD"/>
    <w:rsid w:val="00FC232C"/>
    <w:rsid w:val="00FC476A"/>
    <w:rsid w:val="00FC6133"/>
    <w:rsid w:val="00FD5441"/>
    <w:rsid w:val="00FD7927"/>
    <w:rsid w:val="00FD7E89"/>
    <w:rsid w:val="00FE1B21"/>
    <w:rsid w:val="00FE3E12"/>
    <w:rsid w:val="00FE7025"/>
    <w:rsid w:val="00FE780F"/>
    <w:rsid w:val="00FF146D"/>
    <w:rsid w:val="00FF2C84"/>
    <w:rsid w:val="00FF45A6"/>
    <w:rsid w:val="00FF7191"/>
    <w:rsid w:val="00FF788E"/>
    <w:rsid w:val="01589E6A"/>
    <w:rsid w:val="0184B86D"/>
    <w:rsid w:val="024DE12A"/>
    <w:rsid w:val="02B34285"/>
    <w:rsid w:val="02D64867"/>
    <w:rsid w:val="03985E77"/>
    <w:rsid w:val="039D5900"/>
    <w:rsid w:val="03BAD02F"/>
    <w:rsid w:val="04457C99"/>
    <w:rsid w:val="0457FEFD"/>
    <w:rsid w:val="04607D21"/>
    <w:rsid w:val="04BEBB85"/>
    <w:rsid w:val="04DC27F2"/>
    <w:rsid w:val="052932AA"/>
    <w:rsid w:val="059B9755"/>
    <w:rsid w:val="05A23FC0"/>
    <w:rsid w:val="05D8F389"/>
    <w:rsid w:val="06335B73"/>
    <w:rsid w:val="065D78FF"/>
    <w:rsid w:val="06656C08"/>
    <w:rsid w:val="0675071B"/>
    <w:rsid w:val="06D8F800"/>
    <w:rsid w:val="072DBEAB"/>
    <w:rsid w:val="07E1AACB"/>
    <w:rsid w:val="07FB5475"/>
    <w:rsid w:val="082D1E71"/>
    <w:rsid w:val="08A5104B"/>
    <w:rsid w:val="09422200"/>
    <w:rsid w:val="09BE6B74"/>
    <w:rsid w:val="0A590749"/>
    <w:rsid w:val="0BD21632"/>
    <w:rsid w:val="0C7C0301"/>
    <w:rsid w:val="0CF56A26"/>
    <w:rsid w:val="0E00A468"/>
    <w:rsid w:val="0F3C102B"/>
    <w:rsid w:val="106767F5"/>
    <w:rsid w:val="10A2FA6D"/>
    <w:rsid w:val="10C124CA"/>
    <w:rsid w:val="10DBA41B"/>
    <w:rsid w:val="110AF1A5"/>
    <w:rsid w:val="1155B82B"/>
    <w:rsid w:val="116BF409"/>
    <w:rsid w:val="116D65FE"/>
    <w:rsid w:val="11A4D109"/>
    <w:rsid w:val="11EDC397"/>
    <w:rsid w:val="1288ECBC"/>
    <w:rsid w:val="12978D45"/>
    <w:rsid w:val="12E91235"/>
    <w:rsid w:val="131E4B03"/>
    <w:rsid w:val="1412F133"/>
    <w:rsid w:val="1437D23D"/>
    <w:rsid w:val="14A73E82"/>
    <w:rsid w:val="1502623B"/>
    <w:rsid w:val="1504D84B"/>
    <w:rsid w:val="154934F4"/>
    <w:rsid w:val="155D78A5"/>
    <w:rsid w:val="17FE4FC2"/>
    <w:rsid w:val="18C1EE2F"/>
    <w:rsid w:val="18E45D62"/>
    <w:rsid w:val="19248F67"/>
    <w:rsid w:val="1951228D"/>
    <w:rsid w:val="19B9F843"/>
    <w:rsid w:val="19D2D371"/>
    <w:rsid w:val="1A7FCD95"/>
    <w:rsid w:val="1BD1AA20"/>
    <w:rsid w:val="1C090336"/>
    <w:rsid w:val="1C960CF2"/>
    <w:rsid w:val="1D0F6D59"/>
    <w:rsid w:val="1DB203BE"/>
    <w:rsid w:val="1F7BD1C9"/>
    <w:rsid w:val="20611099"/>
    <w:rsid w:val="20FE8560"/>
    <w:rsid w:val="21ADDAEE"/>
    <w:rsid w:val="21B5652D"/>
    <w:rsid w:val="21C0C6CB"/>
    <w:rsid w:val="21DEB0C1"/>
    <w:rsid w:val="21F23B44"/>
    <w:rsid w:val="2215736E"/>
    <w:rsid w:val="222A5DAE"/>
    <w:rsid w:val="2230F0E6"/>
    <w:rsid w:val="228C6956"/>
    <w:rsid w:val="22AA0799"/>
    <w:rsid w:val="22D7AD0F"/>
    <w:rsid w:val="22F09156"/>
    <w:rsid w:val="2495411B"/>
    <w:rsid w:val="250151E2"/>
    <w:rsid w:val="2513C73C"/>
    <w:rsid w:val="25941839"/>
    <w:rsid w:val="25A3857A"/>
    <w:rsid w:val="25B47903"/>
    <w:rsid w:val="26288258"/>
    <w:rsid w:val="2697DF5D"/>
    <w:rsid w:val="26C16358"/>
    <w:rsid w:val="26E8F872"/>
    <w:rsid w:val="26EF5CF9"/>
    <w:rsid w:val="27100D64"/>
    <w:rsid w:val="274FE3C2"/>
    <w:rsid w:val="2827E493"/>
    <w:rsid w:val="286B531F"/>
    <w:rsid w:val="28801DC1"/>
    <w:rsid w:val="28B7D843"/>
    <w:rsid w:val="28EBFA51"/>
    <w:rsid w:val="291DD236"/>
    <w:rsid w:val="2942278B"/>
    <w:rsid w:val="296225F0"/>
    <w:rsid w:val="29DFD125"/>
    <w:rsid w:val="2A65F5C5"/>
    <w:rsid w:val="2B283CDF"/>
    <w:rsid w:val="2BF08A54"/>
    <w:rsid w:val="2D1D8148"/>
    <w:rsid w:val="2D45EB43"/>
    <w:rsid w:val="2D5A0D70"/>
    <w:rsid w:val="2D6C42E7"/>
    <w:rsid w:val="2DAA185B"/>
    <w:rsid w:val="2E4F2417"/>
    <w:rsid w:val="3029DA74"/>
    <w:rsid w:val="3176D6D4"/>
    <w:rsid w:val="31FA8872"/>
    <w:rsid w:val="32A256D4"/>
    <w:rsid w:val="334AFAEE"/>
    <w:rsid w:val="334ED406"/>
    <w:rsid w:val="3356F487"/>
    <w:rsid w:val="335834D0"/>
    <w:rsid w:val="33B34F9D"/>
    <w:rsid w:val="3469FD0B"/>
    <w:rsid w:val="351056FE"/>
    <w:rsid w:val="36ECA7DD"/>
    <w:rsid w:val="37283314"/>
    <w:rsid w:val="390FC104"/>
    <w:rsid w:val="39197E4C"/>
    <w:rsid w:val="39381F45"/>
    <w:rsid w:val="39455F2F"/>
    <w:rsid w:val="3998A114"/>
    <w:rsid w:val="39A39384"/>
    <w:rsid w:val="39B6F9AD"/>
    <w:rsid w:val="3A03F91A"/>
    <w:rsid w:val="3B03824F"/>
    <w:rsid w:val="3B86E36D"/>
    <w:rsid w:val="3B98DC4A"/>
    <w:rsid w:val="3C33D3D9"/>
    <w:rsid w:val="3C3F57CC"/>
    <w:rsid w:val="3C959FBD"/>
    <w:rsid w:val="3CDB998C"/>
    <w:rsid w:val="3CF492EF"/>
    <w:rsid w:val="3D0311D3"/>
    <w:rsid w:val="3D58E1E7"/>
    <w:rsid w:val="3DAA87E5"/>
    <w:rsid w:val="3DE684E2"/>
    <w:rsid w:val="3F634331"/>
    <w:rsid w:val="41127978"/>
    <w:rsid w:val="43555B44"/>
    <w:rsid w:val="43B4C50F"/>
    <w:rsid w:val="43FF1EF7"/>
    <w:rsid w:val="4592E66A"/>
    <w:rsid w:val="464708DC"/>
    <w:rsid w:val="4676B3B5"/>
    <w:rsid w:val="46E8FDBF"/>
    <w:rsid w:val="46F7A8E0"/>
    <w:rsid w:val="47563CD7"/>
    <w:rsid w:val="47DA7C78"/>
    <w:rsid w:val="485D0EF2"/>
    <w:rsid w:val="486C5D32"/>
    <w:rsid w:val="48757381"/>
    <w:rsid w:val="487B0327"/>
    <w:rsid w:val="494D46F0"/>
    <w:rsid w:val="49E68893"/>
    <w:rsid w:val="4A532476"/>
    <w:rsid w:val="4AC53A49"/>
    <w:rsid w:val="4AE6D911"/>
    <w:rsid w:val="4C699273"/>
    <w:rsid w:val="4C831090"/>
    <w:rsid w:val="4C965B4F"/>
    <w:rsid w:val="4D41432B"/>
    <w:rsid w:val="4DA84208"/>
    <w:rsid w:val="4E0A53E5"/>
    <w:rsid w:val="4EEBE2B0"/>
    <w:rsid w:val="4FAC0631"/>
    <w:rsid w:val="505E7435"/>
    <w:rsid w:val="50866DF6"/>
    <w:rsid w:val="50F00D2C"/>
    <w:rsid w:val="51320834"/>
    <w:rsid w:val="51AD5A72"/>
    <w:rsid w:val="51C3F8F2"/>
    <w:rsid w:val="520BECAD"/>
    <w:rsid w:val="52CA9A30"/>
    <w:rsid w:val="53785A38"/>
    <w:rsid w:val="537D797A"/>
    <w:rsid w:val="53B76748"/>
    <w:rsid w:val="53BD5FF8"/>
    <w:rsid w:val="53E496BC"/>
    <w:rsid w:val="542EEA64"/>
    <w:rsid w:val="5519B4BD"/>
    <w:rsid w:val="5583DB4B"/>
    <w:rsid w:val="562A577D"/>
    <w:rsid w:val="56651732"/>
    <w:rsid w:val="567EC4CC"/>
    <w:rsid w:val="572A64A3"/>
    <w:rsid w:val="57C1DD53"/>
    <w:rsid w:val="582D62A5"/>
    <w:rsid w:val="58BCD020"/>
    <w:rsid w:val="5930A49F"/>
    <w:rsid w:val="59AB3463"/>
    <w:rsid w:val="5A7F016E"/>
    <w:rsid w:val="5B52BFFC"/>
    <w:rsid w:val="5B8C35F8"/>
    <w:rsid w:val="5BF4A668"/>
    <w:rsid w:val="5BF4C4E3"/>
    <w:rsid w:val="5BF65C83"/>
    <w:rsid w:val="5C0EEC6D"/>
    <w:rsid w:val="5C9F9AA3"/>
    <w:rsid w:val="5D16C422"/>
    <w:rsid w:val="5F589CE7"/>
    <w:rsid w:val="5F931795"/>
    <w:rsid w:val="5FE69D85"/>
    <w:rsid w:val="60963E81"/>
    <w:rsid w:val="60CF78F7"/>
    <w:rsid w:val="61AECAD7"/>
    <w:rsid w:val="626C8732"/>
    <w:rsid w:val="628583FF"/>
    <w:rsid w:val="62AA927F"/>
    <w:rsid w:val="62B54EA0"/>
    <w:rsid w:val="62D3C83F"/>
    <w:rsid w:val="6326E310"/>
    <w:rsid w:val="632909A3"/>
    <w:rsid w:val="639E89BF"/>
    <w:rsid w:val="63DA510D"/>
    <w:rsid w:val="64DE340D"/>
    <w:rsid w:val="65813EB5"/>
    <w:rsid w:val="65EC8D2D"/>
    <w:rsid w:val="66554D86"/>
    <w:rsid w:val="66AACB18"/>
    <w:rsid w:val="6861BC57"/>
    <w:rsid w:val="686520C1"/>
    <w:rsid w:val="688ECF3B"/>
    <w:rsid w:val="69C42427"/>
    <w:rsid w:val="69C72900"/>
    <w:rsid w:val="6AB1B564"/>
    <w:rsid w:val="6BA9084C"/>
    <w:rsid w:val="6C4126FF"/>
    <w:rsid w:val="6CAC2E3F"/>
    <w:rsid w:val="6D8A258B"/>
    <w:rsid w:val="6F1439F2"/>
    <w:rsid w:val="6F5D8FA9"/>
    <w:rsid w:val="6FD8BD04"/>
    <w:rsid w:val="70C8E7DF"/>
    <w:rsid w:val="71171EBC"/>
    <w:rsid w:val="719BBED3"/>
    <w:rsid w:val="71C0BDBC"/>
    <w:rsid w:val="722D872E"/>
    <w:rsid w:val="72502FAD"/>
    <w:rsid w:val="726B14E4"/>
    <w:rsid w:val="72D5255D"/>
    <w:rsid w:val="7381F923"/>
    <w:rsid w:val="74071707"/>
    <w:rsid w:val="747200C4"/>
    <w:rsid w:val="7479284B"/>
    <w:rsid w:val="749FB1AF"/>
    <w:rsid w:val="750598D0"/>
    <w:rsid w:val="75417487"/>
    <w:rsid w:val="756FCD8F"/>
    <w:rsid w:val="757DD57B"/>
    <w:rsid w:val="764119D9"/>
    <w:rsid w:val="76D16E86"/>
    <w:rsid w:val="77E62CC9"/>
    <w:rsid w:val="78AA77B4"/>
    <w:rsid w:val="7A981EF0"/>
    <w:rsid w:val="7AAA6FEB"/>
    <w:rsid w:val="7BF71844"/>
    <w:rsid w:val="7C207479"/>
    <w:rsid w:val="7C2710FD"/>
    <w:rsid w:val="7C56DAD2"/>
    <w:rsid w:val="7C6D51EA"/>
    <w:rsid w:val="7C8E716A"/>
    <w:rsid w:val="7CCAC0C3"/>
    <w:rsid w:val="7CE2C6B6"/>
    <w:rsid w:val="7CFB9154"/>
    <w:rsid w:val="7D19A933"/>
    <w:rsid w:val="7D258884"/>
    <w:rsid w:val="7D261E38"/>
    <w:rsid w:val="7D72C018"/>
    <w:rsid w:val="7D90920C"/>
    <w:rsid w:val="7DC7CD5C"/>
    <w:rsid w:val="7F3E59F5"/>
    <w:rsid w:val="7F4ED73E"/>
    <w:rsid w:val="7FCA0E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A0D70"/>
  <w15:chartTrackingRefBased/>
  <w15:docId w15:val="{BFAB0A88-56E1-43EB-AE7E-1F1E70C9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65BF"/>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Pr>
      <w:rFonts w:asciiTheme="majorHAnsi" w:eastAsiaTheme="majorEastAsia" w:hAnsiTheme="majorHAnsi" w:cstheme="majorBidi"/>
      <w:color w:val="1F3763" w:themeColor="accent1" w:themeShade="7F"/>
      <w:sz w:val="24"/>
      <w:szCs w:val="24"/>
    </w:rPr>
  </w:style>
  <w:style w:type="paragraph" w:styleId="Plattetekst">
    <w:name w:val="Body Text"/>
    <w:basedOn w:val="Standaard"/>
    <w:link w:val="PlattetekstChar"/>
    <w:rsid w:val="00800606"/>
    <w:pPr>
      <w:spacing w:after="120" w:line="240" w:lineRule="auto"/>
    </w:pPr>
    <w:rPr>
      <w:rFonts w:ascii="Times New Roman" w:eastAsia="Times New Roman" w:hAnsi="Times New Roman" w:cs="Times New Roman"/>
      <w:sz w:val="24"/>
      <w:szCs w:val="24"/>
      <w:lang w:eastAsia="nl-NL"/>
    </w:rPr>
  </w:style>
  <w:style w:type="character" w:customStyle="1" w:styleId="PlattetekstChar">
    <w:name w:val="Platte tekst Char"/>
    <w:basedOn w:val="Standaardalinea-lettertype"/>
    <w:link w:val="Plattetekst"/>
    <w:rsid w:val="00800606"/>
    <w:rPr>
      <w:rFonts w:ascii="Times New Roman" w:eastAsia="Times New Roman" w:hAnsi="Times New Roman" w:cs="Times New Roman"/>
      <w:sz w:val="24"/>
      <w:szCs w:val="24"/>
      <w:lang w:eastAsia="nl-NL"/>
    </w:rPr>
  </w:style>
  <w:style w:type="paragraph" w:styleId="Voetnoottekst">
    <w:name w:val="footnote text"/>
    <w:aliases w:val="Footnote,Fußnote,C26 Footnote body,FSR footnote,lábléc,Footnote Text Char Char,Fodnotetekst Tegn Tegn Tegn Tegn Tegn Tegn Tegn Char Char,Fodnotetekst Tegn Tegn Tegn Tegn Tegn Tegn Tegn Char Char Char Char,fn,text"/>
    <w:basedOn w:val="Standaard"/>
    <w:link w:val="VoetnoottekstChar"/>
    <w:uiPriority w:val="99"/>
    <w:rsid w:val="00800606"/>
    <w:pPr>
      <w:keepLines/>
      <w:widowControl w:val="0"/>
      <w:tabs>
        <w:tab w:val="left" w:pos="1418"/>
        <w:tab w:val="left" w:pos="2835"/>
        <w:tab w:val="left" w:pos="4253"/>
        <w:tab w:val="left" w:pos="5670"/>
      </w:tabs>
      <w:suppressAutoHyphens/>
      <w:spacing w:after="0" w:line="200" w:lineRule="atLeast"/>
    </w:pPr>
    <w:rPr>
      <w:rFonts w:ascii="Arial" w:eastAsia="Times New Roman" w:hAnsi="Arial" w:cs="Times New Roman"/>
      <w:sz w:val="16"/>
      <w:szCs w:val="20"/>
      <w:lang w:eastAsia="nl-NL"/>
    </w:rPr>
  </w:style>
  <w:style w:type="character" w:customStyle="1" w:styleId="VoetnoottekstChar">
    <w:name w:val="Voetnoottekst Char"/>
    <w:aliases w:val="Footnote Char,Fußnote Char,C26 Footnote body Char,FSR footnote Char,lábléc Char,Footnote Text Char Char Char,Fodnotetekst Tegn Tegn Tegn Tegn Tegn Tegn Tegn Char Char Char,fn Char,text Char"/>
    <w:basedOn w:val="Standaardalinea-lettertype"/>
    <w:link w:val="Voetnoottekst"/>
    <w:uiPriority w:val="99"/>
    <w:rsid w:val="00800606"/>
    <w:rPr>
      <w:rFonts w:ascii="Arial" w:eastAsia="Times New Roman" w:hAnsi="Arial" w:cs="Times New Roman"/>
      <w:sz w:val="16"/>
      <w:szCs w:val="20"/>
      <w:lang w:eastAsia="nl-NL"/>
    </w:rPr>
  </w:style>
  <w:style w:type="character" w:styleId="Hyperlink">
    <w:name w:val="Hyperlink"/>
    <w:uiPriority w:val="99"/>
    <w:unhideWhenUsed/>
    <w:rsid w:val="00800606"/>
    <w:rPr>
      <w:color w:val="0000FF"/>
      <w:u w:val="single"/>
    </w:rPr>
  </w:style>
  <w:style w:type="character" w:styleId="Verwijzingopmerking">
    <w:name w:val="annotation reference"/>
    <w:basedOn w:val="Standaardalinea-lettertype"/>
    <w:uiPriority w:val="99"/>
    <w:semiHidden/>
    <w:unhideWhenUsed/>
    <w:rsid w:val="00800606"/>
    <w:rPr>
      <w:sz w:val="16"/>
      <w:szCs w:val="16"/>
    </w:rPr>
  </w:style>
  <w:style w:type="paragraph" w:styleId="Tekstopmerking">
    <w:name w:val="annotation text"/>
    <w:basedOn w:val="Standaard"/>
    <w:link w:val="TekstopmerkingChar"/>
    <w:uiPriority w:val="99"/>
    <w:unhideWhenUsed/>
    <w:rsid w:val="00800606"/>
    <w:pPr>
      <w:spacing w:after="0" w:line="240" w:lineRule="auto"/>
    </w:pPr>
    <w:rPr>
      <w:rFonts w:ascii="Verdana" w:hAnsi="Verdana" w:cs="Times New Roman"/>
      <w:sz w:val="20"/>
      <w:szCs w:val="20"/>
    </w:rPr>
  </w:style>
  <w:style w:type="character" w:customStyle="1" w:styleId="TekstopmerkingChar">
    <w:name w:val="Tekst opmerking Char"/>
    <w:basedOn w:val="Standaardalinea-lettertype"/>
    <w:link w:val="Tekstopmerking"/>
    <w:uiPriority w:val="99"/>
    <w:rsid w:val="00800606"/>
    <w:rPr>
      <w:rFonts w:ascii="Verdana" w:hAnsi="Verdana" w:cs="Times New Roman"/>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800606"/>
    <w:rPr>
      <w:vertAlign w:val="superscript"/>
    </w:rPr>
  </w:style>
  <w:style w:type="paragraph" w:styleId="Onderwerpvanopmerking">
    <w:name w:val="annotation subject"/>
    <w:basedOn w:val="Tekstopmerking"/>
    <w:next w:val="Tekstopmerking"/>
    <w:link w:val="OnderwerpvanopmerkingChar"/>
    <w:uiPriority w:val="99"/>
    <w:semiHidden/>
    <w:unhideWhenUsed/>
    <w:rsid w:val="00800606"/>
    <w:pPr>
      <w:spacing w:after="160"/>
    </w:pPr>
    <w:rPr>
      <w:rFonts w:ascii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800606"/>
    <w:rPr>
      <w:rFonts w:ascii="Verdana" w:hAnsi="Verdana" w:cs="Times New Roman"/>
      <w:b/>
      <w:bCs/>
      <w:sz w:val="20"/>
      <w:szCs w:val="20"/>
    </w:rPr>
  </w:style>
  <w:style w:type="paragraph" w:styleId="Geenafstand">
    <w:name w:val="No Spacing"/>
    <w:uiPriority w:val="1"/>
    <w:qFormat/>
    <w:rsid w:val="008D729E"/>
    <w:pPr>
      <w:spacing w:after="0" w:line="240" w:lineRule="auto"/>
    </w:pPr>
    <w:rPr>
      <w:rFonts w:ascii="Verdana" w:hAnsi="Verdana"/>
      <w:sz w:val="18"/>
      <w:lang w:val="en-US"/>
    </w:rPr>
  </w:style>
  <w:style w:type="paragraph" w:styleId="Lijstalinea">
    <w:name w:val="List Paragraph"/>
    <w:aliases w:val="List bullets,Dot pt,List Paragraph1,Colorful List - Accent 11,No Spacing1,List Paragraph Char Char Char,Indicator Text,Numbered Para 1,Bullet 1,Bullet Points,List Paragraph12,F5 List Paragraph,List Paragraph2,MAIN CONTENT,Normal numbered,L,3"/>
    <w:basedOn w:val="Standaard"/>
    <w:link w:val="LijstalineaChar"/>
    <w:uiPriority w:val="34"/>
    <w:qFormat/>
    <w:rsid w:val="00341058"/>
    <w:pPr>
      <w:widowControl w:val="0"/>
      <w:suppressAutoHyphens/>
      <w:spacing w:after="0" w:line="360" w:lineRule="auto"/>
      <w:ind w:left="720"/>
      <w:contextualSpacing/>
    </w:pPr>
    <w:rPr>
      <w:rFonts w:ascii="Arial" w:eastAsia="Times New Roman" w:hAnsi="Arial" w:cs="Times New Roman"/>
      <w:sz w:val="20"/>
      <w:szCs w:val="20"/>
      <w:lang w:eastAsia="nl-NL"/>
    </w:rPr>
  </w:style>
  <w:style w:type="character" w:customStyle="1" w:styleId="LijstalineaChar">
    <w:name w:val="Lijstalinea Char"/>
    <w:aliases w:val="List bullets Char,Dot pt Char,List Paragraph1 Char,Colorful List - Accent 11 Char,No Spacing1 Char,List Paragraph Char Char Char Char,Indicator Text Char,Numbered Para 1 Char,Bullet 1 Char,Bullet Points Char,List Paragraph12 Char,L Char"/>
    <w:link w:val="Lijstalinea"/>
    <w:uiPriority w:val="34"/>
    <w:qFormat/>
    <w:locked/>
    <w:rsid w:val="00341058"/>
    <w:rPr>
      <w:rFonts w:ascii="Arial" w:eastAsia="Times New Roman" w:hAnsi="Arial" w:cs="Times New Roman"/>
      <w:sz w:val="20"/>
      <w:szCs w:val="20"/>
      <w:lang w:eastAsia="nl-NL"/>
    </w:rPr>
  </w:style>
  <w:style w:type="character" w:styleId="GevolgdeHyperlink">
    <w:name w:val="FollowedHyperlink"/>
    <w:basedOn w:val="Standaardalinea-lettertype"/>
    <w:uiPriority w:val="99"/>
    <w:semiHidden/>
    <w:unhideWhenUsed/>
    <w:rsid w:val="00AD5015"/>
    <w:rPr>
      <w:color w:val="954F72" w:themeColor="followedHyperlink"/>
      <w:u w:val="single"/>
    </w:rPr>
  </w:style>
  <w:style w:type="character" w:styleId="Onopgelostemelding">
    <w:name w:val="Unresolved Mention"/>
    <w:basedOn w:val="Standaardalinea-lettertype"/>
    <w:uiPriority w:val="99"/>
    <w:semiHidden/>
    <w:unhideWhenUsed/>
    <w:rsid w:val="00AD5015"/>
    <w:rPr>
      <w:color w:val="605E5C"/>
      <w:shd w:val="clear" w:color="auto" w:fill="E1DFDD"/>
    </w:rPr>
  </w:style>
  <w:style w:type="paragraph" w:styleId="Koptekst">
    <w:name w:val="header"/>
    <w:basedOn w:val="Standaard"/>
    <w:link w:val="KoptekstChar"/>
    <w:uiPriority w:val="99"/>
    <w:unhideWhenUsed/>
    <w:rsid w:val="00A34A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4A96"/>
  </w:style>
  <w:style w:type="paragraph" w:styleId="Voettekst">
    <w:name w:val="footer"/>
    <w:basedOn w:val="Standaard"/>
    <w:link w:val="VoettekstChar"/>
    <w:uiPriority w:val="99"/>
    <w:unhideWhenUsed/>
    <w:rsid w:val="00A34A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4A96"/>
  </w:style>
  <w:style w:type="paragraph" w:styleId="Revisie">
    <w:name w:val="Revision"/>
    <w:hidden/>
    <w:uiPriority w:val="99"/>
    <w:semiHidden/>
    <w:rsid w:val="005775E4"/>
    <w:pPr>
      <w:spacing w:after="0" w:line="240" w:lineRule="auto"/>
    </w:pPr>
  </w:style>
  <w:style w:type="paragraph" w:customStyle="1" w:styleId="Default">
    <w:name w:val="Default"/>
    <w:rsid w:val="007D7EC4"/>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HTML-voorafopgemaakt">
    <w:name w:val="HTML Preformatted"/>
    <w:basedOn w:val="Standaard"/>
    <w:link w:val="HTML-voorafopgemaaktChar"/>
    <w:uiPriority w:val="99"/>
    <w:semiHidden/>
    <w:unhideWhenUsed/>
    <w:rsid w:val="00B554C3"/>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B554C3"/>
    <w:rPr>
      <w:rFonts w:ascii="Consolas" w:hAnsi="Consolas"/>
      <w:sz w:val="20"/>
      <w:szCs w:val="20"/>
    </w:rPr>
  </w:style>
  <w:style w:type="paragraph" w:styleId="Normaalweb">
    <w:name w:val="Normal (Web)"/>
    <w:basedOn w:val="Standaard"/>
    <w:uiPriority w:val="99"/>
    <w:semiHidden/>
    <w:unhideWhenUsed/>
    <w:rsid w:val="00FC476A"/>
    <w:rPr>
      <w:rFonts w:ascii="Times New Roman" w:hAnsi="Times New Roman" w:cs="Times New Roman"/>
      <w:sz w:val="24"/>
      <w:szCs w:val="24"/>
    </w:rPr>
  </w:style>
  <w:style w:type="character" w:styleId="Zwaar">
    <w:name w:val="Strong"/>
    <w:basedOn w:val="Standaardalinea-lettertype"/>
    <w:uiPriority w:val="22"/>
    <w:qFormat/>
    <w:rsid w:val="0000414D"/>
    <w:rPr>
      <w:b/>
      <w:bCs/>
    </w:rPr>
  </w:style>
  <w:style w:type="character" w:customStyle="1" w:styleId="VoetnoottekstChar1">
    <w:name w:val="Voetnoottekst Char1"/>
    <w:basedOn w:val="Standaardalinea-lettertype"/>
    <w:semiHidden/>
    <w:rsid w:val="00BB7EB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6028">
      <w:bodyDiv w:val="1"/>
      <w:marLeft w:val="0"/>
      <w:marRight w:val="0"/>
      <w:marTop w:val="0"/>
      <w:marBottom w:val="0"/>
      <w:divBdr>
        <w:top w:val="none" w:sz="0" w:space="0" w:color="auto"/>
        <w:left w:val="none" w:sz="0" w:space="0" w:color="auto"/>
        <w:bottom w:val="none" w:sz="0" w:space="0" w:color="auto"/>
        <w:right w:val="none" w:sz="0" w:space="0" w:color="auto"/>
      </w:divBdr>
    </w:div>
    <w:div w:id="41368998">
      <w:bodyDiv w:val="1"/>
      <w:marLeft w:val="0"/>
      <w:marRight w:val="0"/>
      <w:marTop w:val="0"/>
      <w:marBottom w:val="0"/>
      <w:divBdr>
        <w:top w:val="none" w:sz="0" w:space="0" w:color="auto"/>
        <w:left w:val="none" w:sz="0" w:space="0" w:color="auto"/>
        <w:bottom w:val="none" w:sz="0" w:space="0" w:color="auto"/>
        <w:right w:val="none" w:sz="0" w:space="0" w:color="auto"/>
      </w:divBdr>
    </w:div>
    <w:div w:id="44570469">
      <w:bodyDiv w:val="1"/>
      <w:marLeft w:val="0"/>
      <w:marRight w:val="0"/>
      <w:marTop w:val="0"/>
      <w:marBottom w:val="0"/>
      <w:divBdr>
        <w:top w:val="none" w:sz="0" w:space="0" w:color="auto"/>
        <w:left w:val="none" w:sz="0" w:space="0" w:color="auto"/>
        <w:bottom w:val="none" w:sz="0" w:space="0" w:color="auto"/>
        <w:right w:val="none" w:sz="0" w:space="0" w:color="auto"/>
      </w:divBdr>
    </w:div>
    <w:div w:id="70347670">
      <w:bodyDiv w:val="1"/>
      <w:marLeft w:val="0"/>
      <w:marRight w:val="0"/>
      <w:marTop w:val="0"/>
      <w:marBottom w:val="0"/>
      <w:divBdr>
        <w:top w:val="none" w:sz="0" w:space="0" w:color="auto"/>
        <w:left w:val="none" w:sz="0" w:space="0" w:color="auto"/>
        <w:bottom w:val="none" w:sz="0" w:space="0" w:color="auto"/>
        <w:right w:val="none" w:sz="0" w:space="0" w:color="auto"/>
      </w:divBdr>
    </w:div>
    <w:div w:id="107967153">
      <w:bodyDiv w:val="1"/>
      <w:marLeft w:val="0"/>
      <w:marRight w:val="0"/>
      <w:marTop w:val="0"/>
      <w:marBottom w:val="0"/>
      <w:divBdr>
        <w:top w:val="none" w:sz="0" w:space="0" w:color="auto"/>
        <w:left w:val="none" w:sz="0" w:space="0" w:color="auto"/>
        <w:bottom w:val="none" w:sz="0" w:space="0" w:color="auto"/>
        <w:right w:val="none" w:sz="0" w:space="0" w:color="auto"/>
      </w:divBdr>
    </w:div>
    <w:div w:id="119418290">
      <w:bodyDiv w:val="1"/>
      <w:marLeft w:val="0"/>
      <w:marRight w:val="0"/>
      <w:marTop w:val="0"/>
      <w:marBottom w:val="0"/>
      <w:divBdr>
        <w:top w:val="none" w:sz="0" w:space="0" w:color="auto"/>
        <w:left w:val="none" w:sz="0" w:space="0" w:color="auto"/>
        <w:bottom w:val="none" w:sz="0" w:space="0" w:color="auto"/>
        <w:right w:val="none" w:sz="0" w:space="0" w:color="auto"/>
      </w:divBdr>
    </w:div>
    <w:div w:id="154883631">
      <w:bodyDiv w:val="1"/>
      <w:marLeft w:val="0"/>
      <w:marRight w:val="0"/>
      <w:marTop w:val="0"/>
      <w:marBottom w:val="0"/>
      <w:divBdr>
        <w:top w:val="none" w:sz="0" w:space="0" w:color="auto"/>
        <w:left w:val="none" w:sz="0" w:space="0" w:color="auto"/>
        <w:bottom w:val="none" w:sz="0" w:space="0" w:color="auto"/>
        <w:right w:val="none" w:sz="0" w:space="0" w:color="auto"/>
      </w:divBdr>
    </w:div>
    <w:div w:id="176769280">
      <w:bodyDiv w:val="1"/>
      <w:marLeft w:val="0"/>
      <w:marRight w:val="0"/>
      <w:marTop w:val="0"/>
      <w:marBottom w:val="0"/>
      <w:divBdr>
        <w:top w:val="none" w:sz="0" w:space="0" w:color="auto"/>
        <w:left w:val="none" w:sz="0" w:space="0" w:color="auto"/>
        <w:bottom w:val="none" w:sz="0" w:space="0" w:color="auto"/>
        <w:right w:val="none" w:sz="0" w:space="0" w:color="auto"/>
      </w:divBdr>
      <w:divsChild>
        <w:div w:id="276183204">
          <w:marLeft w:val="0"/>
          <w:marRight w:val="0"/>
          <w:marTop w:val="0"/>
          <w:marBottom w:val="0"/>
          <w:divBdr>
            <w:top w:val="single" w:sz="2" w:space="0" w:color="4E4E4E"/>
            <w:left w:val="single" w:sz="2" w:space="0" w:color="4E4E4E"/>
            <w:bottom w:val="single" w:sz="2" w:space="0" w:color="4E4E4E"/>
            <w:right w:val="single" w:sz="2" w:space="0" w:color="4E4E4E"/>
          </w:divBdr>
          <w:divsChild>
            <w:div w:id="1129974999">
              <w:marLeft w:val="0"/>
              <w:marRight w:val="0"/>
              <w:marTop w:val="0"/>
              <w:marBottom w:val="180"/>
              <w:divBdr>
                <w:top w:val="single" w:sz="2" w:space="0" w:color="4E4E4E"/>
                <w:left w:val="single" w:sz="2" w:space="0" w:color="4E4E4E"/>
                <w:bottom w:val="single" w:sz="2" w:space="0" w:color="4E4E4E"/>
                <w:right w:val="single" w:sz="2" w:space="0" w:color="4E4E4E"/>
              </w:divBdr>
              <w:divsChild>
                <w:div w:id="202837602">
                  <w:marLeft w:val="0"/>
                  <w:marRight w:val="0"/>
                  <w:marTop w:val="0"/>
                  <w:marBottom w:val="0"/>
                  <w:divBdr>
                    <w:top w:val="single" w:sz="2" w:space="0" w:color="4E4E4E"/>
                    <w:left w:val="single" w:sz="2" w:space="0" w:color="4E4E4E"/>
                    <w:bottom w:val="single" w:sz="2" w:space="0" w:color="4E4E4E"/>
                    <w:right w:val="single" w:sz="2" w:space="0" w:color="4E4E4E"/>
                  </w:divBdr>
                  <w:divsChild>
                    <w:div w:id="1851407114">
                      <w:marLeft w:val="0"/>
                      <w:marRight w:val="0"/>
                      <w:marTop w:val="0"/>
                      <w:marBottom w:val="0"/>
                      <w:divBdr>
                        <w:top w:val="single" w:sz="2" w:space="0" w:color="4E4E4E"/>
                        <w:left w:val="single" w:sz="2" w:space="3" w:color="4E4E4E"/>
                        <w:bottom w:val="single" w:sz="2" w:space="0" w:color="4E4E4E"/>
                        <w:right w:val="single" w:sz="2" w:space="0" w:color="4E4E4E"/>
                      </w:divBdr>
                      <w:divsChild>
                        <w:div w:id="1024090542">
                          <w:marLeft w:val="0"/>
                          <w:marRight w:val="0"/>
                          <w:marTop w:val="0"/>
                          <w:marBottom w:val="0"/>
                          <w:divBdr>
                            <w:top w:val="single" w:sz="2" w:space="0" w:color="4E4E4E"/>
                            <w:left w:val="single" w:sz="2" w:space="0" w:color="4E4E4E"/>
                            <w:bottom w:val="single" w:sz="2" w:space="0" w:color="4E4E4E"/>
                            <w:right w:val="single" w:sz="2" w:space="0" w:color="4E4E4E"/>
                          </w:divBdr>
                          <w:divsChild>
                            <w:div w:id="1867138311">
                              <w:marLeft w:val="0"/>
                              <w:marRight w:val="0"/>
                              <w:marTop w:val="0"/>
                              <w:marBottom w:val="0"/>
                              <w:divBdr>
                                <w:top w:val="single" w:sz="2" w:space="0" w:color="4E4E4E"/>
                                <w:left w:val="single" w:sz="2" w:space="0" w:color="4E4E4E"/>
                                <w:bottom w:val="single" w:sz="2" w:space="0" w:color="4E4E4E"/>
                                <w:right w:val="single" w:sz="2" w:space="0" w:color="4E4E4E"/>
                              </w:divBdr>
                              <w:divsChild>
                                <w:div w:id="1851487807">
                                  <w:marLeft w:val="0"/>
                                  <w:marRight w:val="0"/>
                                  <w:marTop w:val="0"/>
                                  <w:marBottom w:val="0"/>
                                  <w:divBdr>
                                    <w:top w:val="single" w:sz="2" w:space="0" w:color="4E4E4E"/>
                                    <w:left w:val="single" w:sz="2" w:space="0" w:color="4E4E4E"/>
                                    <w:bottom w:val="single" w:sz="2" w:space="0" w:color="4E4E4E"/>
                                    <w:right w:val="single" w:sz="2" w:space="0" w:color="4E4E4E"/>
                                  </w:divBdr>
                                  <w:divsChild>
                                    <w:div w:id="1299142011">
                                      <w:marLeft w:val="0"/>
                                      <w:marRight w:val="0"/>
                                      <w:marTop w:val="0"/>
                                      <w:marBottom w:val="0"/>
                                      <w:divBdr>
                                        <w:top w:val="single" w:sz="2" w:space="0" w:color="4E4E4E"/>
                                        <w:left w:val="single" w:sz="2" w:space="0" w:color="4E4E4E"/>
                                        <w:bottom w:val="single" w:sz="2" w:space="0" w:color="4E4E4E"/>
                                        <w:right w:val="single" w:sz="2" w:space="0" w:color="4E4E4E"/>
                                      </w:divBdr>
                                      <w:divsChild>
                                        <w:div w:id="1641960863">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258222013">
      <w:bodyDiv w:val="1"/>
      <w:marLeft w:val="0"/>
      <w:marRight w:val="0"/>
      <w:marTop w:val="0"/>
      <w:marBottom w:val="0"/>
      <w:divBdr>
        <w:top w:val="none" w:sz="0" w:space="0" w:color="auto"/>
        <w:left w:val="none" w:sz="0" w:space="0" w:color="auto"/>
        <w:bottom w:val="none" w:sz="0" w:space="0" w:color="auto"/>
        <w:right w:val="none" w:sz="0" w:space="0" w:color="auto"/>
      </w:divBdr>
    </w:div>
    <w:div w:id="268122687">
      <w:bodyDiv w:val="1"/>
      <w:marLeft w:val="0"/>
      <w:marRight w:val="0"/>
      <w:marTop w:val="0"/>
      <w:marBottom w:val="0"/>
      <w:divBdr>
        <w:top w:val="none" w:sz="0" w:space="0" w:color="auto"/>
        <w:left w:val="none" w:sz="0" w:space="0" w:color="auto"/>
        <w:bottom w:val="none" w:sz="0" w:space="0" w:color="auto"/>
        <w:right w:val="none" w:sz="0" w:space="0" w:color="auto"/>
      </w:divBdr>
    </w:div>
    <w:div w:id="307981822">
      <w:bodyDiv w:val="1"/>
      <w:marLeft w:val="0"/>
      <w:marRight w:val="0"/>
      <w:marTop w:val="0"/>
      <w:marBottom w:val="0"/>
      <w:divBdr>
        <w:top w:val="none" w:sz="0" w:space="0" w:color="auto"/>
        <w:left w:val="none" w:sz="0" w:space="0" w:color="auto"/>
        <w:bottom w:val="none" w:sz="0" w:space="0" w:color="auto"/>
        <w:right w:val="none" w:sz="0" w:space="0" w:color="auto"/>
      </w:divBdr>
    </w:div>
    <w:div w:id="319772469">
      <w:bodyDiv w:val="1"/>
      <w:marLeft w:val="0"/>
      <w:marRight w:val="0"/>
      <w:marTop w:val="0"/>
      <w:marBottom w:val="0"/>
      <w:divBdr>
        <w:top w:val="none" w:sz="0" w:space="0" w:color="auto"/>
        <w:left w:val="none" w:sz="0" w:space="0" w:color="auto"/>
        <w:bottom w:val="none" w:sz="0" w:space="0" w:color="auto"/>
        <w:right w:val="none" w:sz="0" w:space="0" w:color="auto"/>
      </w:divBdr>
    </w:div>
    <w:div w:id="383793585">
      <w:bodyDiv w:val="1"/>
      <w:marLeft w:val="0"/>
      <w:marRight w:val="0"/>
      <w:marTop w:val="0"/>
      <w:marBottom w:val="0"/>
      <w:divBdr>
        <w:top w:val="none" w:sz="0" w:space="0" w:color="auto"/>
        <w:left w:val="none" w:sz="0" w:space="0" w:color="auto"/>
        <w:bottom w:val="none" w:sz="0" w:space="0" w:color="auto"/>
        <w:right w:val="none" w:sz="0" w:space="0" w:color="auto"/>
      </w:divBdr>
    </w:div>
    <w:div w:id="435253661">
      <w:bodyDiv w:val="1"/>
      <w:marLeft w:val="0"/>
      <w:marRight w:val="0"/>
      <w:marTop w:val="0"/>
      <w:marBottom w:val="0"/>
      <w:divBdr>
        <w:top w:val="none" w:sz="0" w:space="0" w:color="auto"/>
        <w:left w:val="none" w:sz="0" w:space="0" w:color="auto"/>
        <w:bottom w:val="none" w:sz="0" w:space="0" w:color="auto"/>
        <w:right w:val="none" w:sz="0" w:space="0" w:color="auto"/>
      </w:divBdr>
    </w:div>
    <w:div w:id="456685151">
      <w:bodyDiv w:val="1"/>
      <w:marLeft w:val="0"/>
      <w:marRight w:val="0"/>
      <w:marTop w:val="0"/>
      <w:marBottom w:val="0"/>
      <w:divBdr>
        <w:top w:val="none" w:sz="0" w:space="0" w:color="auto"/>
        <w:left w:val="none" w:sz="0" w:space="0" w:color="auto"/>
        <w:bottom w:val="none" w:sz="0" w:space="0" w:color="auto"/>
        <w:right w:val="none" w:sz="0" w:space="0" w:color="auto"/>
      </w:divBdr>
    </w:div>
    <w:div w:id="479080501">
      <w:bodyDiv w:val="1"/>
      <w:marLeft w:val="0"/>
      <w:marRight w:val="0"/>
      <w:marTop w:val="0"/>
      <w:marBottom w:val="0"/>
      <w:divBdr>
        <w:top w:val="none" w:sz="0" w:space="0" w:color="auto"/>
        <w:left w:val="none" w:sz="0" w:space="0" w:color="auto"/>
        <w:bottom w:val="none" w:sz="0" w:space="0" w:color="auto"/>
        <w:right w:val="none" w:sz="0" w:space="0" w:color="auto"/>
      </w:divBdr>
    </w:div>
    <w:div w:id="480345893">
      <w:bodyDiv w:val="1"/>
      <w:marLeft w:val="0"/>
      <w:marRight w:val="0"/>
      <w:marTop w:val="0"/>
      <w:marBottom w:val="0"/>
      <w:divBdr>
        <w:top w:val="none" w:sz="0" w:space="0" w:color="auto"/>
        <w:left w:val="none" w:sz="0" w:space="0" w:color="auto"/>
        <w:bottom w:val="none" w:sz="0" w:space="0" w:color="auto"/>
        <w:right w:val="none" w:sz="0" w:space="0" w:color="auto"/>
      </w:divBdr>
    </w:div>
    <w:div w:id="493569571">
      <w:bodyDiv w:val="1"/>
      <w:marLeft w:val="0"/>
      <w:marRight w:val="0"/>
      <w:marTop w:val="0"/>
      <w:marBottom w:val="0"/>
      <w:divBdr>
        <w:top w:val="none" w:sz="0" w:space="0" w:color="auto"/>
        <w:left w:val="none" w:sz="0" w:space="0" w:color="auto"/>
        <w:bottom w:val="none" w:sz="0" w:space="0" w:color="auto"/>
        <w:right w:val="none" w:sz="0" w:space="0" w:color="auto"/>
      </w:divBdr>
    </w:div>
    <w:div w:id="504830763">
      <w:bodyDiv w:val="1"/>
      <w:marLeft w:val="0"/>
      <w:marRight w:val="0"/>
      <w:marTop w:val="0"/>
      <w:marBottom w:val="0"/>
      <w:divBdr>
        <w:top w:val="none" w:sz="0" w:space="0" w:color="auto"/>
        <w:left w:val="none" w:sz="0" w:space="0" w:color="auto"/>
        <w:bottom w:val="none" w:sz="0" w:space="0" w:color="auto"/>
        <w:right w:val="none" w:sz="0" w:space="0" w:color="auto"/>
      </w:divBdr>
    </w:div>
    <w:div w:id="593899019">
      <w:bodyDiv w:val="1"/>
      <w:marLeft w:val="0"/>
      <w:marRight w:val="0"/>
      <w:marTop w:val="0"/>
      <w:marBottom w:val="0"/>
      <w:divBdr>
        <w:top w:val="none" w:sz="0" w:space="0" w:color="auto"/>
        <w:left w:val="none" w:sz="0" w:space="0" w:color="auto"/>
        <w:bottom w:val="none" w:sz="0" w:space="0" w:color="auto"/>
        <w:right w:val="none" w:sz="0" w:space="0" w:color="auto"/>
      </w:divBdr>
    </w:div>
    <w:div w:id="609900635">
      <w:bodyDiv w:val="1"/>
      <w:marLeft w:val="0"/>
      <w:marRight w:val="0"/>
      <w:marTop w:val="0"/>
      <w:marBottom w:val="0"/>
      <w:divBdr>
        <w:top w:val="none" w:sz="0" w:space="0" w:color="auto"/>
        <w:left w:val="none" w:sz="0" w:space="0" w:color="auto"/>
        <w:bottom w:val="none" w:sz="0" w:space="0" w:color="auto"/>
        <w:right w:val="none" w:sz="0" w:space="0" w:color="auto"/>
      </w:divBdr>
    </w:div>
    <w:div w:id="646396539">
      <w:bodyDiv w:val="1"/>
      <w:marLeft w:val="0"/>
      <w:marRight w:val="0"/>
      <w:marTop w:val="0"/>
      <w:marBottom w:val="0"/>
      <w:divBdr>
        <w:top w:val="none" w:sz="0" w:space="0" w:color="auto"/>
        <w:left w:val="none" w:sz="0" w:space="0" w:color="auto"/>
        <w:bottom w:val="none" w:sz="0" w:space="0" w:color="auto"/>
        <w:right w:val="none" w:sz="0" w:space="0" w:color="auto"/>
      </w:divBdr>
    </w:div>
    <w:div w:id="669210630">
      <w:bodyDiv w:val="1"/>
      <w:marLeft w:val="0"/>
      <w:marRight w:val="0"/>
      <w:marTop w:val="0"/>
      <w:marBottom w:val="0"/>
      <w:divBdr>
        <w:top w:val="none" w:sz="0" w:space="0" w:color="auto"/>
        <w:left w:val="none" w:sz="0" w:space="0" w:color="auto"/>
        <w:bottom w:val="none" w:sz="0" w:space="0" w:color="auto"/>
        <w:right w:val="none" w:sz="0" w:space="0" w:color="auto"/>
      </w:divBdr>
    </w:div>
    <w:div w:id="677385253">
      <w:bodyDiv w:val="1"/>
      <w:marLeft w:val="0"/>
      <w:marRight w:val="0"/>
      <w:marTop w:val="0"/>
      <w:marBottom w:val="0"/>
      <w:divBdr>
        <w:top w:val="none" w:sz="0" w:space="0" w:color="auto"/>
        <w:left w:val="none" w:sz="0" w:space="0" w:color="auto"/>
        <w:bottom w:val="none" w:sz="0" w:space="0" w:color="auto"/>
        <w:right w:val="none" w:sz="0" w:space="0" w:color="auto"/>
      </w:divBdr>
    </w:div>
    <w:div w:id="698705970">
      <w:bodyDiv w:val="1"/>
      <w:marLeft w:val="0"/>
      <w:marRight w:val="0"/>
      <w:marTop w:val="0"/>
      <w:marBottom w:val="0"/>
      <w:divBdr>
        <w:top w:val="none" w:sz="0" w:space="0" w:color="auto"/>
        <w:left w:val="none" w:sz="0" w:space="0" w:color="auto"/>
        <w:bottom w:val="none" w:sz="0" w:space="0" w:color="auto"/>
        <w:right w:val="none" w:sz="0" w:space="0" w:color="auto"/>
      </w:divBdr>
    </w:div>
    <w:div w:id="743992122">
      <w:bodyDiv w:val="1"/>
      <w:marLeft w:val="0"/>
      <w:marRight w:val="0"/>
      <w:marTop w:val="0"/>
      <w:marBottom w:val="0"/>
      <w:divBdr>
        <w:top w:val="none" w:sz="0" w:space="0" w:color="auto"/>
        <w:left w:val="none" w:sz="0" w:space="0" w:color="auto"/>
        <w:bottom w:val="none" w:sz="0" w:space="0" w:color="auto"/>
        <w:right w:val="none" w:sz="0" w:space="0" w:color="auto"/>
      </w:divBdr>
    </w:div>
    <w:div w:id="776876224">
      <w:bodyDiv w:val="1"/>
      <w:marLeft w:val="0"/>
      <w:marRight w:val="0"/>
      <w:marTop w:val="0"/>
      <w:marBottom w:val="0"/>
      <w:divBdr>
        <w:top w:val="none" w:sz="0" w:space="0" w:color="auto"/>
        <w:left w:val="none" w:sz="0" w:space="0" w:color="auto"/>
        <w:bottom w:val="none" w:sz="0" w:space="0" w:color="auto"/>
        <w:right w:val="none" w:sz="0" w:space="0" w:color="auto"/>
      </w:divBdr>
    </w:div>
    <w:div w:id="826753139">
      <w:bodyDiv w:val="1"/>
      <w:marLeft w:val="0"/>
      <w:marRight w:val="0"/>
      <w:marTop w:val="0"/>
      <w:marBottom w:val="0"/>
      <w:divBdr>
        <w:top w:val="none" w:sz="0" w:space="0" w:color="auto"/>
        <w:left w:val="none" w:sz="0" w:space="0" w:color="auto"/>
        <w:bottom w:val="none" w:sz="0" w:space="0" w:color="auto"/>
        <w:right w:val="none" w:sz="0" w:space="0" w:color="auto"/>
      </w:divBdr>
    </w:div>
    <w:div w:id="827861977">
      <w:bodyDiv w:val="1"/>
      <w:marLeft w:val="0"/>
      <w:marRight w:val="0"/>
      <w:marTop w:val="0"/>
      <w:marBottom w:val="0"/>
      <w:divBdr>
        <w:top w:val="none" w:sz="0" w:space="0" w:color="auto"/>
        <w:left w:val="none" w:sz="0" w:space="0" w:color="auto"/>
        <w:bottom w:val="none" w:sz="0" w:space="0" w:color="auto"/>
        <w:right w:val="none" w:sz="0" w:space="0" w:color="auto"/>
      </w:divBdr>
    </w:div>
    <w:div w:id="835153234">
      <w:bodyDiv w:val="1"/>
      <w:marLeft w:val="0"/>
      <w:marRight w:val="0"/>
      <w:marTop w:val="0"/>
      <w:marBottom w:val="0"/>
      <w:divBdr>
        <w:top w:val="none" w:sz="0" w:space="0" w:color="auto"/>
        <w:left w:val="none" w:sz="0" w:space="0" w:color="auto"/>
        <w:bottom w:val="none" w:sz="0" w:space="0" w:color="auto"/>
        <w:right w:val="none" w:sz="0" w:space="0" w:color="auto"/>
      </w:divBdr>
    </w:div>
    <w:div w:id="835924211">
      <w:bodyDiv w:val="1"/>
      <w:marLeft w:val="0"/>
      <w:marRight w:val="0"/>
      <w:marTop w:val="0"/>
      <w:marBottom w:val="0"/>
      <w:divBdr>
        <w:top w:val="none" w:sz="0" w:space="0" w:color="auto"/>
        <w:left w:val="none" w:sz="0" w:space="0" w:color="auto"/>
        <w:bottom w:val="none" w:sz="0" w:space="0" w:color="auto"/>
        <w:right w:val="none" w:sz="0" w:space="0" w:color="auto"/>
      </w:divBdr>
    </w:div>
    <w:div w:id="836843969">
      <w:bodyDiv w:val="1"/>
      <w:marLeft w:val="0"/>
      <w:marRight w:val="0"/>
      <w:marTop w:val="0"/>
      <w:marBottom w:val="0"/>
      <w:divBdr>
        <w:top w:val="none" w:sz="0" w:space="0" w:color="auto"/>
        <w:left w:val="none" w:sz="0" w:space="0" w:color="auto"/>
        <w:bottom w:val="none" w:sz="0" w:space="0" w:color="auto"/>
        <w:right w:val="none" w:sz="0" w:space="0" w:color="auto"/>
      </w:divBdr>
    </w:div>
    <w:div w:id="857743615">
      <w:bodyDiv w:val="1"/>
      <w:marLeft w:val="0"/>
      <w:marRight w:val="0"/>
      <w:marTop w:val="0"/>
      <w:marBottom w:val="0"/>
      <w:divBdr>
        <w:top w:val="none" w:sz="0" w:space="0" w:color="auto"/>
        <w:left w:val="none" w:sz="0" w:space="0" w:color="auto"/>
        <w:bottom w:val="none" w:sz="0" w:space="0" w:color="auto"/>
        <w:right w:val="none" w:sz="0" w:space="0" w:color="auto"/>
      </w:divBdr>
    </w:div>
    <w:div w:id="858085170">
      <w:bodyDiv w:val="1"/>
      <w:marLeft w:val="0"/>
      <w:marRight w:val="0"/>
      <w:marTop w:val="0"/>
      <w:marBottom w:val="0"/>
      <w:divBdr>
        <w:top w:val="none" w:sz="0" w:space="0" w:color="auto"/>
        <w:left w:val="none" w:sz="0" w:space="0" w:color="auto"/>
        <w:bottom w:val="none" w:sz="0" w:space="0" w:color="auto"/>
        <w:right w:val="none" w:sz="0" w:space="0" w:color="auto"/>
      </w:divBdr>
    </w:div>
    <w:div w:id="870071217">
      <w:bodyDiv w:val="1"/>
      <w:marLeft w:val="0"/>
      <w:marRight w:val="0"/>
      <w:marTop w:val="0"/>
      <w:marBottom w:val="0"/>
      <w:divBdr>
        <w:top w:val="none" w:sz="0" w:space="0" w:color="auto"/>
        <w:left w:val="none" w:sz="0" w:space="0" w:color="auto"/>
        <w:bottom w:val="none" w:sz="0" w:space="0" w:color="auto"/>
        <w:right w:val="none" w:sz="0" w:space="0" w:color="auto"/>
      </w:divBdr>
    </w:div>
    <w:div w:id="878786086">
      <w:bodyDiv w:val="1"/>
      <w:marLeft w:val="0"/>
      <w:marRight w:val="0"/>
      <w:marTop w:val="0"/>
      <w:marBottom w:val="0"/>
      <w:divBdr>
        <w:top w:val="none" w:sz="0" w:space="0" w:color="auto"/>
        <w:left w:val="none" w:sz="0" w:space="0" w:color="auto"/>
        <w:bottom w:val="none" w:sz="0" w:space="0" w:color="auto"/>
        <w:right w:val="none" w:sz="0" w:space="0" w:color="auto"/>
      </w:divBdr>
    </w:div>
    <w:div w:id="892235754">
      <w:bodyDiv w:val="1"/>
      <w:marLeft w:val="0"/>
      <w:marRight w:val="0"/>
      <w:marTop w:val="0"/>
      <w:marBottom w:val="0"/>
      <w:divBdr>
        <w:top w:val="none" w:sz="0" w:space="0" w:color="auto"/>
        <w:left w:val="none" w:sz="0" w:space="0" w:color="auto"/>
        <w:bottom w:val="none" w:sz="0" w:space="0" w:color="auto"/>
        <w:right w:val="none" w:sz="0" w:space="0" w:color="auto"/>
      </w:divBdr>
    </w:div>
    <w:div w:id="905065186">
      <w:bodyDiv w:val="1"/>
      <w:marLeft w:val="0"/>
      <w:marRight w:val="0"/>
      <w:marTop w:val="0"/>
      <w:marBottom w:val="0"/>
      <w:divBdr>
        <w:top w:val="none" w:sz="0" w:space="0" w:color="auto"/>
        <w:left w:val="none" w:sz="0" w:space="0" w:color="auto"/>
        <w:bottom w:val="none" w:sz="0" w:space="0" w:color="auto"/>
        <w:right w:val="none" w:sz="0" w:space="0" w:color="auto"/>
      </w:divBdr>
    </w:div>
    <w:div w:id="918245282">
      <w:bodyDiv w:val="1"/>
      <w:marLeft w:val="0"/>
      <w:marRight w:val="0"/>
      <w:marTop w:val="0"/>
      <w:marBottom w:val="0"/>
      <w:divBdr>
        <w:top w:val="none" w:sz="0" w:space="0" w:color="auto"/>
        <w:left w:val="none" w:sz="0" w:space="0" w:color="auto"/>
        <w:bottom w:val="none" w:sz="0" w:space="0" w:color="auto"/>
        <w:right w:val="none" w:sz="0" w:space="0" w:color="auto"/>
      </w:divBdr>
    </w:div>
    <w:div w:id="951280471">
      <w:bodyDiv w:val="1"/>
      <w:marLeft w:val="0"/>
      <w:marRight w:val="0"/>
      <w:marTop w:val="0"/>
      <w:marBottom w:val="0"/>
      <w:divBdr>
        <w:top w:val="none" w:sz="0" w:space="0" w:color="auto"/>
        <w:left w:val="none" w:sz="0" w:space="0" w:color="auto"/>
        <w:bottom w:val="none" w:sz="0" w:space="0" w:color="auto"/>
        <w:right w:val="none" w:sz="0" w:space="0" w:color="auto"/>
      </w:divBdr>
    </w:div>
    <w:div w:id="997270370">
      <w:bodyDiv w:val="1"/>
      <w:marLeft w:val="0"/>
      <w:marRight w:val="0"/>
      <w:marTop w:val="0"/>
      <w:marBottom w:val="0"/>
      <w:divBdr>
        <w:top w:val="none" w:sz="0" w:space="0" w:color="auto"/>
        <w:left w:val="none" w:sz="0" w:space="0" w:color="auto"/>
        <w:bottom w:val="none" w:sz="0" w:space="0" w:color="auto"/>
        <w:right w:val="none" w:sz="0" w:space="0" w:color="auto"/>
      </w:divBdr>
    </w:div>
    <w:div w:id="1052271338">
      <w:bodyDiv w:val="1"/>
      <w:marLeft w:val="0"/>
      <w:marRight w:val="0"/>
      <w:marTop w:val="0"/>
      <w:marBottom w:val="0"/>
      <w:divBdr>
        <w:top w:val="none" w:sz="0" w:space="0" w:color="auto"/>
        <w:left w:val="none" w:sz="0" w:space="0" w:color="auto"/>
        <w:bottom w:val="none" w:sz="0" w:space="0" w:color="auto"/>
        <w:right w:val="none" w:sz="0" w:space="0" w:color="auto"/>
      </w:divBdr>
    </w:div>
    <w:div w:id="1072459919">
      <w:bodyDiv w:val="1"/>
      <w:marLeft w:val="0"/>
      <w:marRight w:val="0"/>
      <w:marTop w:val="0"/>
      <w:marBottom w:val="0"/>
      <w:divBdr>
        <w:top w:val="none" w:sz="0" w:space="0" w:color="auto"/>
        <w:left w:val="none" w:sz="0" w:space="0" w:color="auto"/>
        <w:bottom w:val="none" w:sz="0" w:space="0" w:color="auto"/>
        <w:right w:val="none" w:sz="0" w:space="0" w:color="auto"/>
      </w:divBdr>
    </w:div>
    <w:div w:id="1081029648">
      <w:bodyDiv w:val="1"/>
      <w:marLeft w:val="0"/>
      <w:marRight w:val="0"/>
      <w:marTop w:val="0"/>
      <w:marBottom w:val="0"/>
      <w:divBdr>
        <w:top w:val="none" w:sz="0" w:space="0" w:color="auto"/>
        <w:left w:val="none" w:sz="0" w:space="0" w:color="auto"/>
        <w:bottom w:val="none" w:sz="0" w:space="0" w:color="auto"/>
        <w:right w:val="none" w:sz="0" w:space="0" w:color="auto"/>
      </w:divBdr>
    </w:div>
    <w:div w:id="1092513596">
      <w:bodyDiv w:val="1"/>
      <w:marLeft w:val="0"/>
      <w:marRight w:val="0"/>
      <w:marTop w:val="0"/>
      <w:marBottom w:val="0"/>
      <w:divBdr>
        <w:top w:val="none" w:sz="0" w:space="0" w:color="auto"/>
        <w:left w:val="none" w:sz="0" w:space="0" w:color="auto"/>
        <w:bottom w:val="none" w:sz="0" w:space="0" w:color="auto"/>
        <w:right w:val="none" w:sz="0" w:space="0" w:color="auto"/>
      </w:divBdr>
    </w:div>
    <w:div w:id="1129125547">
      <w:bodyDiv w:val="1"/>
      <w:marLeft w:val="0"/>
      <w:marRight w:val="0"/>
      <w:marTop w:val="0"/>
      <w:marBottom w:val="0"/>
      <w:divBdr>
        <w:top w:val="none" w:sz="0" w:space="0" w:color="auto"/>
        <w:left w:val="none" w:sz="0" w:space="0" w:color="auto"/>
        <w:bottom w:val="none" w:sz="0" w:space="0" w:color="auto"/>
        <w:right w:val="none" w:sz="0" w:space="0" w:color="auto"/>
      </w:divBdr>
    </w:div>
    <w:div w:id="1135948625">
      <w:bodyDiv w:val="1"/>
      <w:marLeft w:val="0"/>
      <w:marRight w:val="0"/>
      <w:marTop w:val="0"/>
      <w:marBottom w:val="0"/>
      <w:divBdr>
        <w:top w:val="none" w:sz="0" w:space="0" w:color="auto"/>
        <w:left w:val="none" w:sz="0" w:space="0" w:color="auto"/>
        <w:bottom w:val="none" w:sz="0" w:space="0" w:color="auto"/>
        <w:right w:val="none" w:sz="0" w:space="0" w:color="auto"/>
      </w:divBdr>
    </w:div>
    <w:div w:id="1136947805">
      <w:bodyDiv w:val="1"/>
      <w:marLeft w:val="0"/>
      <w:marRight w:val="0"/>
      <w:marTop w:val="0"/>
      <w:marBottom w:val="0"/>
      <w:divBdr>
        <w:top w:val="none" w:sz="0" w:space="0" w:color="auto"/>
        <w:left w:val="none" w:sz="0" w:space="0" w:color="auto"/>
        <w:bottom w:val="none" w:sz="0" w:space="0" w:color="auto"/>
        <w:right w:val="none" w:sz="0" w:space="0" w:color="auto"/>
      </w:divBdr>
    </w:div>
    <w:div w:id="1172060776">
      <w:bodyDiv w:val="1"/>
      <w:marLeft w:val="0"/>
      <w:marRight w:val="0"/>
      <w:marTop w:val="0"/>
      <w:marBottom w:val="0"/>
      <w:divBdr>
        <w:top w:val="none" w:sz="0" w:space="0" w:color="auto"/>
        <w:left w:val="none" w:sz="0" w:space="0" w:color="auto"/>
        <w:bottom w:val="none" w:sz="0" w:space="0" w:color="auto"/>
        <w:right w:val="none" w:sz="0" w:space="0" w:color="auto"/>
      </w:divBdr>
    </w:div>
    <w:div w:id="1212422674">
      <w:bodyDiv w:val="1"/>
      <w:marLeft w:val="0"/>
      <w:marRight w:val="0"/>
      <w:marTop w:val="0"/>
      <w:marBottom w:val="0"/>
      <w:divBdr>
        <w:top w:val="none" w:sz="0" w:space="0" w:color="auto"/>
        <w:left w:val="none" w:sz="0" w:space="0" w:color="auto"/>
        <w:bottom w:val="none" w:sz="0" w:space="0" w:color="auto"/>
        <w:right w:val="none" w:sz="0" w:space="0" w:color="auto"/>
      </w:divBdr>
    </w:div>
    <w:div w:id="1246183240">
      <w:bodyDiv w:val="1"/>
      <w:marLeft w:val="0"/>
      <w:marRight w:val="0"/>
      <w:marTop w:val="0"/>
      <w:marBottom w:val="0"/>
      <w:divBdr>
        <w:top w:val="none" w:sz="0" w:space="0" w:color="auto"/>
        <w:left w:val="none" w:sz="0" w:space="0" w:color="auto"/>
        <w:bottom w:val="none" w:sz="0" w:space="0" w:color="auto"/>
        <w:right w:val="none" w:sz="0" w:space="0" w:color="auto"/>
      </w:divBdr>
    </w:div>
    <w:div w:id="1272784083">
      <w:bodyDiv w:val="1"/>
      <w:marLeft w:val="0"/>
      <w:marRight w:val="0"/>
      <w:marTop w:val="0"/>
      <w:marBottom w:val="0"/>
      <w:divBdr>
        <w:top w:val="none" w:sz="0" w:space="0" w:color="auto"/>
        <w:left w:val="none" w:sz="0" w:space="0" w:color="auto"/>
        <w:bottom w:val="none" w:sz="0" w:space="0" w:color="auto"/>
        <w:right w:val="none" w:sz="0" w:space="0" w:color="auto"/>
      </w:divBdr>
    </w:div>
    <w:div w:id="1275285611">
      <w:bodyDiv w:val="1"/>
      <w:marLeft w:val="0"/>
      <w:marRight w:val="0"/>
      <w:marTop w:val="0"/>
      <w:marBottom w:val="0"/>
      <w:divBdr>
        <w:top w:val="none" w:sz="0" w:space="0" w:color="auto"/>
        <w:left w:val="none" w:sz="0" w:space="0" w:color="auto"/>
        <w:bottom w:val="none" w:sz="0" w:space="0" w:color="auto"/>
        <w:right w:val="none" w:sz="0" w:space="0" w:color="auto"/>
      </w:divBdr>
    </w:div>
    <w:div w:id="1295481301">
      <w:bodyDiv w:val="1"/>
      <w:marLeft w:val="0"/>
      <w:marRight w:val="0"/>
      <w:marTop w:val="0"/>
      <w:marBottom w:val="0"/>
      <w:divBdr>
        <w:top w:val="none" w:sz="0" w:space="0" w:color="auto"/>
        <w:left w:val="none" w:sz="0" w:space="0" w:color="auto"/>
        <w:bottom w:val="none" w:sz="0" w:space="0" w:color="auto"/>
        <w:right w:val="none" w:sz="0" w:space="0" w:color="auto"/>
      </w:divBdr>
    </w:div>
    <w:div w:id="1333073069">
      <w:bodyDiv w:val="1"/>
      <w:marLeft w:val="0"/>
      <w:marRight w:val="0"/>
      <w:marTop w:val="0"/>
      <w:marBottom w:val="0"/>
      <w:divBdr>
        <w:top w:val="none" w:sz="0" w:space="0" w:color="auto"/>
        <w:left w:val="none" w:sz="0" w:space="0" w:color="auto"/>
        <w:bottom w:val="none" w:sz="0" w:space="0" w:color="auto"/>
        <w:right w:val="none" w:sz="0" w:space="0" w:color="auto"/>
      </w:divBdr>
    </w:div>
    <w:div w:id="1342314322">
      <w:bodyDiv w:val="1"/>
      <w:marLeft w:val="0"/>
      <w:marRight w:val="0"/>
      <w:marTop w:val="0"/>
      <w:marBottom w:val="0"/>
      <w:divBdr>
        <w:top w:val="none" w:sz="0" w:space="0" w:color="auto"/>
        <w:left w:val="none" w:sz="0" w:space="0" w:color="auto"/>
        <w:bottom w:val="none" w:sz="0" w:space="0" w:color="auto"/>
        <w:right w:val="none" w:sz="0" w:space="0" w:color="auto"/>
      </w:divBdr>
    </w:div>
    <w:div w:id="1351487970">
      <w:bodyDiv w:val="1"/>
      <w:marLeft w:val="0"/>
      <w:marRight w:val="0"/>
      <w:marTop w:val="0"/>
      <w:marBottom w:val="0"/>
      <w:divBdr>
        <w:top w:val="none" w:sz="0" w:space="0" w:color="auto"/>
        <w:left w:val="none" w:sz="0" w:space="0" w:color="auto"/>
        <w:bottom w:val="none" w:sz="0" w:space="0" w:color="auto"/>
        <w:right w:val="none" w:sz="0" w:space="0" w:color="auto"/>
      </w:divBdr>
    </w:div>
    <w:div w:id="1356342235">
      <w:bodyDiv w:val="1"/>
      <w:marLeft w:val="0"/>
      <w:marRight w:val="0"/>
      <w:marTop w:val="0"/>
      <w:marBottom w:val="0"/>
      <w:divBdr>
        <w:top w:val="none" w:sz="0" w:space="0" w:color="auto"/>
        <w:left w:val="none" w:sz="0" w:space="0" w:color="auto"/>
        <w:bottom w:val="none" w:sz="0" w:space="0" w:color="auto"/>
        <w:right w:val="none" w:sz="0" w:space="0" w:color="auto"/>
      </w:divBdr>
    </w:div>
    <w:div w:id="1366908048">
      <w:bodyDiv w:val="1"/>
      <w:marLeft w:val="0"/>
      <w:marRight w:val="0"/>
      <w:marTop w:val="0"/>
      <w:marBottom w:val="0"/>
      <w:divBdr>
        <w:top w:val="none" w:sz="0" w:space="0" w:color="auto"/>
        <w:left w:val="none" w:sz="0" w:space="0" w:color="auto"/>
        <w:bottom w:val="none" w:sz="0" w:space="0" w:color="auto"/>
        <w:right w:val="none" w:sz="0" w:space="0" w:color="auto"/>
      </w:divBdr>
    </w:div>
    <w:div w:id="1373460793">
      <w:bodyDiv w:val="1"/>
      <w:marLeft w:val="0"/>
      <w:marRight w:val="0"/>
      <w:marTop w:val="0"/>
      <w:marBottom w:val="0"/>
      <w:divBdr>
        <w:top w:val="none" w:sz="0" w:space="0" w:color="auto"/>
        <w:left w:val="none" w:sz="0" w:space="0" w:color="auto"/>
        <w:bottom w:val="none" w:sz="0" w:space="0" w:color="auto"/>
        <w:right w:val="none" w:sz="0" w:space="0" w:color="auto"/>
      </w:divBdr>
    </w:div>
    <w:div w:id="1391920965">
      <w:bodyDiv w:val="1"/>
      <w:marLeft w:val="0"/>
      <w:marRight w:val="0"/>
      <w:marTop w:val="0"/>
      <w:marBottom w:val="0"/>
      <w:divBdr>
        <w:top w:val="none" w:sz="0" w:space="0" w:color="auto"/>
        <w:left w:val="none" w:sz="0" w:space="0" w:color="auto"/>
        <w:bottom w:val="none" w:sz="0" w:space="0" w:color="auto"/>
        <w:right w:val="none" w:sz="0" w:space="0" w:color="auto"/>
      </w:divBdr>
    </w:div>
    <w:div w:id="1416633945">
      <w:bodyDiv w:val="1"/>
      <w:marLeft w:val="0"/>
      <w:marRight w:val="0"/>
      <w:marTop w:val="0"/>
      <w:marBottom w:val="0"/>
      <w:divBdr>
        <w:top w:val="none" w:sz="0" w:space="0" w:color="auto"/>
        <w:left w:val="none" w:sz="0" w:space="0" w:color="auto"/>
        <w:bottom w:val="none" w:sz="0" w:space="0" w:color="auto"/>
        <w:right w:val="none" w:sz="0" w:space="0" w:color="auto"/>
      </w:divBdr>
    </w:div>
    <w:div w:id="1444348626">
      <w:bodyDiv w:val="1"/>
      <w:marLeft w:val="0"/>
      <w:marRight w:val="0"/>
      <w:marTop w:val="0"/>
      <w:marBottom w:val="0"/>
      <w:divBdr>
        <w:top w:val="none" w:sz="0" w:space="0" w:color="auto"/>
        <w:left w:val="none" w:sz="0" w:space="0" w:color="auto"/>
        <w:bottom w:val="none" w:sz="0" w:space="0" w:color="auto"/>
        <w:right w:val="none" w:sz="0" w:space="0" w:color="auto"/>
      </w:divBdr>
    </w:div>
    <w:div w:id="1456755772">
      <w:bodyDiv w:val="1"/>
      <w:marLeft w:val="0"/>
      <w:marRight w:val="0"/>
      <w:marTop w:val="0"/>
      <w:marBottom w:val="0"/>
      <w:divBdr>
        <w:top w:val="none" w:sz="0" w:space="0" w:color="auto"/>
        <w:left w:val="none" w:sz="0" w:space="0" w:color="auto"/>
        <w:bottom w:val="none" w:sz="0" w:space="0" w:color="auto"/>
        <w:right w:val="none" w:sz="0" w:space="0" w:color="auto"/>
      </w:divBdr>
    </w:div>
    <w:div w:id="1506365240">
      <w:bodyDiv w:val="1"/>
      <w:marLeft w:val="0"/>
      <w:marRight w:val="0"/>
      <w:marTop w:val="0"/>
      <w:marBottom w:val="0"/>
      <w:divBdr>
        <w:top w:val="none" w:sz="0" w:space="0" w:color="auto"/>
        <w:left w:val="none" w:sz="0" w:space="0" w:color="auto"/>
        <w:bottom w:val="none" w:sz="0" w:space="0" w:color="auto"/>
        <w:right w:val="none" w:sz="0" w:space="0" w:color="auto"/>
      </w:divBdr>
    </w:div>
    <w:div w:id="1520001048">
      <w:bodyDiv w:val="1"/>
      <w:marLeft w:val="0"/>
      <w:marRight w:val="0"/>
      <w:marTop w:val="0"/>
      <w:marBottom w:val="0"/>
      <w:divBdr>
        <w:top w:val="none" w:sz="0" w:space="0" w:color="auto"/>
        <w:left w:val="none" w:sz="0" w:space="0" w:color="auto"/>
        <w:bottom w:val="none" w:sz="0" w:space="0" w:color="auto"/>
        <w:right w:val="none" w:sz="0" w:space="0" w:color="auto"/>
      </w:divBdr>
    </w:div>
    <w:div w:id="1543903068">
      <w:bodyDiv w:val="1"/>
      <w:marLeft w:val="0"/>
      <w:marRight w:val="0"/>
      <w:marTop w:val="0"/>
      <w:marBottom w:val="0"/>
      <w:divBdr>
        <w:top w:val="none" w:sz="0" w:space="0" w:color="auto"/>
        <w:left w:val="none" w:sz="0" w:space="0" w:color="auto"/>
        <w:bottom w:val="none" w:sz="0" w:space="0" w:color="auto"/>
        <w:right w:val="none" w:sz="0" w:space="0" w:color="auto"/>
      </w:divBdr>
    </w:div>
    <w:div w:id="1568950534">
      <w:bodyDiv w:val="1"/>
      <w:marLeft w:val="0"/>
      <w:marRight w:val="0"/>
      <w:marTop w:val="0"/>
      <w:marBottom w:val="0"/>
      <w:divBdr>
        <w:top w:val="none" w:sz="0" w:space="0" w:color="auto"/>
        <w:left w:val="none" w:sz="0" w:space="0" w:color="auto"/>
        <w:bottom w:val="none" w:sz="0" w:space="0" w:color="auto"/>
        <w:right w:val="none" w:sz="0" w:space="0" w:color="auto"/>
      </w:divBdr>
    </w:div>
    <w:div w:id="1678848348">
      <w:bodyDiv w:val="1"/>
      <w:marLeft w:val="0"/>
      <w:marRight w:val="0"/>
      <w:marTop w:val="0"/>
      <w:marBottom w:val="0"/>
      <w:divBdr>
        <w:top w:val="none" w:sz="0" w:space="0" w:color="auto"/>
        <w:left w:val="none" w:sz="0" w:space="0" w:color="auto"/>
        <w:bottom w:val="none" w:sz="0" w:space="0" w:color="auto"/>
        <w:right w:val="none" w:sz="0" w:space="0" w:color="auto"/>
      </w:divBdr>
    </w:div>
    <w:div w:id="1710763064">
      <w:bodyDiv w:val="1"/>
      <w:marLeft w:val="0"/>
      <w:marRight w:val="0"/>
      <w:marTop w:val="0"/>
      <w:marBottom w:val="0"/>
      <w:divBdr>
        <w:top w:val="none" w:sz="0" w:space="0" w:color="auto"/>
        <w:left w:val="none" w:sz="0" w:space="0" w:color="auto"/>
        <w:bottom w:val="none" w:sz="0" w:space="0" w:color="auto"/>
        <w:right w:val="none" w:sz="0" w:space="0" w:color="auto"/>
      </w:divBdr>
    </w:div>
    <w:div w:id="1753814102">
      <w:bodyDiv w:val="1"/>
      <w:marLeft w:val="0"/>
      <w:marRight w:val="0"/>
      <w:marTop w:val="0"/>
      <w:marBottom w:val="0"/>
      <w:divBdr>
        <w:top w:val="none" w:sz="0" w:space="0" w:color="auto"/>
        <w:left w:val="none" w:sz="0" w:space="0" w:color="auto"/>
        <w:bottom w:val="none" w:sz="0" w:space="0" w:color="auto"/>
        <w:right w:val="none" w:sz="0" w:space="0" w:color="auto"/>
      </w:divBdr>
    </w:div>
    <w:div w:id="1764497919">
      <w:bodyDiv w:val="1"/>
      <w:marLeft w:val="0"/>
      <w:marRight w:val="0"/>
      <w:marTop w:val="0"/>
      <w:marBottom w:val="0"/>
      <w:divBdr>
        <w:top w:val="none" w:sz="0" w:space="0" w:color="auto"/>
        <w:left w:val="none" w:sz="0" w:space="0" w:color="auto"/>
        <w:bottom w:val="none" w:sz="0" w:space="0" w:color="auto"/>
        <w:right w:val="none" w:sz="0" w:space="0" w:color="auto"/>
      </w:divBdr>
    </w:div>
    <w:div w:id="1783568261">
      <w:bodyDiv w:val="1"/>
      <w:marLeft w:val="0"/>
      <w:marRight w:val="0"/>
      <w:marTop w:val="0"/>
      <w:marBottom w:val="0"/>
      <w:divBdr>
        <w:top w:val="none" w:sz="0" w:space="0" w:color="auto"/>
        <w:left w:val="none" w:sz="0" w:space="0" w:color="auto"/>
        <w:bottom w:val="none" w:sz="0" w:space="0" w:color="auto"/>
        <w:right w:val="none" w:sz="0" w:space="0" w:color="auto"/>
      </w:divBdr>
    </w:div>
    <w:div w:id="1820807443">
      <w:bodyDiv w:val="1"/>
      <w:marLeft w:val="0"/>
      <w:marRight w:val="0"/>
      <w:marTop w:val="0"/>
      <w:marBottom w:val="0"/>
      <w:divBdr>
        <w:top w:val="none" w:sz="0" w:space="0" w:color="auto"/>
        <w:left w:val="none" w:sz="0" w:space="0" w:color="auto"/>
        <w:bottom w:val="none" w:sz="0" w:space="0" w:color="auto"/>
        <w:right w:val="none" w:sz="0" w:space="0" w:color="auto"/>
      </w:divBdr>
    </w:div>
    <w:div w:id="1822379472">
      <w:bodyDiv w:val="1"/>
      <w:marLeft w:val="0"/>
      <w:marRight w:val="0"/>
      <w:marTop w:val="0"/>
      <w:marBottom w:val="0"/>
      <w:divBdr>
        <w:top w:val="none" w:sz="0" w:space="0" w:color="auto"/>
        <w:left w:val="none" w:sz="0" w:space="0" w:color="auto"/>
        <w:bottom w:val="none" w:sz="0" w:space="0" w:color="auto"/>
        <w:right w:val="none" w:sz="0" w:space="0" w:color="auto"/>
      </w:divBdr>
    </w:div>
    <w:div w:id="1822455972">
      <w:bodyDiv w:val="1"/>
      <w:marLeft w:val="0"/>
      <w:marRight w:val="0"/>
      <w:marTop w:val="0"/>
      <w:marBottom w:val="0"/>
      <w:divBdr>
        <w:top w:val="none" w:sz="0" w:space="0" w:color="auto"/>
        <w:left w:val="none" w:sz="0" w:space="0" w:color="auto"/>
        <w:bottom w:val="none" w:sz="0" w:space="0" w:color="auto"/>
        <w:right w:val="none" w:sz="0" w:space="0" w:color="auto"/>
      </w:divBdr>
    </w:div>
    <w:div w:id="1833180659">
      <w:bodyDiv w:val="1"/>
      <w:marLeft w:val="0"/>
      <w:marRight w:val="0"/>
      <w:marTop w:val="0"/>
      <w:marBottom w:val="0"/>
      <w:divBdr>
        <w:top w:val="none" w:sz="0" w:space="0" w:color="auto"/>
        <w:left w:val="none" w:sz="0" w:space="0" w:color="auto"/>
        <w:bottom w:val="none" w:sz="0" w:space="0" w:color="auto"/>
        <w:right w:val="none" w:sz="0" w:space="0" w:color="auto"/>
      </w:divBdr>
    </w:div>
    <w:div w:id="1841965922">
      <w:bodyDiv w:val="1"/>
      <w:marLeft w:val="0"/>
      <w:marRight w:val="0"/>
      <w:marTop w:val="0"/>
      <w:marBottom w:val="0"/>
      <w:divBdr>
        <w:top w:val="none" w:sz="0" w:space="0" w:color="auto"/>
        <w:left w:val="none" w:sz="0" w:space="0" w:color="auto"/>
        <w:bottom w:val="none" w:sz="0" w:space="0" w:color="auto"/>
        <w:right w:val="none" w:sz="0" w:space="0" w:color="auto"/>
      </w:divBdr>
    </w:div>
    <w:div w:id="1848128096">
      <w:bodyDiv w:val="1"/>
      <w:marLeft w:val="0"/>
      <w:marRight w:val="0"/>
      <w:marTop w:val="0"/>
      <w:marBottom w:val="0"/>
      <w:divBdr>
        <w:top w:val="none" w:sz="0" w:space="0" w:color="auto"/>
        <w:left w:val="none" w:sz="0" w:space="0" w:color="auto"/>
        <w:bottom w:val="none" w:sz="0" w:space="0" w:color="auto"/>
        <w:right w:val="none" w:sz="0" w:space="0" w:color="auto"/>
      </w:divBdr>
    </w:div>
    <w:div w:id="1862550158">
      <w:bodyDiv w:val="1"/>
      <w:marLeft w:val="0"/>
      <w:marRight w:val="0"/>
      <w:marTop w:val="0"/>
      <w:marBottom w:val="0"/>
      <w:divBdr>
        <w:top w:val="none" w:sz="0" w:space="0" w:color="auto"/>
        <w:left w:val="none" w:sz="0" w:space="0" w:color="auto"/>
        <w:bottom w:val="none" w:sz="0" w:space="0" w:color="auto"/>
        <w:right w:val="none" w:sz="0" w:space="0" w:color="auto"/>
      </w:divBdr>
    </w:div>
    <w:div w:id="1945577343">
      <w:bodyDiv w:val="1"/>
      <w:marLeft w:val="0"/>
      <w:marRight w:val="0"/>
      <w:marTop w:val="0"/>
      <w:marBottom w:val="0"/>
      <w:divBdr>
        <w:top w:val="none" w:sz="0" w:space="0" w:color="auto"/>
        <w:left w:val="none" w:sz="0" w:space="0" w:color="auto"/>
        <w:bottom w:val="none" w:sz="0" w:space="0" w:color="auto"/>
        <w:right w:val="none" w:sz="0" w:space="0" w:color="auto"/>
      </w:divBdr>
      <w:divsChild>
        <w:div w:id="1630626586">
          <w:marLeft w:val="0"/>
          <w:marRight w:val="0"/>
          <w:marTop w:val="0"/>
          <w:marBottom w:val="0"/>
          <w:divBdr>
            <w:top w:val="single" w:sz="2" w:space="0" w:color="4E4E4E"/>
            <w:left w:val="single" w:sz="2" w:space="0" w:color="4E4E4E"/>
            <w:bottom w:val="single" w:sz="2" w:space="0" w:color="4E4E4E"/>
            <w:right w:val="single" w:sz="2" w:space="0" w:color="4E4E4E"/>
          </w:divBdr>
          <w:divsChild>
            <w:div w:id="1961914175">
              <w:marLeft w:val="0"/>
              <w:marRight w:val="0"/>
              <w:marTop w:val="0"/>
              <w:marBottom w:val="180"/>
              <w:divBdr>
                <w:top w:val="single" w:sz="2" w:space="0" w:color="4E4E4E"/>
                <w:left w:val="single" w:sz="2" w:space="0" w:color="4E4E4E"/>
                <w:bottom w:val="single" w:sz="2" w:space="0" w:color="4E4E4E"/>
                <w:right w:val="single" w:sz="2" w:space="0" w:color="4E4E4E"/>
              </w:divBdr>
              <w:divsChild>
                <w:div w:id="1935045813">
                  <w:marLeft w:val="0"/>
                  <w:marRight w:val="0"/>
                  <w:marTop w:val="0"/>
                  <w:marBottom w:val="0"/>
                  <w:divBdr>
                    <w:top w:val="single" w:sz="2" w:space="0" w:color="4E4E4E"/>
                    <w:left w:val="single" w:sz="2" w:space="0" w:color="4E4E4E"/>
                    <w:bottom w:val="single" w:sz="2" w:space="0" w:color="4E4E4E"/>
                    <w:right w:val="single" w:sz="2" w:space="0" w:color="4E4E4E"/>
                  </w:divBdr>
                  <w:divsChild>
                    <w:div w:id="1174297663">
                      <w:marLeft w:val="0"/>
                      <w:marRight w:val="0"/>
                      <w:marTop w:val="0"/>
                      <w:marBottom w:val="0"/>
                      <w:divBdr>
                        <w:top w:val="single" w:sz="2" w:space="0" w:color="4E4E4E"/>
                        <w:left w:val="single" w:sz="2" w:space="3" w:color="4E4E4E"/>
                        <w:bottom w:val="single" w:sz="2" w:space="0" w:color="4E4E4E"/>
                        <w:right w:val="single" w:sz="2" w:space="0" w:color="4E4E4E"/>
                      </w:divBdr>
                      <w:divsChild>
                        <w:div w:id="638924886">
                          <w:marLeft w:val="0"/>
                          <w:marRight w:val="0"/>
                          <w:marTop w:val="0"/>
                          <w:marBottom w:val="0"/>
                          <w:divBdr>
                            <w:top w:val="single" w:sz="2" w:space="0" w:color="4E4E4E"/>
                            <w:left w:val="single" w:sz="2" w:space="0" w:color="4E4E4E"/>
                            <w:bottom w:val="single" w:sz="2" w:space="0" w:color="4E4E4E"/>
                            <w:right w:val="single" w:sz="2" w:space="0" w:color="4E4E4E"/>
                          </w:divBdr>
                          <w:divsChild>
                            <w:div w:id="910893810">
                              <w:marLeft w:val="0"/>
                              <w:marRight w:val="0"/>
                              <w:marTop w:val="0"/>
                              <w:marBottom w:val="0"/>
                              <w:divBdr>
                                <w:top w:val="single" w:sz="2" w:space="0" w:color="4E4E4E"/>
                                <w:left w:val="single" w:sz="2" w:space="0" w:color="4E4E4E"/>
                                <w:bottom w:val="single" w:sz="2" w:space="0" w:color="4E4E4E"/>
                                <w:right w:val="single" w:sz="2" w:space="0" w:color="4E4E4E"/>
                              </w:divBdr>
                              <w:divsChild>
                                <w:div w:id="1733845470">
                                  <w:marLeft w:val="0"/>
                                  <w:marRight w:val="0"/>
                                  <w:marTop w:val="0"/>
                                  <w:marBottom w:val="0"/>
                                  <w:divBdr>
                                    <w:top w:val="single" w:sz="2" w:space="0" w:color="4E4E4E"/>
                                    <w:left w:val="single" w:sz="2" w:space="0" w:color="4E4E4E"/>
                                    <w:bottom w:val="single" w:sz="2" w:space="0" w:color="4E4E4E"/>
                                    <w:right w:val="single" w:sz="2" w:space="0" w:color="4E4E4E"/>
                                  </w:divBdr>
                                  <w:divsChild>
                                    <w:div w:id="872688232">
                                      <w:marLeft w:val="0"/>
                                      <w:marRight w:val="0"/>
                                      <w:marTop w:val="0"/>
                                      <w:marBottom w:val="0"/>
                                      <w:divBdr>
                                        <w:top w:val="single" w:sz="2" w:space="0" w:color="4E4E4E"/>
                                        <w:left w:val="single" w:sz="2" w:space="0" w:color="4E4E4E"/>
                                        <w:bottom w:val="single" w:sz="2" w:space="0" w:color="4E4E4E"/>
                                        <w:right w:val="single" w:sz="2" w:space="0" w:color="4E4E4E"/>
                                      </w:divBdr>
                                      <w:divsChild>
                                        <w:div w:id="497304815">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1981960448">
      <w:bodyDiv w:val="1"/>
      <w:marLeft w:val="0"/>
      <w:marRight w:val="0"/>
      <w:marTop w:val="0"/>
      <w:marBottom w:val="0"/>
      <w:divBdr>
        <w:top w:val="none" w:sz="0" w:space="0" w:color="auto"/>
        <w:left w:val="none" w:sz="0" w:space="0" w:color="auto"/>
        <w:bottom w:val="none" w:sz="0" w:space="0" w:color="auto"/>
        <w:right w:val="none" w:sz="0" w:space="0" w:color="auto"/>
      </w:divBdr>
    </w:div>
    <w:div w:id="2004892783">
      <w:bodyDiv w:val="1"/>
      <w:marLeft w:val="0"/>
      <w:marRight w:val="0"/>
      <w:marTop w:val="0"/>
      <w:marBottom w:val="0"/>
      <w:divBdr>
        <w:top w:val="none" w:sz="0" w:space="0" w:color="auto"/>
        <w:left w:val="none" w:sz="0" w:space="0" w:color="auto"/>
        <w:bottom w:val="none" w:sz="0" w:space="0" w:color="auto"/>
        <w:right w:val="none" w:sz="0" w:space="0" w:color="auto"/>
      </w:divBdr>
    </w:div>
    <w:div w:id="2008627341">
      <w:bodyDiv w:val="1"/>
      <w:marLeft w:val="0"/>
      <w:marRight w:val="0"/>
      <w:marTop w:val="0"/>
      <w:marBottom w:val="0"/>
      <w:divBdr>
        <w:top w:val="none" w:sz="0" w:space="0" w:color="auto"/>
        <w:left w:val="none" w:sz="0" w:space="0" w:color="auto"/>
        <w:bottom w:val="none" w:sz="0" w:space="0" w:color="auto"/>
        <w:right w:val="none" w:sz="0" w:space="0" w:color="auto"/>
      </w:divBdr>
    </w:div>
    <w:div w:id="2022657151">
      <w:bodyDiv w:val="1"/>
      <w:marLeft w:val="0"/>
      <w:marRight w:val="0"/>
      <w:marTop w:val="0"/>
      <w:marBottom w:val="0"/>
      <w:divBdr>
        <w:top w:val="none" w:sz="0" w:space="0" w:color="auto"/>
        <w:left w:val="none" w:sz="0" w:space="0" w:color="auto"/>
        <w:bottom w:val="none" w:sz="0" w:space="0" w:color="auto"/>
        <w:right w:val="none" w:sz="0" w:space="0" w:color="auto"/>
      </w:divBdr>
    </w:div>
    <w:div w:id="2024898113">
      <w:bodyDiv w:val="1"/>
      <w:marLeft w:val="0"/>
      <w:marRight w:val="0"/>
      <w:marTop w:val="0"/>
      <w:marBottom w:val="0"/>
      <w:divBdr>
        <w:top w:val="none" w:sz="0" w:space="0" w:color="auto"/>
        <w:left w:val="none" w:sz="0" w:space="0" w:color="auto"/>
        <w:bottom w:val="none" w:sz="0" w:space="0" w:color="auto"/>
        <w:right w:val="none" w:sz="0" w:space="0" w:color="auto"/>
      </w:divBdr>
    </w:div>
    <w:div w:id="213328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nsilium.europa.eu/en/meetings/gac/2025/12/16/" TargetMode="External"/><Relationship Id="rId1" Type="http://schemas.openxmlformats.org/officeDocument/2006/relationships/hyperlink" Target="https://commission.europa.eu/law/law-making-process/better-regulation/simplification-implementation-and-enforcement/2026-annual-progress-reports-simplification-implementation-and-enforcemen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4273</ap:Words>
  <ap:Characters>23505</ap:Characters>
  <ap:DocSecurity>0</ap:DocSecurity>
  <ap:Lines>195</ap:Lines>
  <ap:Paragraphs>55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27723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2026-10-30T13:58:00.0000000Z</dcterms:created>
  <dcterms:modified xsi:type="dcterms:W3CDTF">2026-10-30T13:58:00.0000000Z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0x010100311037FD575B714DBB90CA6CD43C076B</vt:lpwstr>
  </property>
  <property fmtid="{D5CDD505-2E9C-101B-9397-08002B2CF9AE}" pid="3" name="MSIP_Label_6800fede-0e59-47ad-af95-4e63bbdb932d_Enabled">
    <vt:lpwstr>true</vt:lpwstr>
  </property>
  <property fmtid="{D5CDD505-2E9C-101B-9397-08002B2CF9AE}" pid="4" name="MSIP_Label_6800fede-0e59-47ad-af95-4e63bbdb932d_SetDate">
    <vt:lpwstr>2024-12-13T09:00:19Z</vt:lpwstr>
  </property>
  <property fmtid="{D5CDD505-2E9C-101B-9397-08002B2CF9AE}" pid="5" name="MSIP_Label_6800fede-0e59-47ad-af95-4e63bbdb932d_Method">
    <vt:lpwstr>Standard</vt:lpwstr>
  </property>
  <property fmtid="{D5CDD505-2E9C-101B-9397-08002B2CF9AE}" pid="6" name="MSIP_Label_6800fede-0e59-47ad-af95-4e63bbdb932d_Name">
    <vt:lpwstr>FIN-DGGT-Rijksoverheid</vt:lpwstr>
  </property>
  <property fmtid="{D5CDD505-2E9C-101B-9397-08002B2CF9AE}" pid="7" name="MSIP_Label_6800fede-0e59-47ad-af95-4e63bbdb932d_SiteId">
    <vt:lpwstr>84712536-f524-40a0-913b-5d25ba502732</vt:lpwstr>
  </property>
  <property fmtid="{D5CDD505-2E9C-101B-9397-08002B2CF9AE}" pid="8" name="MSIP_Label_6800fede-0e59-47ad-af95-4e63bbdb932d_ActionId">
    <vt:lpwstr>c29f7d14-d555-40a7-8c50-f0d79ac4fcc1</vt:lpwstr>
  </property>
  <property fmtid="{D5CDD505-2E9C-101B-9397-08002B2CF9AE}" pid="9" name="MSIP_Label_6800fede-0e59-47ad-af95-4e63bbdb932d_ContentBits">
    <vt:lpwstr>0</vt:lpwstr>
  </property>
</Properties>
</file>