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2026Z23597</w:t>
        <w:br/>
      </w:r>
      <w:proofErr w:type="spellEnd"/>
    </w:p>
    <w:p>
      <w:pPr>
        <w:pStyle w:val="Normal"/>
        <w:rPr>
          <w:b w:val="1"/>
          <w:bCs w:val="1"/>
        </w:rPr>
      </w:pPr>
      <w:r w:rsidR="250AE766">
        <w:rPr>
          <w:b w:val="0"/>
          <w:bCs w:val="0"/>
        </w:rPr>
        <w:t>(ingezonden 30 oktober 2026)</w:t>
        <w:br/>
      </w:r>
    </w:p>
    <w:p>
      <w:r>
        <w:t xml:space="preserve">Vragen van het lid Coenradie (JA21) aan de minister van Justitie en Veiligheid over de Antwerpse aanpak van hardnekkige overlastplegers</w:t>
      </w:r>
      <w:r>
        <w:br/>
      </w:r>
    </w:p>
    <w:p>
      <w:pPr>
        <w:pStyle w:val="ListParagraph"/>
        <w:numPr>
          <w:ilvl w:val="0"/>
          <w:numId w:val="100523740"/>
        </w:numPr>
        <w:ind w:left="360"/>
      </w:pPr>
      <w:r>
        <w:t xml:space="preserve">Heeft u kennisgenomen van de aanpak in Antwerpen-Noord, waarbij de politie in korte tijd honderden bekende overlastplegers bestuurlijk heeft aangehouden? Hoe beoordeelt u deze aanpak, zowel vanuit het oogpunt van openbare orde als vanuit de juridische uitvoerbaarheid? 1)</w:t>
      </w:r>
      <w:r>
        <w:br/>
      </w:r>
    </w:p>
    <w:p>
      <w:pPr>
        <w:pStyle w:val="ListParagraph"/>
        <w:numPr>
          <w:ilvl w:val="0"/>
          <w:numId w:val="100523740"/>
        </w:numPr>
        <w:ind w:left="360"/>
      </w:pPr>
      <w:r>
        <w:t xml:space="preserve">Kunt u heel concreet op een rij zetten waarin de Antwerpse aanpak verschilt van de Nederlandse, zowel operationeel als juridisch? Welke bevoegdheden worden in Antwerpen benut die Nederlandse burgemeesters en politiefunctionarissen niet hebben, of in de praktijk anders toepassen?</w:t>
      </w:r>
      <w:r>
        <w:br/>
      </w:r>
    </w:p>
    <w:p>
      <w:pPr>
        <w:pStyle w:val="ListParagraph"/>
        <w:numPr>
          <w:ilvl w:val="0"/>
          <w:numId w:val="100523740"/>
        </w:numPr>
        <w:ind w:left="360"/>
      </w:pPr>
      <w:r>
        <w:t xml:space="preserve">Hoe verhoudt de Antwerpse aanpak zich tot de Nederlandse mogelijkheden voor gebiedsverboden, groepsverboden en meldplichten op grond van artikel 172a Gemeentewet en bestuurlijke ophouding op grond van artikel 154a Gemeentewet? In hoeverre zouden Nederlandse gemeenten met deze bestaande bevoegdheden een vergelijkbare aanpak kunnen uitvoeren?</w:t>
      </w:r>
      <w:r>
        <w:br/>
      </w:r>
    </w:p>
    <w:p>
      <w:pPr>
        <w:pStyle w:val="ListParagraph"/>
        <w:numPr>
          <w:ilvl w:val="0"/>
          <w:numId w:val="100523740"/>
        </w:numPr>
        <w:ind w:left="360"/>
      </w:pPr>
      <w:r>
        <w:t xml:space="preserve">Hoe vaak zijn de bevoegdheden uit de artikelen 172a en 154a Gemeentewet in de afgelopen vijf jaar daadwerkelijk toegepast in gemeenten met grootstedelijke problematiek? Kunt u deze aantallen uitsplitsen naar jaar, gemeente en type maatregel, en afzetten tegen de omvang van de geregistreerde openbare-ordeoverlast?</w:t>
      </w:r>
      <w:r>
        <w:br/>
      </w:r>
    </w:p>
    <w:p>
      <w:pPr>
        <w:pStyle w:val="ListParagraph"/>
        <w:numPr>
          <w:ilvl w:val="0"/>
          <w:numId w:val="100523740"/>
        </w:numPr>
        <w:ind w:left="360"/>
      </w:pPr>
      <w:r>
        <w:t xml:space="preserve">In hoeverre verschilt de Nederlandse aanpak van hardnekkige overlastplegers zonder rechtmatig verblijf van die in België, met name wat betreft de samenwerking met de vreemdelingenketen, de mogelijkheden tot vreemdelingenbewaring en daadwerkelijke uitzetting? Welke lessen kan Nederland op dit punt trekken uit de Antwerpse aanpak?</w:t>
      </w:r>
      <w:r>
        <w:br/>
      </w:r>
    </w:p>
    <w:p>
      <w:pPr>
        <w:pStyle w:val="ListParagraph"/>
        <w:numPr>
          <w:ilvl w:val="0"/>
          <w:numId w:val="100523740"/>
        </w:numPr>
        <w:ind w:left="360"/>
      </w:pPr>
      <w:r>
        <w:t xml:space="preserve">Welke belemmeringen ervaren gemeenten en politie bij de toepassing van de artikelen 172a en 154a Gemeentewet?</w:t>
      </w:r>
      <w:r>
        <w:br/>
      </w:r>
    </w:p>
    <w:p>
      <w:pPr>
        <w:pStyle w:val="ListParagraph"/>
        <w:numPr>
          <w:ilvl w:val="0"/>
          <w:numId w:val="100523740"/>
        </w:numPr>
        <w:ind w:left="360"/>
      </w:pPr>
      <w:r>
        <w:t xml:space="preserve">Welke juridische en praktische mogelijkheden ziet de minister om de bestuurlijke aanpak van hardnekkige overlastplegers verder te intensiveren?</w:t>
      </w:r>
      <w:r>
        <w:br/>
      </w:r>
    </w:p>
    <w:p>
      <w:r>
        <w:t xml:space="preserve"> </w:t>
      </w:r>
      <w:r>
        <w:br/>
      </w:r>
    </w:p>
    <w:p>
      <w:r>
        <w:t xml:space="preserve">1) HLN, 27 oktober 2026, 'Politie pakt in drie weken al 336 bekende overlastplegers op in Antwerpen-Noord: “Massale steun uit de buurt gekregen”' (https://www.hln.be/antwerpen/politie-pakt-in-drie-weken-al-336-bekende-overlastplegers-op-in-antwerpen-noord-massale-steun-uit-de-buurt-gekregen~a500669e/?fbclid=IwY2xjawVO2GdleHRuA2FlbQIxMABwZG9mAWJyaWQRMWtzZHB3OFh1ZG9FYnVkTFhzcnRjBmFwcF9pZBAyMjIwMzkxNzg4MjAwODkyAAEexYBJrPbaVUj553PcVzUmtdac-TgBOcqtcPNMicDR_F9ZFn3MU-AwpchI-_I_aem_MfxbU59DKTfKxCuCPusyWw%3Ffbclid%3DIwY2xjawVO2GdleHRuA2FlbQIxMABwZG9mAWJyaWQRMWtzZHB3OFh1ZG9FYnVkTFhzcnRjBmFwcF9pZBAyMjIwMzkxNzg4MjAwODkyAAEexYBJrPbaVUj553PcVzUmtdac-TgBOcqtcPNMicDR_F9ZFn3MU-AwpchI-_I_aem_MfxbU59DKTfKxCuCPusyWw&amp;referrer=https%3A%2F%2Fl.facebook.com%2F&amp;slug_rd=1).</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