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2026Z23594</w:t>
        <w:br/>
      </w:r>
      <w:proofErr w:type="spellEnd"/>
    </w:p>
    <w:p>
      <w:pPr>
        <w:pStyle w:val="Normal"/>
        <w:rPr>
          <w:b w:val="1"/>
          <w:bCs w:val="1"/>
        </w:rPr>
      </w:pPr>
      <w:r w:rsidR="250AE766">
        <w:rPr>
          <w:b w:val="0"/>
          <w:bCs w:val="0"/>
        </w:rPr>
        <w:t>(ingezonden 30 oktober 2026)</w:t>
        <w:br/>
      </w:r>
    </w:p>
    <w:p>
      <w:r>
        <w:t xml:space="preserve">Vragen van de leden Den Hollander (VVD) en Koorevaar (CDA) aan de minister van Landbouw, Visserij, Voedselzekerheid en Natuur over de uitvoering van de Landelijke verplaatsingsregeling veehouderijen met piekbelasting (Lvvp)</w:t>
      </w:r>
      <w:r>
        <w:br/>
      </w:r>
    </w:p>
    <w:p>
      <w:pPr>
        <w:pStyle w:val="ListParagraph"/>
        <w:numPr>
          <w:ilvl w:val="0"/>
          <w:numId w:val="100523720"/>
        </w:numPr>
        <w:ind w:left="360"/>
      </w:pPr>
      <w:r>
        <w:t xml:space="preserve">Kan u uiteenzetten hoeveel aanvragen voor bedrijfsverplaatsing via de Lvvp zijn ingediend, toegekend, afgewezen en ingetrokken?</w:t>
      </w:r>
      <w:r>
        <w:br/>
      </w:r>
    </w:p>
    <w:p>
      <w:pPr>
        <w:pStyle w:val="ListParagraph"/>
        <w:numPr>
          <w:ilvl w:val="0"/>
          <w:numId w:val="100523720"/>
        </w:numPr>
        <w:ind w:left="360"/>
      </w:pPr>
      <w:r>
        <w:t xml:space="preserve">Deelt u de opvatting dat bedrijfsverplaatsing een volwaardige mogelijkheid moet zijn voor boeren die verder willen met hun bedrijf? Vindt u dat de Lvvp daarvoor in de praktijk voldoende zekerheid biedt?</w:t>
      </w:r>
      <w:r>
        <w:br/>
      </w:r>
    </w:p>
    <w:p>
      <w:pPr>
        <w:pStyle w:val="ListParagraph"/>
        <w:numPr>
          <w:ilvl w:val="0"/>
          <w:numId w:val="100523720"/>
        </w:numPr>
        <w:ind w:left="360"/>
      </w:pPr>
      <w:r>
        <w:t xml:space="preserve">Klopt het dat ondernemers soms meer dan een jaar op een beschikking wachten, terwijl de Rijksdienst voor Ondernemend Nederland (RVO) een termijn van acht weken met een mogelijke verlenging van acht weken communiceert?</w:t>
      </w:r>
      <w:r>
        <w:br/>
      </w:r>
    </w:p>
    <w:p>
      <w:pPr>
        <w:pStyle w:val="ListParagraph"/>
        <w:numPr>
          <w:ilvl w:val="0"/>
          <w:numId w:val="100523720"/>
        </w:numPr>
        <w:ind w:left="360"/>
      </w:pPr>
      <w:r>
        <w:t xml:space="preserve">Bent u bekend met signalen van de Producentenorganisatie Varkenshouderij (POV) dat ondernemers bij de Lvvp, naast lange behandeltermijnen, ook tegen aanvullende taxatie-eisen aanlopen dan zij op basis van hun haalbaarheidsonderzoek aanvankelijk hadden verwacht?</w:t>
      </w:r>
      <w:r>
        <w:br/>
      </w:r>
    </w:p>
    <w:p>
      <w:pPr>
        <w:pStyle w:val="ListParagraph"/>
        <w:numPr>
          <w:ilvl w:val="0"/>
          <w:numId w:val="100523720"/>
        </w:numPr>
        <w:ind w:left="360"/>
      </w:pPr>
      <w:r>
        <w:t xml:space="preserve">Bent u bereid te onderzoeken of bij aanvragen eisen zijn gesteld die bij indiening onvoldoende kenbaar waren? Zo ja, wilt u de gevolgen daarvan voor deze betrokken ondernemers herstellen? Zo nee, waarom niet? Kunt u uiteenzetten welke aanpassingen sinds de openstelling zijn gedaan in de regeling, de informatie op de RVO-website, de rekentools en de taxatie-instructies? Kunt u per aanpassing aangeven wat is veranderd en wanneer dit is gebeurd? Hoe zijn aanvragers en taxateurs daarover geïnformeerd?</w:t>
      </w:r>
      <w:r>
        <w:br/>
      </w:r>
    </w:p>
    <w:p>
      <w:pPr>
        <w:pStyle w:val="ListParagraph"/>
        <w:numPr>
          <w:ilvl w:val="0"/>
          <w:numId w:val="100523720"/>
        </w:numPr>
        <w:ind w:left="360"/>
      </w:pPr>
      <w:r>
        <w:t xml:space="preserve">Kan u uitleggen of RVO sinds de openstelling anders gaat beoordelen welke onderdelen van een stal bij het bouwwerk horen en welke als voorziening gelden? Zo ja, waarom? Zo nee, hoe verklaart u dat ondernemers en taxateurs aangeven dat onderdelen bij de beoordeling alsnog buiten de waarde van het bouwwerk worden gehouden?</w:t>
      </w:r>
      <w:r>
        <w:br/>
      </w:r>
    </w:p>
    <w:p>
      <w:pPr>
        <w:pStyle w:val="ListParagraph"/>
        <w:numPr>
          <w:ilvl w:val="0"/>
          <w:numId w:val="100523720"/>
        </w:numPr>
        <w:ind w:left="360"/>
      </w:pPr>
      <w:r>
        <w:t xml:space="preserve">Hoe bepaalt RVO of stalinrichting en installaties onderdeel zijn van het bouwwerk?</w:t>
      </w:r>
      <w:r>
        <w:br/>
      </w:r>
    </w:p>
    <w:p>
      <w:pPr>
        <w:pStyle w:val="ListParagraph"/>
        <w:numPr>
          <w:ilvl w:val="0"/>
          <w:numId w:val="100523720"/>
        </w:numPr>
        <w:ind w:left="360"/>
      </w:pPr>
      <w:r>
        <w:t xml:space="preserve">Waarom verwijst de taxatie-instructie voor de Lvvp naar de fiscale publicatie ‘Beperkt afschrijven op agrarische bedrijfsgebouwen’, terwijl deze publicatie is opgesteld voor de fiscale afschrijving van agrarische bedrijfsgebouwen en het onderscheid tussen bouwwerken en voorzieningen daarin is gebaseerd op verschillen in levensduur en slijtage? Op welke juridische en taxatietechnische grondslag wordt deze fiscale indeling toegepast bij de waardebepaling voor de Lvvp? Hoe wordt gehandeld wanneer toepassing daarvan leidt tot een andere waardering dan de definities in de Lvvp of de geldende taxatierichtlijnen voor taxateurs? [1]</w:t>
      </w:r>
      <w:r>
        <w:br/>
      </w:r>
    </w:p>
    <w:p>
      <w:pPr>
        <w:pStyle w:val="ListParagraph"/>
        <w:numPr>
          <w:ilvl w:val="0"/>
          <w:numId w:val="100523720"/>
        </w:numPr>
        <w:ind w:left="360"/>
      </w:pPr>
      <w:r>
        <w:t xml:space="preserve">Bij hoeveel aanvragen is minder subsidie toegekend dan aangevraagd? Hoe groot zijn deze verschillen en waardoor worden zij veroorzaakt?</w:t>
      </w:r>
      <w:r>
        <w:br/>
      </w:r>
    </w:p>
    <w:p>
      <w:pPr>
        <w:pStyle w:val="ListParagraph"/>
        <w:numPr>
          <w:ilvl w:val="0"/>
          <w:numId w:val="100523720"/>
        </w:numPr>
        <w:ind w:left="360"/>
      </w:pPr>
      <w:r>
        <w:t xml:space="preserve">Hoe pakt de omrekening naar grootvee-eenheden uit bij verplaatsing van een varkensbedrijf als de verhouding tussen zeugenplaatsen en plaatsen voor gespeende biggen op de nieuwe locatie anders is? Kan hierdoor bij een vergelijkbare bedrijfsvoering een groot deel van de overnamekosten buiten de subsidie vallen? In hoeverre acht u dat wenselijk?</w:t>
      </w:r>
      <w:r>
        <w:br/>
      </w:r>
    </w:p>
    <w:p>
      <w:pPr>
        <w:pStyle w:val="ListParagraph"/>
        <w:numPr>
          <w:ilvl w:val="0"/>
          <w:numId w:val="100523720"/>
        </w:numPr>
        <w:ind w:left="360"/>
      </w:pPr>
      <w:r>
        <w:t xml:space="preserve">Wat moet een ondernemer bij zijn aanvraag aantonen over de beschikbaarheid van de nieuwe locatie? Hoe kan hij daaraan voldoen zonder al financiële verplichtingen aan te gaan?</w:t>
      </w:r>
      <w:r>
        <w:br/>
      </w:r>
    </w:p>
    <w:p>
      <w:pPr>
        <w:pStyle w:val="ListParagraph"/>
        <w:numPr>
          <w:ilvl w:val="0"/>
          <w:numId w:val="100523720"/>
        </w:numPr>
        <w:ind w:left="360"/>
      </w:pPr>
      <w:r>
        <w:t xml:space="preserve">Hoeveel ondernemers hebben gemeld dat zij door vertraging of een lager subsidiebedrag in financiële problemen komen? Bent u bereid met hen en hun financiers naar een oplossing te zoeken, zodat een verplaatsing niet vastloopt?</w:t>
      </w:r>
      <w:r>
        <w:br/>
      </w:r>
    </w:p>
    <w:p>
      <w:pPr>
        <w:pStyle w:val="ListParagraph"/>
        <w:numPr>
          <w:ilvl w:val="0"/>
          <w:numId w:val="100523720"/>
        </w:numPr>
        <w:ind w:left="360"/>
      </w:pPr>
      <w:r>
        <w:t xml:space="preserve">Heeft u ook een idee van het aantal ondernemers dat hun financiële problemen niet meldt bij een zaakbegeleider of andere instantie? Hoe kan u deze ondernemers ook in beeld krijgen en helpen?</w:t>
      </w:r>
      <w:r>
        <w:br/>
      </w:r>
    </w:p>
    <w:p>
      <w:pPr>
        <w:pStyle w:val="ListParagraph"/>
        <w:numPr>
          <w:ilvl w:val="0"/>
          <w:numId w:val="100523720"/>
        </w:numPr>
        <w:ind w:left="360"/>
      </w:pPr>
      <w:r>
        <w:t xml:space="preserve">Welke verbeteringen gaat u doorvoeren zodat ondernemers vooraf weten waar zij aan toe zijn en tijdig een besluit krijgen?</w:t>
      </w:r>
      <w:r>
        <w:br/>
      </w:r>
    </w:p>
    <w:p>
      <w:pPr>
        <w:pStyle w:val="ListParagraph"/>
        <w:numPr>
          <w:ilvl w:val="0"/>
          <w:numId w:val="100523720"/>
        </w:numPr>
        <w:ind w:left="360"/>
      </w:pPr>
      <w:r>
        <w:t xml:space="preserve">Kunt u deze vragen afzonderlijk en vóór de plenaire behandeling van de begroting van het ministerie van Landbouw, Visserij, Voedselzekerheid en Natuur voor 2027 beantwoorden?</w:t>
      </w:r>
      <w:r>
        <w:br/>
      </w:r>
    </w:p>
    <w:p>
      <w:r>
        <w:t xml:space="preserve"> </w:t>
      </w:r>
      <w:r>
        <w:br/>
      </w:r>
    </w:p>
    <w:p>
      <w:r>
        <w:t xml:space="preserve">[1] Belastingdienst, januari 2024, '‘Beperkt afschrijven op agrarische bedrijfsgebouwen’ (Beperkt afschrijven op agrarische bedrijfsgebouwen | Belastingdienst)</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369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3690">
    <w:abstractNumId w:val="10052369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