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2026Z23591</w:t>
        <w:br/>
      </w:r>
      <w:proofErr w:type="spellEnd"/>
    </w:p>
    <w:p>
      <w:pPr>
        <w:pStyle w:val="Normal"/>
        <w:rPr>
          <w:b w:val="1"/>
          <w:bCs w:val="1"/>
        </w:rPr>
      </w:pPr>
      <w:r w:rsidR="250AE766">
        <w:rPr>
          <w:b w:val="0"/>
          <w:bCs w:val="0"/>
        </w:rPr>
        <w:t>(ingezonden 30 oktober 2026)</w:t>
        <w:br/>
      </w:r>
    </w:p>
    <w:p>
      <w:r>
        <w:t xml:space="preserve">Vragen van de leden Van der Plas en Wiersma (beiden BBB) aan de ministers van Landbouw, Visserij, Voedselzekerheid en Natuur en van Infrastructuur en Waterstaat over de onderbouwing van beekdalmaatregelen bij de Tungelroyse Beek</w:t>
      </w:r>
      <w:r>
        <w:br/>
      </w:r>
    </w:p>
    <w:p>
      <w:pPr>
        <w:pStyle w:val="ListParagraph"/>
        <w:numPr>
          <w:ilvl w:val="0"/>
          <w:numId w:val="100523690"/>
        </w:numPr>
        <w:ind w:left="360"/>
      </w:pPr>
      <w:r>
        <w:t xml:space="preserve">Kunt u concreet onderbouwen welk aandeel van de stikstofbelasting van de Tungelroyse Beek afkomstig is uit het buitenland en welk aandeel daadwerkelijk afkomstig is van Nederlandse landbouw, gezien het feit dat u in uw beantwoording van eerdere Kamervragen (2026Z18645) stelt dat lokale meetgegevens en modelberekeningen niet één-op-één vergelijkbaar zijn, de feitelijke herkomst van de nutriëntenbelasting verandert daardoor echter niet? Kunt u daarbij de specifieke bronverdeling en berekeningen overleggen waarop de opname van deze beek in de lijst van 17 beken met een bufferzone van 250 meter is gebaseerd?</w:t>
      </w:r>
      <w:r>
        <w:br/>
      </w:r>
    </w:p>
    <w:p>
      <w:pPr>
        <w:pStyle w:val="ListParagraph"/>
        <w:numPr>
          <w:ilvl w:val="0"/>
          <w:numId w:val="100523690"/>
        </w:numPr>
        <w:ind w:left="360"/>
      </w:pPr>
      <w:r>
        <w:t xml:space="preserve">Hoe is de buitenlandse nutriëntenbelasting, die volgens uw eerdere beantwoording ook stroomafwaarts herkenbaar blijft in de gebruikte bronnenanalyse, concreet verwerkt in de berekeningen voor de Tungelroyse Beek en waarom is deze beek desondanks opgenomen in de lijst van 17 beken waarvoor een bufferzone van 250 meter wordt voorzien?</w:t>
      </w:r>
      <w:r>
        <w:br/>
      </w:r>
    </w:p>
    <w:p>
      <w:pPr>
        <w:pStyle w:val="ListParagraph"/>
        <w:numPr>
          <w:ilvl w:val="0"/>
          <w:numId w:val="100523690"/>
        </w:numPr>
        <w:ind w:left="360"/>
      </w:pPr>
      <w:r>
        <w:t xml:space="preserve">Welke concrete gegevens, berekeningen of andere onderbouwing moeten provincies en waterschappen aanleveren om gebruik te kunnen maken van de door u genoemde mogelijkheid om de voorlopige lijst met beken aan te passen? Aan welke criteria moet deze inbreng voldoen en binnen welke termijn moet deze worden aangeleverd?</w:t>
      </w:r>
      <w:r>
        <w:br/>
      </w:r>
    </w:p>
    <w:p>
      <w:pPr>
        <w:pStyle w:val="ListParagraph"/>
        <w:numPr>
          <w:ilvl w:val="0"/>
          <w:numId w:val="100523690"/>
        </w:numPr>
        <w:ind w:left="360"/>
      </w:pPr>
      <w:r>
        <w:t xml:space="preserve">Deelt u de mening dat het voor agrarische ondernemers grote onzekerheid met zich meebrengt wanneer hun bedrijf binnen een aangekondigde bufferzone valt, terwijl pas na gerichte Kamervragen duidelijk wordt dat de gepresenteerde lijst met beken nog niet definitief is, en dat deze werkwijze het vertrouwen in een betrouwbare en voorspelbare overheid ondermijnt? Wanneer verwacht u dat de definitieve lijst met beken wordt vastgesteld en kunt u toezeggen dat er vóór die tijd geen onomkeerbare besluiten worden genomen over bufferzones of beperkingen voor agrarische bedrijven?</w:t>
      </w:r>
      <w:r>
        <w:br/>
      </w:r>
    </w:p>
    <w:p>
      <w:pPr>
        <w:pStyle w:val="ListParagraph"/>
        <w:numPr>
          <w:ilvl w:val="0"/>
          <w:numId w:val="100523690"/>
        </w:numPr>
        <w:ind w:left="360"/>
      </w:pPr>
      <w:r>
        <w:t xml:space="preserve">Klopt het dat het effect van de 250 meter zone slechts 0,1 milligram per liter is, aangezien de Tungelroyse beek op de kaart rechtsboven in figuur 3.4 op pagina 21 uit het Ex ante rapport van Deltares blauw is gekleurd en dat reductie dus tussen 0,5 en 5 procent ligt? [1]</w:t>
      </w:r>
      <w:r>
        <w:br/>
      </w:r>
    </w:p>
    <w:p>
      <w:pPr>
        <w:pStyle w:val="ListParagraph"/>
        <w:numPr>
          <w:ilvl w:val="0"/>
          <w:numId w:val="100523690"/>
        </w:numPr>
        <w:ind w:left="360"/>
      </w:pPr>
      <w:r>
        <w:t xml:space="preserve">Kunt u een volledig overzicht verstrekken van alle beken waarvoor een buitenlandse bijdrage aan de nutriëntenbelasting is berekend, inclusief het berekende percentage per beek, dus ook wanneer deze bijdrage minder dan 50 procent bedraagt?</w:t>
      </w:r>
      <w:r>
        <w:br/>
      </w:r>
    </w:p>
    <w:p>
      <w:pPr>
        <w:pStyle w:val="ListParagraph"/>
        <w:numPr>
          <w:ilvl w:val="0"/>
          <w:numId w:val="100523690"/>
        </w:numPr>
        <w:ind w:left="360"/>
      </w:pPr>
      <w:r>
        <w:t xml:space="preserve">Zijn alle betrokken provincies en waterschappen actief geïnformeerd over de berekende buitenlandse nutriëntenbelasting van de beken in hun gebied, de voorlopige selectie en de mogelijkheid om onderbouwde correcties aan te dragen? Zo ja, wanneer en op welke wijze? Zo nee, waarom niet en bent u bereid dit alsnog te doen?</w:t>
      </w:r>
      <w:r>
        <w:br/>
      </w:r>
    </w:p>
    <w:p>
      <w:pPr>
        <w:pStyle w:val="ListParagraph"/>
        <w:numPr>
          <w:ilvl w:val="0"/>
          <w:numId w:val="100523690"/>
        </w:numPr>
        <w:ind w:left="360"/>
      </w:pPr>
      <w:r>
        <w:t xml:space="preserve">Welke concrete gesprekken zijn sinds de toezegging gedaan tijdens het wetgevingsoverleg Water van 2 februari 2026, gevoerd met de bevoegde autoriteiten in België en Duitsland over grensoverschrijdende nutriëntenbelasting, op welk bestuurlijk niveau vonden deze plaats en welke afspraken over vermindering van die belasting zijn daarbij gemaakt?</w:t>
      </w:r>
      <w:r>
        <w:br/>
      </w:r>
    </w:p>
    <w:p>
      <w:pPr>
        <w:pStyle w:val="ListParagraph"/>
        <w:numPr>
          <w:ilvl w:val="0"/>
          <w:numId w:val="100523690"/>
        </w:numPr>
        <w:ind w:left="360"/>
      </w:pPr>
      <w:r>
        <w:t xml:space="preserve">Kunt u specifiek ingaan op de Belgische bijdrage aan de belasting van de Tungelroyse Beek en aangeven welke reducties binnen welke termijnen zijn afgesproken met de Belgische verantwoordelijken voor dit dossier, en hoe de uitvoering wordt gevolgd?</w:t>
      </w:r>
      <w:r>
        <w:br/>
      </w:r>
    </w:p>
    <w:p>
      <w:pPr>
        <w:pStyle w:val="ListParagraph"/>
        <w:numPr>
          <w:ilvl w:val="0"/>
          <w:numId w:val="100523690"/>
        </w:numPr>
        <w:ind w:left="360"/>
      </w:pPr>
      <w:r>
        <w:t xml:space="preserve">Hoe wordt deze inzet betrokken bij de besluitvorming over de bufferzones langs de 17 geselecteerde beken, gezien het feit dat u in uw brief van 19 juni 2026 over de voortgang van de Kaderrichtlijn Water (Kamerstuk 27625, nr. 742) schrijft dat buurlanden wordt gevraagd ervoor te zorgen dat het water op de grens aan de Nederlandse kwaliteitseisen voldoet? Kunt u per grensoverschrijdende beek onderbouwen welk deel van de resterende opgave met maatregelen in Nederland kan worden opgelost en welk deel vermindering van de buitenlandse belasting vereist, zodat agrarische ondernemers niet worden aangesproken op een opgave die zij met hun bedrijfsvoering niet kunnen oplossen?</w:t>
      </w:r>
      <w:r>
        <w:br/>
      </w:r>
    </w:p>
    <w:p>
      <w:pPr>
        <w:pStyle w:val="ListParagraph"/>
        <w:numPr>
          <w:ilvl w:val="0"/>
          <w:numId w:val="100523690"/>
        </w:numPr>
        <w:ind w:left="360"/>
      </w:pPr>
      <w:r>
        <w:t xml:space="preserve">Bent u bereid deze vragen afzonderlijk en volledig te beantwoorden en de antwoorden ruimschoots voorafgaand aan het wetgevingsoverleg Water van 23 november 2026 aan de Kamer te doen toekomen, zodat de Kamer deze bij de voorbereiding van het overleg kan betrekken?</w:t>
      </w:r>
      <w:r>
        <w:br/>
      </w:r>
    </w:p>
    <w:p>
      <w:r>
        <w:t xml:space="preserve">[1] Deltares, 10 december 2025, 'Doorrekening van de effecten van maatregelen in brede bufferzones langs beekdalen voor KRW doelbereik nutriënten'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6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690">
    <w:abstractNumId w:val="1005236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