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4E14" w:rsidR="00021A49" w:rsidP="2FF809C0" w:rsidRDefault="2FF809C0" w14:paraId="3F39A68D" w14:textId="16BFB8E1">
      <w:pPr>
        <w:spacing w:after="0"/>
        <w:contextualSpacing/>
        <w:rPr>
          <w:b/>
          <w:bCs/>
          <w:lang w:val="nl-NL"/>
        </w:rPr>
      </w:pPr>
      <w:bookmarkStart w:name="_Hlk108774585" w:id="0"/>
      <w:r w:rsidRPr="2FF809C0">
        <w:rPr>
          <w:b/>
          <w:bCs/>
          <w:lang w:val="nl-NL"/>
        </w:rPr>
        <w:t xml:space="preserve">Geannoteerde Agenda informele Europese Raad van 13 november 2026 </w:t>
      </w:r>
    </w:p>
    <w:p w:rsidRPr="00804E14" w:rsidR="00A26844" w:rsidP="00FD22E0" w:rsidRDefault="00A26844" w14:paraId="1E4E1626" w14:textId="77777777">
      <w:pPr>
        <w:spacing w:after="0"/>
        <w:contextualSpacing/>
        <w:rPr>
          <w:szCs w:val="18"/>
          <w:lang w:val="nl-NL" w:eastAsia="ja-JP"/>
        </w:rPr>
      </w:pPr>
    </w:p>
    <w:p w:rsidRPr="00A65EC2" w:rsidR="00FD22E0" w:rsidP="2FF809C0" w:rsidRDefault="2FF809C0" w14:paraId="3AB76AE4" w14:textId="266C6258">
      <w:pPr>
        <w:spacing w:after="0"/>
        <w:contextualSpacing/>
        <w:rPr>
          <w:i/>
          <w:iCs/>
          <w:lang w:val="nl-NL" w:eastAsia="ja-JP"/>
        </w:rPr>
      </w:pPr>
      <w:r w:rsidRPr="2FF809C0">
        <w:rPr>
          <w:i/>
          <w:iCs/>
          <w:lang w:val="nl-NL" w:eastAsia="ja-JP"/>
        </w:rPr>
        <w:t>Introductie</w:t>
      </w:r>
    </w:p>
    <w:p w:rsidRPr="00A65EC2" w:rsidR="00021A49" w:rsidP="2FF809C0" w:rsidRDefault="2FF809C0" w14:paraId="0D4D1594" w14:textId="0E61ED23">
      <w:pPr>
        <w:spacing w:after="0"/>
        <w:contextualSpacing/>
        <w:rPr>
          <w:lang w:val="nl-NL" w:eastAsia="ja-JP"/>
        </w:rPr>
      </w:pPr>
      <w:r w:rsidRPr="2FF809C0">
        <w:rPr>
          <w:lang w:val="nl-NL" w:eastAsia="ja-JP"/>
        </w:rPr>
        <w:t>Op 13 november vindt de informele Europese Raad (</w:t>
      </w:r>
      <w:proofErr w:type="spellStart"/>
      <w:r w:rsidRPr="2FF809C0">
        <w:rPr>
          <w:lang w:val="nl-NL" w:eastAsia="ja-JP"/>
        </w:rPr>
        <w:t>iER</w:t>
      </w:r>
      <w:proofErr w:type="spellEnd"/>
      <w:r w:rsidRPr="2FF809C0">
        <w:rPr>
          <w:lang w:val="nl-NL" w:eastAsia="ja-JP"/>
        </w:rPr>
        <w:t xml:space="preserve">) plaats in Dublin. Op het moment van schrijven is de agenda nog niet bekend. De dag voorafgaand aan de </w:t>
      </w:r>
      <w:proofErr w:type="spellStart"/>
      <w:r w:rsidRPr="2FF809C0">
        <w:rPr>
          <w:lang w:val="nl-NL" w:eastAsia="ja-JP"/>
        </w:rPr>
        <w:t>iER</w:t>
      </w:r>
      <w:proofErr w:type="spellEnd"/>
      <w:r w:rsidRPr="2FF809C0">
        <w:rPr>
          <w:lang w:val="nl-NL" w:eastAsia="ja-JP"/>
        </w:rPr>
        <w:t xml:space="preserve"> vindt de Europese politieke gemeenschap (EPG) plaats. De minister-president is voornemens deel te nemen aan de </w:t>
      </w:r>
      <w:proofErr w:type="spellStart"/>
      <w:r w:rsidRPr="2FF809C0">
        <w:rPr>
          <w:lang w:val="nl-NL" w:eastAsia="ja-JP"/>
        </w:rPr>
        <w:t>iER</w:t>
      </w:r>
      <w:proofErr w:type="spellEnd"/>
      <w:r w:rsidRPr="2FF809C0">
        <w:rPr>
          <w:lang w:val="nl-NL" w:eastAsia="ja-JP"/>
        </w:rPr>
        <w:t>.</w:t>
      </w:r>
    </w:p>
    <w:p w:rsidRPr="00A65EC2" w:rsidR="00FD22E0" w:rsidP="00A65EC2" w:rsidRDefault="00FD22E0" w14:paraId="4F004CCB" w14:textId="77777777">
      <w:pPr>
        <w:spacing w:after="0"/>
        <w:contextualSpacing/>
        <w:rPr>
          <w:szCs w:val="18"/>
          <w:lang w:val="nl-NL" w:eastAsia="ja-JP"/>
        </w:rPr>
      </w:pPr>
    </w:p>
    <w:p w:rsidRPr="00A65EC2" w:rsidR="00FD22E0" w:rsidP="2FF809C0" w:rsidRDefault="2FF809C0" w14:paraId="0577C8B0" w14:textId="171073F6">
      <w:pPr>
        <w:spacing w:after="0"/>
        <w:contextualSpacing/>
        <w:rPr>
          <w:i/>
          <w:iCs/>
          <w:lang w:val="nl-NL" w:eastAsia="ja-JP"/>
        </w:rPr>
      </w:pPr>
      <w:proofErr w:type="spellStart"/>
      <w:r w:rsidRPr="2FF809C0">
        <w:rPr>
          <w:i/>
          <w:iCs/>
          <w:lang w:val="nl-NL" w:eastAsia="ja-JP"/>
        </w:rPr>
        <w:t>A</w:t>
      </w:r>
      <w:r w:rsidR="00433E00">
        <w:rPr>
          <w:i/>
          <w:iCs/>
          <w:lang w:val="nl-NL" w:eastAsia="ja-JP"/>
        </w:rPr>
        <w:t>rtificial</w:t>
      </w:r>
      <w:proofErr w:type="spellEnd"/>
      <w:r w:rsidR="00433E00">
        <w:rPr>
          <w:i/>
          <w:iCs/>
          <w:lang w:val="nl-NL" w:eastAsia="ja-JP"/>
        </w:rPr>
        <w:t xml:space="preserve"> Intelligence (A</w:t>
      </w:r>
      <w:r w:rsidRPr="2FF809C0">
        <w:rPr>
          <w:i/>
          <w:iCs/>
          <w:lang w:val="nl-NL" w:eastAsia="ja-JP"/>
        </w:rPr>
        <w:t>I</w:t>
      </w:r>
      <w:r w:rsidR="00433E00">
        <w:rPr>
          <w:i/>
          <w:iCs/>
          <w:lang w:val="nl-NL" w:eastAsia="ja-JP"/>
        </w:rPr>
        <w:t>)</w:t>
      </w:r>
    </w:p>
    <w:p w:rsidR="752E2EDB" w:rsidP="2FF809C0" w:rsidRDefault="752E2EDB" w14:paraId="67C9A562" w14:textId="6E946BE4">
      <w:pPr>
        <w:spacing w:after="0"/>
        <w:rPr>
          <w:rFonts w:eastAsia="Verdana" w:cs="Verdana"/>
          <w:lang w:val="nl-NL"/>
        </w:rPr>
      </w:pPr>
      <w:r w:rsidRPr="6D9AF203">
        <w:rPr>
          <w:rFonts w:eastAsia="Verdana" w:cs="Verdana"/>
          <w:lang w:val="nl-NL"/>
        </w:rPr>
        <w:t xml:space="preserve">Het kabinet verwacht dat AI op de agenda zal staan van de </w:t>
      </w:r>
      <w:proofErr w:type="spellStart"/>
      <w:r w:rsidR="008D5CD4">
        <w:rPr>
          <w:rFonts w:eastAsia="Verdana" w:cs="Verdana"/>
          <w:lang w:val="nl-NL"/>
        </w:rPr>
        <w:t>iER</w:t>
      </w:r>
      <w:proofErr w:type="spellEnd"/>
      <w:r w:rsidRPr="6D9AF203">
        <w:rPr>
          <w:rFonts w:eastAsia="Verdana" w:cs="Verdana"/>
          <w:lang w:val="nl-NL"/>
        </w:rPr>
        <w:t xml:space="preserve"> op 13 november. Het kabinet werkt momenteel aan een kabinetsbrede Visie op AI, die naar verwachting</w:t>
      </w:r>
      <w:r w:rsidR="006171A0">
        <w:rPr>
          <w:rFonts w:eastAsia="Verdana" w:cs="Verdana"/>
          <w:lang w:val="nl-NL"/>
        </w:rPr>
        <w:t xml:space="preserve"> in november </w:t>
      </w:r>
      <w:r w:rsidRPr="6D9AF203">
        <w:rPr>
          <w:rFonts w:eastAsia="Verdana" w:cs="Verdana"/>
          <w:lang w:val="nl-NL"/>
        </w:rPr>
        <w:t>aan de Tweede Kamer wordt aangeboden. Samen met de internationale AI-strategie</w:t>
      </w:r>
      <w:r w:rsidR="00B949E7">
        <w:rPr>
          <w:rStyle w:val="Voetnootmarkering"/>
          <w:rFonts w:eastAsia="Verdana" w:cs="Verdana"/>
          <w:lang w:val="nl-NL"/>
        </w:rPr>
        <w:footnoteReference w:id="1"/>
      </w:r>
      <w:r w:rsidRPr="6D9AF203">
        <w:rPr>
          <w:rFonts w:eastAsia="Verdana" w:cs="Verdana"/>
          <w:lang w:val="nl-NL"/>
        </w:rPr>
        <w:t xml:space="preserve"> geeft deze visie richting aan de Nederlandse inzet om Europese AI-capaciteiten te versterken, toegang tot geavanceerde AI-technologieën te waarborgen, de verantwoorde toepassing van AI te versnellen en de veiligheidsrisico’s van AI te beperken en voorkomen.</w:t>
      </w:r>
    </w:p>
    <w:p w:rsidRPr="00A65EC2" w:rsidR="00981682" w:rsidP="00981682" w:rsidRDefault="00981682" w14:paraId="3BE96F73" w14:textId="3FAD9F4B">
      <w:pPr>
        <w:spacing w:after="0"/>
        <w:rPr>
          <w:lang w:val="nl-NL"/>
        </w:rPr>
      </w:pPr>
    </w:p>
    <w:p w:rsidRPr="00A65EC2" w:rsidR="00FD22E0" w:rsidP="2FF809C0" w:rsidRDefault="2FF809C0" w14:paraId="086428A4" w14:textId="33C58683">
      <w:pPr>
        <w:spacing w:after="0"/>
        <w:rPr>
          <w:lang w:val="nl-NL" w:eastAsia="ja-JP"/>
        </w:rPr>
      </w:pPr>
      <w:r w:rsidRPr="2FF809C0">
        <w:rPr>
          <w:rFonts w:eastAsia="Verdana" w:cs="Verdana"/>
          <w:lang w:val="nl-NL"/>
        </w:rPr>
        <w:t xml:space="preserve">Het kabinet wil hierin een voortrekkersrol spelen. Daarbij zet het kabinet in op het bundelen van Europese technologische sterktes en het versterken van strategisch onmisbare posities in de mondiale AI-waardeketen. Dit vraagt om een gezamenlijke Europese aanpak, waarbij lidstaten voortbouwen op elkaars sterktes en gericht investeren waar Europa het verschil kan maken. Initiatieven zoals de </w:t>
      </w:r>
      <w:r w:rsidRPr="2FF809C0">
        <w:rPr>
          <w:rFonts w:eastAsia="Verdana" w:cs="Verdana"/>
          <w:i/>
          <w:iCs/>
          <w:lang w:val="nl-NL"/>
        </w:rPr>
        <w:t>European Tech Creators Coalition</w:t>
      </w:r>
      <w:r w:rsidRPr="2FF809C0">
        <w:rPr>
          <w:rFonts w:eastAsia="Verdana" w:cs="Verdana"/>
          <w:lang w:val="nl-NL"/>
        </w:rPr>
        <w:t xml:space="preserve"> (TCC) en het werk van de Europese Commissie op industriële AI bieden concreet handelingsperspectief om samen met het bedrijfsleven investeringen te versnellen en de randvoorwaarden voor Europese AI-ontwikkeling en -toepassing te verbeteren.</w:t>
      </w:r>
      <w:r w:rsidR="00433E00">
        <w:rPr>
          <w:rFonts w:eastAsia="Verdana" w:cs="Verdana"/>
          <w:lang w:val="nl-NL"/>
        </w:rPr>
        <w:t xml:space="preserve"> Nederland zal hier tijdens de informele Europese Raad stevig op inzetten.</w:t>
      </w:r>
    </w:p>
    <w:p w:rsidRPr="00A65EC2" w:rsidR="00B30986" w:rsidP="00B30986" w:rsidRDefault="00B30986" w14:paraId="40C3CAD1" w14:textId="77777777">
      <w:pPr>
        <w:spacing w:after="0"/>
        <w:rPr>
          <w:szCs w:val="18"/>
          <w:lang w:val="nl-NL"/>
        </w:rPr>
      </w:pPr>
    </w:p>
    <w:p w:rsidRPr="009F1578" w:rsidR="3D432289" w:rsidP="2FF809C0" w:rsidRDefault="2FF809C0" w14:paraId="235C68A5" w14:textId="4040D50C">
      <w:pPr>
        <w:pStyle w:val="Geenafstand"/>
        <w:contextualSpacing/>
        <w:rPr>
          <w:b/>
          <w:bCs/>
          <w:lang w:val="nl-NL"/>
        </w:rPr>
      </w:pPr>
      <w:r w:rsidRPr="2FF809C0">
        <w:rPr>
          <w:b/>
          <w:bCs/>
          <w:lang w:val="nl-NL"/>
        </w:rPr>
        <w:t>Europese Politieke Gemeenschap</w:t>
      </w:r>
      <w:bookmarkEnd w:id="0"/>
    </w:p>
    <w:p w:rsidRPr="003856FE" w:rsidR="3D432289" w:rsidP="2FF809C0" w:rsidRDefault="2FF809C0" w14:paraId="1EBDD6B7" w14:textId="011AC02F">
      <w:pPr>
        <w:spacing w:after="0"/>
        <w:rPr>
          <w:rFonts w:eastAsia="SimSun" w:cs="SimSun"/>
          <w:color w:val="132439"/>
          <w:lang w:val="nl-NL"/>
        </w:rPr>
      </w:pPr>
      <w:r w:rsidRPr="2FF809C0">
        <w:rPr>
          <w:rFonts w:eastAsia="SimSun" w:cs="SimSun"/>
          <w:lang w:val="nl-NL"/>
        </w:rPr>
        <w:t>Op 12 november vindt de EPG plaats in Dublin. Gedurende de top zullen regeringsleiders van meer dan veertig Europese landen met elkaar spreken over gezamenlijke uitdagingen en kansen. Naast de zevenentwintig lidstaten van de EU is een groot aantal andere Europese landen aanwezig, waaronder het Verenigd Koninkrijk, Noorwegen, IJsland, Armenië, Azerbeidzjan en de tien kandidaat-lidstaten van de EU</w:t>
      </w:r>
      <w:r w:rsidR="00433E00">
        <w:rPr>
          <w:rFonts w:eastAsia="SimSun" w:cs="SimSun"/>
          <w:lang w:val="nl-NL"/>
        </w:rPr>
        <w:t>, waaronder Oekraïne en Moldavië</w:t>
      </w:r>
      <w:r w:rsidRPr="2FF809C0">
        <w:rPr>
          <w:rFonts w:eastAsia="SimSun" w:cs="SimSun"/>
          <w:lang w:val="nl-NL"/>
        </w:rPr>
        <w:t>.</w:t>
      </w:r>
      <w:r w:rsidRPr="2FF809C0">
        <w:rPr>
          <w:rFonts w:eastAsia="SimSun" w:cs="SimSun"/>
          <w:color w:val="132439"/>
          <w:lang w:val="nl-NL"/>
        </w:rPr>
        <w:t xml:space="preserve"> </w:t>
      </w:r>
    </w:p>
    <w:p w:rsidRPr="003856FE" w:rsidR="002B34B8" w:rsidP="003856FE" w:rsidRDefault="002B34B8" w14:paraId="7E19C9E4" w14:textId="77777777">
      <w:pPr>
        <w:spacing w:after="0"/>
        <w:rPr>
          <w:rFonts w:eastAsia="SimSun" w:cs="SimSun"/>
          <w:color w:val="132439"/>
          <w:szCs w:val="18"/>
          <w:lang w:val="nl-NL"/>
        </w:rPr>
      </w:pPr>
    </w:p>
    <w:p w:rsidRPr="009F1578" w:rsidR="7F404976" w:rsidP="2FF809C0" w:rsidRDefault="2FF809C0" w14:paraId="36EE2A5E" w14:textId="2640D3BC">
      <w:pPr>
        <w:spacing w:after="0"/>
        <w:rPr>
          <w:rFonts w:eastAsia="SimSun" w:cs="SimSun"/>
          <w:lang w:val="nl-NL"/>
        </w:rPr>
      </w:pPr>
      <w:r w:rsidRPr="2FF809C0">
        <w:rPr>
          <w:rFonts w:eastAsiaTheme="minorEastAsia"/>
          <w:lang w:val="nl-NL"/>
        </w:rPr>
        <w:t>Het overkoepelende thema van de</w:t>
      </w:r>
      <w:r w:rsidR="00547FBA">
        <w:rPr>
          <w:rFonts w:eastAsiaTheme="minorEastAsia"/>
          <w:lang w:val="nl-NL"/>
        </w:rPr>
        <w:t>ze</w:t>
      </w:r>
      <w:r w:rsidRPr="2FF809C0">
        <w:rPr>
          <w:rFonts w:eastAsiaTheme="minorEastAsia"/>
          <w:lang w:val="nl-NL"/>
        </w:rPr>
        <w:t xml:space="preserve"> EPG</w:t>
      </w:r>
      <w:r w:rsidR="00547FBA">
        <w:rPr>
          <w:rFonts w:eastAsiaTheme="minorEastAsia"/>
          <w:lang w:val="nl-NL"/>
        </w:rPr>
        <w:t xml:space="preserve"> bijeenkomst</w:t>
      </w:r>
      <w:r w:rsidRPr="2FF809C0">
        <w:rPr>
          <w:rFonts w:eastAsiaTheme="minorEastAsia"/>
          <w:lang w:val="nl-NL"/>
        </w:rPr>
        <w:t xml:space="preserve"> zal "</w:t>
      </w:r>
      <w:r w:rsidRPr="2FF809C0">
        <w:rPr>
          <w:rFonts w:eastAsiaTheme="minorEastAsia"/>
          <w:i/>
          <w:iCs/>
          <w:lang w:val="nl-NL"/>
        </w:rPr>
        <w:t xml:space="preserve">Europe- strong, secure and </w:t>
      </w:r>
      <w:proofErr w:type="spellStart"/>
      <w:r w:rsidRPr="2FF809C0">
        <w:rPr>
          <w:rFonts w:eastAsiaTheme="minorEastAsia"/>
          <w:i/>
          <w:iCs/>
          <w:lang w:val="nl-NL"/>
        </w:rPr>
        <w:t>connected</w:t>
      </w:r>
      <w:proofErr w:type="spellEnd"/>
      <w:r w:rsidRPr="2FF809C0">
        <w:rPr>
          <w:rFonts w:eastAsiaTheme="minorEastAsia"/>
          <w:lang w:val="nl-NL"/>
        </w:rPr>
        <w:t>" zijn, waarbij er onder andere gesproken wordt over het bouwen aan een competitief Europa door middel van innovatie, verbeterde connectiviteit en energievoorziening. Ook staan de voortdurende oorlog van Rusland tegen Oekra</w:t>
      </w:r>
      <w:r w:rsidRPr="2FF809C0">
        <w:rPr>
          <w:rFonts w:eastAsia="SimSun" w:cs="SimSun"/>
          <w:lang w:val="nl-NL"/>
        </w:rPr>
        <w:t>ïne en hybride-</w:t>
      </w:r>
      <w:r w:rsidRPr="2FF809C0">
        <w:rPr>
          <w:rFonts w:eastAsiaTheme="minorEastAsia"/>
          <w:lang w:val="nl-NL"/>
        </w:rPr>
        <w:t xml:space="preserve"> en cyberdreigingen op de agenda. Nederland zal enkel aan het diner deelnemen, waar de minister-president een aantal regeringsleiders kort zal spreken.</w:t>
      </w:r>
    </w:p>
    <w:p w:rsidR="00547FBA" w:rsidP="2FF809C0" w:rsidRDefault="00547FBA" w14:paraId="6008BAB7" w14:textId="77777777">
      <w:pPr>
        <w:spacing w:after="0"/>
        <w:rPr>
          <w:rFonts w:eastAsiaTheme="minorEastAsia"/>
          <w:lang w:val="nl-NL"/>
        </w:rPr>
      </w:pPr>
    </w:p>
    <w:p w:rsidRPr="003856FE" w:rsidR="00547FBA" w:rsidP="00547FBA" w:rsidRDefault="00547FBA" w14:paraId="70BE576D" w14:textId="1A58030D">
      <w:pPr>
        <w:spacing w:after="0"/>
        <w:rPr>
          <w:rFonts w:eastAsia="SimSun" w:cs="SimSun"/>
          <w:lang w:val="nl-NL"/>
        </w:rPr>
      </w:pPr>
      <w:r w:rsidRPr="2FF809C0">
        <w:rPr>
          <w:rFonts w:eastAsia="SimSun" w:cs="SimSun"/>
          <w:lang w:val="nl-NL"/>
        </w:rPr>
        <w:t xml:space="preserve">De EPG is in 2022 opgericht om in de context van geopolitieke spanningen een forum te creëren voor politieke dialoog en samenwerking tussen EU-lidstaten en naastgelegen landen uit de ‘ring rond Europa’. Het kabinet ziet de toegevoegde waarde van de EPG als een forum voor uitwisseling en samenwerking en geeft de </w:t>
      </w:r>
      <w:r w:rsidRPr="00185D0B">
        <w:rPr>
          <w:rFonts w:eastAsia="SimSun" w:cs="SimSun"/>
          <w:lang w:val="nl-NL"/>
        </w:rPr>
        <w:t>voorkeur aan een flexibele en lichte structuur om duplicatie met andere multilaterale fora te voorkomen. Er z</w:t>
      </w:r>
      <w:r w:rsidRPr="00185D0B" w:rsidR="002F53C0">
        <w:rPr>
          <w:rFonts w:eastAsia="SimSun" w:cs="SimSun"/>
          <w:lang w:val="nl-NL"/>
        </w:rPr>
        <w:t xml:space="preserve">ullen geen </w:t>
      </w:r>
      <w:r w:rsidRPr="00185D0B">
        <w:rPr>
          <w:rFonts w:eastAsia="SimSun" w:cs="SimSun"/>
          <w:lang w:val="nl-NL"/>
        </w:rPr>
        <w:t xml:space="preserve">gezamenlijke </w:t>
      </w:r>
      <w:r w:rsidRPr="00185D0B" w:rsidR="002F53C0">
        <w:rPr>
          <w:rFonts w:eastAsia="SimSun" w:cs="SimSun"/>
          <w:lang w:val="nl-NL"/>
        </w:rPr>
        <w:t>conclusies</w:t>
      </w:r>
      <w:r w:rsidRPr="2FF809C0">
        <w:rPr>
          <w:rFonts w:eastAsia="SimSun" w:cs="SimSun"/>
          <w:lang w:val="nl-NL"/>
        </w:rPr>
        <w:t xml:space="preserve"> worden aangenomen en er is geen concrete besluitvorming.</w:t>
      </w:r>
    </w:p>
    <w:p w:rsidRPr="00A65EC2" w:rsidR="00C15AA7" w:rsidP="00A65EC2" w:rsidRDefault="00C15AA7" w14:paraId="7D048B63" w14:textId="77777777">
      <w:pPr>
        <w:spacing w:after="0"/>
        <w:rPr>
          <w:rFonts w:eastAsiaTheme="minorEastAsia"/>
          <w:szCs w:val="18"/>
          <w:lang w:val="nl-NL"/>
        </w:rPr>
      </w:pPr>
    </w:p>
    <w:p w:rsidRPr="00A65EC2" w:rsidR="000E6358" w:rsidP="2FF809C0" w:rsidRDefault="2FF809C0" w14:paraId="7FF11874" w14:textId="3052D6B6">
      <w:pPr>
        <w:spacing w:after="0"/>
        <w:rPr>
          <w:rFonts w:eastAsiaTheme="minorEastAsia"/>
          <w:b/>
          <w:bCs/>
          <w:lang w:val="nl-NL"/>
        </w:rPr>
      </w:pPr>
      <w:r w:rsidRPr="2FF809C0">
        <w:rPr>
          <w:rFonts w:eastAsiaTheme="minorEastAsia"/>
          <w:b/>
          <w:bCs/>
          <w:lang w:val="nl-NL"/>
        </w:rPr>
        <w:t>EU-Westelijke Balkan top</w:t>
      </w:r>
    </w:p>
    <w:p w:rsidRPr="00A65EC2" w:rsidR="00384054" w:rsidP="2FF809C0" w:rsidRDefault="2FF809C0" w14:paraId="06155CA7" w14:textId="0206117F">
      <w:pPr>
        <w:spacing w:after="0"/>
        <w:rPr>
          <w:rFonts w:eastAsiaTheme="minorEastAsia"/>
          <w:lang w:val="nl-NL"/>
        </w:rPr>
      </w:pPr>
      <w:r w:rsidRPr="2FF809C0">
        <w:rPr>
          <w:rFonts w:eastAsiaTheme="minorEastAsia"/>
          <w:lang w:val="nl-NL"/>
        </w:rPr>
        <w:t>Op 25 november vindt de EU-Westelijke Balkan top plaats in Brussel. Deze top zal op institutioneel niveau zijn</w:t>
      </w:r>
      <w:r w:rsidR="00433E00">
        <w:rPr>
          <w:rFonts w:eastAsiaTheme="minorEastAsia"/>
          <w:lang w:val="nl-NL"/>
        </w:rPr>
        <w:t xml:space="preserve">, dus zonder deelname van de </w:t>
      </w:r>
      <w:r w:rsidR="00E60A50">
        <w:rPr>
          <w:rFonts w:eastAsiaTheme="minorEastAsia"/>
          <w:lang w:val="nl-NL"/>
        </w:rPr>
        <w:t>regeringsleiders van EU-</w:t>
      </w:r>
      <w:r w:rsidR="00433E00">
        <w:rPr>
          <w:rFonts w:eastAsiaTheme="minorEastAsia"/>
          <w:lang w:val="nl-NL"/>
        </w:rPr>
        <w:t>lidstaten</w:t>
      </w:r>
      <w:r w:rsidRPr="2FF809C0">
        <w:rPr>
          <w:rFonts w:eastAsiaTheme="minorEastAsia"/>
          <w:lang w:val="nl-NL"/>
        </w:rPr>
        <w:t xml:space="preserve">, </w:t>
      </w:r>
      <w:r w:rsidR="005A6B56">
        <w:rPr>
          <w:rFonts w:eastAsiaTheme="minorEastAsia"/>
          <w:lang w:val="nl-NL"/>
        </w:rPr>
        <w:t xml:space="preserve">en </w:t>
      </w:r>
      <w:r w:rsidR="00110643">
        <w:rPr>
          <w:rFonts w:eastAsiaTheme="minorEastAsia"/>
          <w:lang w:val="nl-NL"/>
        </w:rPr>
        <w:t xml:space="preserve">worden </w:t>
      </w:r>
      <w:r w:rsidR="005A6B56">
        <w:rPr>
          <w:rFonts w:eastAsiaTheme="minorEastAsia"/>
          <w:lang w:val="nl-NL"/>
        </w:rPr>
        <w:t>voorgezeten door de voorzitter van de Europese Raad</w:t>
      </w:r>
      <w:r w:rsidR="00FC27D0">
        <w:rPr>
          <w:rFonts w:eastAsiaTheme="minorEastAsia"/>
          <w:lang w:val="nl-NL"/>
        </w:rPr>
        <w:t xml:space="preserve"> </w:t>
      </w:r>
      <w:r w:rsidR="005A6B56">
        <w:rPr>
          <w:rFonts w:eastAsiaTheme="minorEastAsia"/>
          <w:lang w:val="nl-NL"/>
        </w:rPr>
        <w:t xml:space="preserve">met deelname van de voorzitter van de </w:t>
      </w:r>
      <w:r w:rsidR="00110643">
        <w:rPr>
          <w:rFonts w:eastAsiaTheme="minorEastAsia"/>
          <w:lang w:val="nl-NL"/>
        </w:rPr>
        <w:t xml:space="preserve">Europese </w:t>
      </w:r>
      <w:r w:rsidR="005A6B56">
        <w:rPr>
          <w:rFonts w:eastAsiaTheme="minorEastAsia"/>
          <w:lang w:val="nl-NL"/>
        </w:rPr>
        <w:t>Commissie</w:t>
      </w:r>
      <w:r w:rsidR="00FC27D0">
        <w:rPr>
          <w:rFonts w:eastAsiaTheme="minorEastAsia"/>
          <w:lang w:val="nl-NL"/>
        </w:rPr>
        <w:t xml:space="preserve"> </w:t>
      </w:r>
      <w:r w:rsidR="005A6B56">
        <w:rPr>
          <w:rFonts w:eastAsiaTheme="minorEastAsia"/>
          <w:lang w:val="nl-NL"/>
        </w:rPr>
        <w:t>en de leiders van</w:t>
      </w:r>
      <w:r w:rsidRPr="2FF809C0">
        <w:rPr>
          <w:rFonts w:eastAsiaTheme="minorEastAsia"/>
          <w:lang w:val="nl-NL"/>
        </w:rPr>
        <w:t xml:space="preserve"> de zes Westelijke Balkanlanden</w:t>
      </w:r>
      <w:r w:rsidRPr="00547FBA" w:rsidR="005A6B56">
        <w:rPr>
          <w:rStyle w:val="Verwijzingopmerking"/>
          <w:lang w:val="nl-NL"/>
        </w:rPr>
        <w:t>.</w:t>
      </w:r>
      <w:r w:rsidRPr="2FF809C0">
        <w:rPr>
          <w:rFonts w:eastAsiaTheme="minorEastAsia"/>
          <w:lang w:val="nl-NL"/>
        </w:rPr>
        <w:t xml:space="preserve"> </w:t>
      </w:r>
      <w:r w:rsidR="00DA07A2">
        <w:rPr>
          <w:rFonts w:eastAsiaTheme="minorEastAsia"/>
          <w:lang w:val="nl-NL"/>
        </w:rPr>
        <w:t>Aan het einde van deze top zal er</w:t>
      </w:r>
      <w:r w:rsidRPr="2FF809C0">
        <w:rPr>
          <w:rFonts w:eastAsiaTheme="minorEastAsia"/>
          <w:lang w:val="nl-NL"/>
        </w:rPr>
        <w:t xml:space="preserve"> een verklaring worden aangenomen. </w:t>
      </w:r>
    </w:p>
    <w:p w:rsidRPr="00A65EC2" w:rsidR="00384054" w:rsidP="00A65EC2" w:rsidRDefault="00384054" w14:paraId="403C94D0" w14:textId="77777777">
      <w:pPr>
        <w:spacing w:after="0"/>
        <w:rPr>
          <w:rFonts w:eastAsiaTheme="minorEastAsia"/>
          <w:szCs w:val="18"/>
          <w:lang w:val="nl-NL"/>
        </w:rPr>
      </w:pPr>
    </w:p>
    <w:p w:rsidRPr="00A65EC2" w:rsidR="00C15AA7" w:rsidP="2FF809C0" w:rsidRDefault="2FF809C0" w14:paraId="4C04869B" w14:textId="3CAFFCC0">
      <w:pPr>
        <w:spacing w:after="0"/>
        <w:rPr>
          <w:rFonts w:eastAsiaTheme="minorEastAsia"/>
          <w:lang w:val="nl-NL"/>
        </w:rPr>
      </w:pPr>
      <w:r w:rsidRPr="2FF809C0">
        <w:rPr>
          <w:rFonts w:eastAsiaTheme="minorEastAsia"/>
          <w:lang w:val="nl-NL"/>
        </w:rPr>
        <w:t xml:space="preserve">Tijdens deze top zal er </w:t>
      </w:r>
      <w:r w:rsidRPr="2FF809C0" w:rsidR="00110643">
        <w:rPr>
          <w:rFonts w:eastAsiaTheme="minorEastAsia"/>
          <w:lang w:val="nl-NL"/>
        </w:rPr>
        <w:t xml:space="preserve">worden </w:t>
      </w:r>
      <w:r w:rsidRPr="2FF809C0">
        <w:rPr>
          <w:rFonts w:eastAsiaTheme="minorEastAsia"/>
          <w:lang w:val="nl-NL"/>
        </w:rPr>
        <w:t xml:space="preserve">gesproken over de relatie van de EU met de zes Westelijke Balkan landen. EU-uitbreiding en de vereisten daarvoor is een belangrijk onderdeel hiervan, maar ook de lopende samenwerking op terreinen zoals het EU Gemeenschappelijk Buitenland en Veiligheidsbeleid (GBVB), economie en regionale integratie. Het kabinet zet zich ervoor in dat er tijdens de top ook specifiek aandacht wordt besteed aan de aanpak van hybride dreigingen, inclusief </w:t>
      </w:r>
      <w:r w:rsidRPr="2FF809C0">
        <w:rPr>
          <w:rFonts w:eastAsiaTheme="minorEastAsia"/>
          <w:i/>
          <w:iCs/>
          <w:lang w:val="nl-NL"/>
        </w:rPr>
        <w:t>Foreign Information Manipulation and Interference</w:t>
      </w:r>
      <w:r w:rsidRPr="2FF809C0">
        <w:rPr>
          <w:rFonts w:eastAsiaTheme="minorEastAsia"/>
          <w:lang w:val="nl-NL"/>
        </w:rPr>
        <w:t xml:space="preserve"> (FIMI), het bevorderen van verdere aansluiting bij het GBVB, het </w:t>
      </w:r>
      <w:r w:rsidRPr="2FF809C0">
        <w:rPr>
          <w:rFonts w:eastAsiaTheme="minorEastAsia"/>
          <w:lang w:val="nl-NL"/>
        </w:rPr>
        <w:lastRenderedPageBreak/>
        <w:t>verdiepen van veiligheids- en defensiesamenwerking via partnerschappen, en de inzet van instrumenten onder de Europese Vredesfaciliteit (EPF).</w:t>
      </w:r>
    </w:p>
    <w:p w:rsidRPr="00A65EC2" w:rsidR="00962847" w:rsidP="00A65EC2" w:rsidRDefault="00962847" w14:paraId="4946584B" w14:textId="77777777">
      <w:pPr>
        <w:spacing w:after="0"/>
        <w:rPr>
          <w:rFonts w:eastAsiaTheme="minorEastAsia"/>
          <w:szCs w:val="18"/>
          <w:lang w:val="nl-NL"/>
        </w:rPr>
      </w:pPr>
    </w:p>
    <w:p w:rsidRPr="00B3339D" w:rsidR="00962847" w:rsidP="2FF809C0" w:rsidRDefault="2FF809C0" w14:paraId="26594610" w14:textId="640B78E5">
      <w:pPr>
        <w:spacing w:after="0"/>
        <w:rPr>
          <w:rFonts w:eastAsiaTheme="minorEastAsia"/>
          <w:lang w:val="nl-NL"/>
        </w:rPr>
      </w:pPr>
      <w:r w:rsidRPr="2FF809C0">
        <w:rPr>
          <w:rFonts w:eastAsiaTheme="minorEastAsia"/>
          <w:lang w:val="nl-NL"/>
        </w:rPr>
        <w:t>De EU-Westelijke Balkan top vindt een tot twee keer per jaar plaats</w:t>
      </w:r>
      <w:r w:rsidR="006C18C2">
        <w:rPr>
          <w:rFonts w:eastAsiaTheme="minorEastAsia"/>
          <w:lang w:val="nl-NL"/>
        </w:rPr>
        <w:t>. De</w:t>
      </w:r>
      <w:r w:rsidRPr="2FF809C0">
        <w:rPr>
          <w:rFonts w:eastAsiaTheme="minorEastAsia"/>
          <w:lang w:val="nl-NL"/>
        </w:rPr>
        <w:t xml:space="preserve"> minister-president </w:t>
      </w:r>
      <w:r w:rsidR="006C18C2">
        <w:rPr>
          <w:rFonts w:eastAsiaTheme="minorEastAsia"/>
          <w:lang w:val="nl-NL"/>
        </w:rPr>
        <w:t xml:space="preserve">was </w:t>
      </w:r>
      <w:r w:rsidRPr="2FF809C0">
        <w:rPr>
          <w:rFonts w:eastAsiaTheme="minorEastAsia"/>
          <w:lang w:val="nl-NL"/>
        </w:rPr>
        <w:t xml:space="preserve">namens Nederland aanwezig bij de vorige EU-Westelijke Balkan top in </w:t>
      </w:r>
      <w:proofErr w:type="spellStart"/>
      <w:r w:rsidRPr="2FF809C0">
        <w:rPr>
          <w:rFonts w:eastAsiaTheme="minorEastAsia"/>
          <w:lang w:val="nl-NL"/>
        </w:rPr>
        <w:t>Tivat</w:t>
      </w:r>
      <w:proofErr w:type="spellEnd"/>
      <w:r w:rsidRPr="2FF809C0">
        <w:rPr>
          <w:rFonts w:eastAsiaTheme="minorEastAsia"/>
          <w:lang w:val="nl-NL"/>
        </w:rPr>
        <w:t>, Montenegro, op 5 juni jl. Het kabinet is van mening dat intensieve samenwerking en politieke dialoog met de Westelijke Balkanlanden van onverminderd groot belang is vanwege de aanhoudende Russische invloed in de regio en het belang om stabiliteit en veiligheid in de regio te waarborgen. De EU-Westelijke Balkan top biedt de gelegenheid om het gesprek tussen de EU en de Westelijke Balkan landen te blijven voeren over onderwerpen die van wederzijds belang zijn.</w:t>
      </w:r>
    </w:p>
    <w:sectPr w:rsidRPr="00B3339D" w:rsidR="0096284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770D" w14:textId="77777777" w:rsidR="001E6ED7" w:rsidRDefault="001E6ED7" w:rsidP="003E101F">
      <w:pPr>
        <w:spacing w:after="0"/>
      </w:pPr>
      <w:r>
        <w:separator/>
      </w:r>
    </w:p>
  </w:endnote>
  <w:endnote w:type="continuationSeparator" w:id="0">
    <w:p w14:paraId="37E65786" w14:textId="77777777" w:rsidR="001E6ED7" w:rsidRDefault="001E6ED7"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F7CE" w14:textId="77777777" w:rsidR="001E6ED7" w:rsidRDefault="001E6ED7" w:rsidP="003E101F">
      <w:pPr>
        <w:spacing w:after="0"/>
      </w:pPr>
      <w:r>
        <w:separator/>
      </w:r>
    </w:p>
  </w:footnote>
  <w:footnote w:type="continuationSeparator" w:id="0">
    <w:p w14:paraId="0E15263A" w14:textId="77777777" w:rsidR="001E6ED7" w:rsidRDefault="001E6ED7" w:rsidP="003E101F">
      <w:pPr>
        <w:spacing w:after="0"/>
      </w:pPr>
      <w:r>
        <w:continuationSeparator/>
      </w:r>
    </w:p>
  </w:footnote>
  <w:footnote w:id="1">
    <w:p w14:paraId="1162FFD8" w14:textId="438E2674" w:rsidR="00B949E7" w:rsidRPr="00281E6C" w:rsidRDefault="00B949E7">
      <w:pPr>
        <w:pStyle w:val="Voetnoottekst"/>
        <w:rPr>
          <w:sz w:val="16"/>
          <w:szCs w:val="16"/>
          <w:lang w:val="nl-NL"/>
        </w:rPr>
      </w:pPr>
      <w:r w:rsidRPr="00281E6C">
        <w:rPr>
          <w:rStyle w:val="Voetnootmarkering"/>
          <w:sz w:val="16"/>
          <w:szCs w:val="16"/>
        </w:rPr>
        <w:footnoteRef/>
      </w:r>
      <w:r w:rsidRPr="00281E6C">
        <w:rPr>
          <w:sz w:val="16"/>
          <w:szCs w:val="16"/>
        </w:rPr>
        <w:t xml:space="preserve"> </w:t>
      </w:r>
      <w:proofErr w:type="spellStart"/>
      <w:r w:rsidR="00281E6C" w:rsidRPr="00281E6C">
        <w:rPr>
          <w:sz w:val="16"/>
          <w:szCs w:val="16"/>
        </w:rPr>
        <w:t>Kamerstuk</w:t>
      </w:r>
      <w:proofErr w:type="spellEnd"/>
      <w:r w:rsidR="00281E6C" w:rsidRPr="00281E6C">
        <w:rPr>
          <w:sz w:val="16"/>
          <w:szCs w:val="16"/>
        </w:rPr>
        <w:t xml:space="preserve"> 26</w:t>
      </w:r>
      <w:r w:rsidR="00D0585F">
        <w:rPr>
          <w:sz w:val="16"/>
          <w:szCs w:val="16"/>
        </w:rPr>
        <w:t xml:space="preserve"> </w:t>
      </w:r>
      <w:r w:rsidR="00281E6C" w:rsidRPr="00281E6C">
        <w:rPr>
          <w:sz w:val="16"/>
          <w:szCs w:val="16"/>
        </w:rPr>
        <w:t>643, nr. 1543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47836"/>
    <w:multiLevelType w:val="hybridMultilevel"/>
    <w:tmpl w:val="FEB61DCC"/>
    <w:lvl w:ilvl="0" w:tplc="87229584">
      <w:start w:val="1"/>
      <w:numFmt w:val="bullet"/>
      <w:lvlText w:val=""/>
      <w:lvlJc w:val="left"/>
      <w:pPr>
        <w:ind w:left="720" w:hanging="360"/>
      </w:pPr>
      <w:rPr>
        <w:rFonts w:ascii="Symbol" w:hAnsi="Symbol" w:hint="default"/>
      </w:rPr>
    </w:lvl>
    <w:lvl w:ilvl="1" w:tplc="8DAC991E">
      <w:start w:val="1"/>
      <w:numFmt w:val="bullet"/>
      <w:lvlText w:val="o"/>
      <w:lvlJc w:val="left"/>
      <w:pPr>
        <w:ind w:left="1440" w:hanging="360"/>
      </w:pPr>
      <w:rPr>
        <w:rFonts w:ascii="Courier New" w:hAnsi="Courier New" w:hint="default"/>
      </w:rPr>
    </w:lvl>
    <w:lvl w:ilvl="2" w:tplc="84009D62">
      <w:start w:val="1"/>
      <w:numFmt w:val="bullet"/>
      <w:lvlText w:val=""/>
      <w:lvlJc w:val="left"/>
      <w:pPr>
        <w:ind w:left="2160" w:hanging="360"/>
      </w:pPr>
      <w:rPr>
        <w:rFonts w:ascii="Wingdings" w:hAnsi="Wingdings" w:hint="default"/>
      </w:rPr>
    </w:lvl>
    <w:lvl w:ilvl="3" w:tplc="26BA18A8">
      <w:start w:val="1"/>
      <w:numFmt w:val="bullet"/>
      <w:lvlText w:val=""/>
      <w:lvlJc w:val="left"/>
      <w:pPr>
        <w:ind w:left="2880" w:hanging="360"/>
      </w:pPr>
      <w:rPr>
        <w:rFonts w:ascii="Symbol" w:hAnsi="Symbol" w:hint="default"/>
      </w:rPr>
    </w:lvl>
    <w:lvl w:ilvl="4" w:tplc="45FAFD1C">
      <w:start w:val="1"/>
      <w:numFmt w:val="bullet"/>
      <w:lvlText w:val="o"/>
      <w:lvlJc w:val="left"/>
      <w:pPr>
        <w:ind w:left="3600" w:hanging="360"/>
      </w:pPr>
      <w:rPr>
        <w:rFonts w:ascii="Courier New" w:hAnsi="Courier New" w:hint="default"/>
      </w:rPr>
    </w:lvl>
    <w:lvl w:ilvl="5" w:tplc="DDE407DE">
      <w:start w:val="1"/>
      <w:numFmt w:val="bullet"/>
      <w:lvlText w:val=""/>
      <w:lvlJc w:val="left"/>
      <w:pPr>
        <w:ind w:left="4320" w:hanging="360"/>
      </w:pPr>
      <w:rPr>
        <w:rFonts w:ascii="Wingdings" w:hAnsi="Wingdings" w:hint="default"/>
      </w:rPr>
    </w:lvl>
    <w:lvl w:ilvl="6" w:tplc="0A605900">
      <w:start w:val="1"/>
      <w:numFmt w:val="bullet"/>
      <w:lvlText w:val=""/>
      <w:lvlJc w:val="left"/>
      <w:pPr>
        <w:ind w:left="5040" w:hanging="360"/>
      </w:pPr>
      <w:rPr>
        <w:rFonts w:ascii="Symbol" w:hAnsi="Symbol" w:hint="default"/>
      </w:rPr>
    </w:lvl>
    <w:lvl w:ilvl="7" w:tplc="D0003468">
      <w:start w:val="1"/>
      <w:numFmt w:val="bullet"/>
      <w:lvlText w:val="o"/>
      <w:lvlJc w:val="left"/>
      <w:pPr>
        <w:ind w:left="5760" w:hanging="360"/>
      </w:pPr>
      <w:rPr>
        <w:rFonts w:ascii="Courier New" w:hAnsi="Courier New" w:hint="default"/>
      </w:rPr>
    </w:lvl>
    <w:lvl w:ilvl="8" w:tplc="02A4ADBC">
      <w:start w:val="1"/>
      <w:numFmt w:val="bullet"/>
      <w:lvlText w:val=""/>
      <w:lvlJc w:val="left"/>
      <w:pPr>
        <w:ind w:left="6480" w:hanging="360"/>
      </w:pPr>
      <w:rPr>
        <w:rFonts w:ascii="Wingdings" w:hAnsi="Wingdings" w:hint="default"/>
      </w:rPr>
    </w:lvl>
  </w:abstractNum>
  <w:abstractNum w:abstractNumId="1" w15:restartNumberingAfterBreak="0">
    <w:nsid w:val="3D4E22E9"/>
    <w:multiLevelType w:val="hybridMultilevel"/>
    <w:tmpl w:val="D9A04BAE"/>
    <w:lvl w:ilvl="0" w:tplc="E904F40C">
      <w:start w:val="1"/>
      <w:numFmt w:val="bullet"/>
      <w:lvlText w:val=""/>
      <w:lvlJc w:val="left"/>
      <w:pPr>
        <w:ind w:left="720" w:hanging="360"/>
      </w:pPr>
      <w:rPr>
        <w:rFonts w:ascii="Symbol" w:hAnsi="Symbol" w:hint="default"/>
      </w:rPr>
    </w:lvl>
    <w:lvl w:ilvl="1" w:tplc="FCBEB070">
      <w:start w:val="1"/>
      <w:numFmt w:val="bullet"/>
      <w:lvlText w:val="o"/>
      <w:lvlJc w:val="left"/>
      <w:pPr>
        <w:ind w:left="1440" w:hanging="360"/>
      </w:pPr>
      <w:rPr>
        <w:rFonts w:ascii="Courier New" w:hAnsi="Courier New" w:hint="default"/>
      </w:rPr>
    </w:lvl>
    <w:lvl w:ilvl="2" w:tplc="68227D14">
      <w:start w:val="1"/>
      <w:numFmt w:val="bullet"/>
      <w:lvlText w:val=""/>
      <w:lvlJc w:val="left"/>
      <w:pPr>
        <w:ind w:left="2160" w:hanging="360"/>
      </w:pPr>
      <w:rPr>
        <w:rFonts w:ascii="Wingdings" w:hAnsi="Wingdings" w:hint="default"/>
      </w:rPr>
    </w:lvl>
    <w:lvl w:ilvl="3" w:tplc="CFD8107A">
      <w:start w:val="1"/>
      <w:numFmt w:val="bullet"/>
      <w:lvlText w:val=""/>
      <w:lvlJc w:val="left"/>
      <w:pPr>
        <w:ind w:left="2880" w:hanging="360"/>
      </w:pPr>
      <w:rPr>
        <w:rFonts w:ascii="Symbol" w:hAnsi="Symbol" w:hint="default"/>
      </w:rPr>
    </w:lvl>
    <w:lvl w:ilvl="4" w:tplc="745A0860">
      <w:start w:val="1"/>
      <w:numFmt w:val="bullet"/>
      <w:lvlText w:val="o"/>
      <w:lvlJc w:val="left"/>
      <w:pPr>
        <w:ind w:left="3600" w:hanging="360"/>
      </w:pPr>
      <w:rPr>
        <w:rFonts w:ascii="Courier New" w:hAnsi="Courier New" w:hint="default"/>
      </w:rPr>
    </w:lvl>
    <w:lvl w:ilvl="5" w:tplc="BD982958">
      <w:start w:val="1"/>
      <w:numFmt w:val="bullet"/>
      <w:lvlText w:val=""/>
      <w:lvlJc w:val="left"/>
      <w:pPr>
        <w:ind w:left="4320" w:hanging="360"/>
      </w:pPr>
      <w:rPr>
        <w:rFonts w:ascii="Wingdings" w:hAnsi="Wingdings" w:hint="default"/>
      </w:rPr>
    </w:lvl>
    <w:lvl w:ilvl="6" w:tplc="6B1EC1FC">
      <w:start w:val="1"/>
      <w:numFmt w:val="bullet"/>
      <w:lvlText w:val=""/>
      <w:lvlJc w:val="left"/>
      <w:pPr>
        <w:ind w:left="5040" w:hanging="360"/>
      </w:pPr>
      <w:rPr>
        <w:rFonts w:ascii="Symbol" w:hAnsi="Symbol" w:hint="default"/>
      </w:rPr>
    </w:lvl>
    <w:lvl w:ilvl="7" w:tplc="66DC73A4">
      <w:start w:val="1"/>
      <w:numFmt w:val="bullet"/>
      <w:lvlText w:val="o"/>
      <w:lvlJc w:val="left"/>
      <w:pPr>
        <w:ind w:left="5760" w:hanging="360"/>
      </w:pPr>
      <w:rPr>
        <w:rFonts w:ascii="Courier New" w:hAnsi="Courier New" w:hint="default"/>
      </w:rPr>
    </w:lvl>
    <w:lvl w:ilvl="8" w:tplc="CF688288">
      <w:start w:val="1"/>
      <w:numFmt w:val="bullet"/>
      <w:lvlText w:val=""/>
      <w:lvlJc w:val="left"/>
      <w:pPr>
        <w:ind w:left="6480" w:hanging="360"/>
      </w:pPr>
      <w:rPr>
        <w:rFonts w:ascii="Wingdings" w:hAnsi="Wingdings" w:hint="default"/>
      </w:rPr>
    </w:lvl>
  </w:abstractNum>
  <w:abstractNum w:abstractNumId="2" w15:restartNumberingAfterBreak="0">
    <w:nsid w:val="65924CD6"/>
    <w:multiLevelType w:val="hybridMultilevel"/>
    <w:tmpl w:val="9D38DD52"/>
    <w:lvl w:ilvl="0" w:tplc="1076F49A">
      <w:start w:val="1"/>
      <w:numFmt w:val="bullet"/>
      <w:lvlText w:val=""/>
      <w:lvlJc w:val="left"/>
      <w:pPr>
        <w:ind w:left="720" w:hanging="360"/>
      </w:pPr>
      <w:rPr>
        <w:rFonts w:ascii="Symbol" w:hAnsi="Symbol" w:hint="default"/>
      </w:rPr>
    </w:lvl>
    <w:lvl w:ilvl="1" w:tplc="37FC5210">
      <w:start w:val="1"/>
      <w:numFmt w:val="bullet"/>
      <w:lvlText w:val="o"/>
      <w:lvlJc w:val="left"/>
      <w:pPr>
        <w:ind w:left="1440" w:hanging="360"/>
      </w:pPr>
      <w:rPr>
        <w:rFonts w:ascii="Courier New" w:hAnsi="Courier New" w:hint="default"/>
      </w:rPr>
    </w:lvl>
    <w:lvl w:ilvl="2" w:tplc="A49C9C08">
      <w:start w:val="1"/>
      <w:numFmt w:val="bullet"/>
      <w:lvlText w:val=""/>
      <w:lvlJc w:val="left"/>
      <w:pPr>
        <w:ind w:left="2160" w:hanging="360"/>
      </w:pPr>
      <w:rPr>
        <w:rFonts w:ascii="Wingdings" w:hAnsi="Wingdings" w:hint="default"/>
      </w:rPr>
    </w:lvl>
    <w:lvl w:ilvl="3" w:tplc="8E0842FE">
      <w:start w:val="1"/>
      <w:numFmt w:val="bullet"/>
      <w:lvlText w:val=""/>
      <w:lvlJc w:val="left"/>
      <w:pPr>
        <w:ind w:left="2880" w:hanging="360"/>
      </w:pPr>
      <w:rPr>
        <w:rFonts w:ascii="Symbol" w:hAnsi="Symbol" w:hint="default"/>
      </w:rPr>
    </w:lvl>
    <w:lvl w:ilvl="4" w:tplc="92147246">
      <w:start w:val="1"/>
      <w:numFmt w:val="bullet"/>
      <w:lvlText w:val="o"/>
      <w:lvlJc w:val="left"/>
      <w:pPr>
        <w:ind w:left="3600" w:hanging="360"/>
      </w:pPr>
      <w:rPr>
        <w:rFonts w:ascii="Courier New" w:hAnsi="Courier New" w:hint="default"/>
      </w:rPr>
    </w:lvl>
    <w:lvl w:ilvl="5" w:tplc="747EA138">
      <w:start w:val="1"/>
      <w:numFmt w:val="bullet"/>
      <w:lvlText w:val=""/>
      <w:lvlJc w:val="left"/>
      <w:pPr>
        <w:ind w:left="4320" w:hanging="360"/>
      </w:pPr>
      <w:rPr>
        <w:rFonts w:ascii="Wingdings" w:hAnsi="Wingdings" w:hint="default"/>
      </w:rPr>
    </w:lvl>
    <w:lvl w:ilvl="6" w:tplc="6FFC9A1E">
      <w:start w:val="1"/>
      <w:numFmt w:val="bullet"/>
      <w:lvlText w:val=""/>
      <w:lvlJc w:val="left"/>
      <w:pPr>
        <w:ind w:left="5040" w:hanging="360"/>
      </w:pPr>
      <w:rPr>
        <w:rFonts w:ascii="Symbol" w:hAnsi="Symbol" w:hint="default"/>
      </w:rPr>
    </w:lvl>
    <w:lvl w:ilvl="7" w:tplc="E39EA97C">
      <w:start w:val="1"/>
      <w:numFmt w:val="bullet"/>
      <w:lvlText w:val="o"/>
      <w:lvlJc w:val="left"/>
      <w:pPr>
        <w:ind w:left="5760" w:hanging="360"/>
      </w:pPr>
      <w:rPr>
        <w:rFonts w:ascii="Courier New" w:hAnsi="Courier New" w:hint="default"/>
      </w:rPr>
    </w:lvl>
    <w:lvl w:ilvl="8" w:tplc="8D3A7CBC">
      <w:start w:val="1"/>
      <w:numFmt w:val="bullet"/>
      <w:lvlText w:val=""/>
      <w:lvlJc w:val="left"/>
      <w:pPr>
        <w:ind w:left="6480" w:hanging="360"/>
      </w:pPr>
      <w:rPr>
        <w:rFonts w:ascii="Wingdings" w:hAnsi="Wingdings" w:hint="default"/>
      </w:rPr>
    </w:lvl>
  </w:abstractNum>
  <w:num w:numId="1" w16cid:durableId="1053894921">
    <w:abstractNumId w:val="2"/>
  </w:num>
  <w:num w:numId="2" w16cid:durableId="119496711">
    <w:abstractNumId w:val="0"/>
  </w:num>
  <w:num w:numId="3" w16cid:durableId="918978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21A49"/>
    <w:rsid w:val="00082518"/>
    <w:rsid w:val="000C1915"/>
    <w:rsid w:val="000C25FF"/>
    <w:rsid w:val="000C6167"/>
    <w:rsid w:val="000C7BBB"/>
    <w:rsid w:val="000D2767"/>
    <w:rsid w:val="000E6358"/>
    <w:rsid w:val="000F3058"/>
    <w:rsid w:val="000F62BA"/>
    <w:rsid w:val="00110643"/>
    <w:rsid w:val="00125EA9"/>
    <w:rsid w:val="00164DED"/>
    <w:rsid w:val="00185D0B"/>
    <w:rsid w:val="001D30A6"/>
    <w:rsid w:val="001D42F9"/>
    <w:rsid w:val="001D7496"/>
    <w:rsid w:val="001E18A4"/>
    <w:rsid w:val="001E28C2"/>
    <w:rsid w:val="001E3C86"/>
    <w:rsid w:val="001E6ED7"/>
    <w:rsid w:val="00237549"/>
    <w:rsid w:val="00250D5E"/>
    <w:rsid w:val="002747D6"/>
    <w:rsid w:val="002777D9"/>
    <w:rsid w:val="00281E6C"/>
    <w:rsid w:val="002A3676"/>
    <w:rsid w:val="002B34B8"/>
    <w:rsid w:val="002C41EC"/>
    <w:rsid w:val="002E2211"/>
    <w:rsid w:val="002F3D05"/>
    <w:rsid w:val="002F53C0"/>
    <w:rsid w:val="003415ED"/>
    <w:rsid w:val="00342EC3"/>
    <w:rsid w:val="0034351D"/>
    <w:rsid w:val="00344D87"/>
    <w:rsid w:val="00355739"/>
    <w:rsid w:val="00366488"/>
    <w:rsid w:val="00373477"/>
    <w:rsid w:val="003824DF"/>
    <w:rsid w:val="00384054"/>
    <w:rsid w:val="003856FE"/>
    <w:rsid w:val="0039589A"/>
    <w:rsid w:val="003B003C"/>
    <w:rsid w:val="003B0741"/>
    <w:rsid w:val="003B28C9"/>
    <w:rsid w:val="003D23C4"/>
    <w:rsid w:val="003E101F"/>
    <w:rsid w:val="003F0C6E"/>
    <w:rsid w:val="003F73AA"/>
    <w:rsid w:val="0040593D"/>
    <w:rsid w:val="00422371"/>
    <w:rsid w:val="004277BB"/>
    <w:rsid w:val="00433E00"/>
    <w:rsid w:val="004528E8"/>
    <w:rsid w:val="00474788"/>
    <w:rsid w:val="004942C4"/>
    <w:rsid w:val="004A1905"/>
    <w:rsid w:val="004C7051"/>
    <w:rsid w:val="004E42B8"/>
    <w:rsid w:val="005022A8"/>
    <w:rsid w:val="00506DFB"/>
    <w:rsid w:val="00524C24"/>
    <w:rsid w:val="00547FBA"/>
    <w:rsid w:val="005768F4"/>
    <w:rsid w:val="005A2EB6"/>
    <w:rsid w:val="005A6B56"/>
    <w:rsid w:val="005B4042"/>
    <w:rsid w:val="005B4916"/>
    <w:rsid w:val="005C561B"/>
    <w:rsid w:val="005D25A5"/>
    <w:rsid w:val="006171A0"/>
    <w:rsid w:val="00637773"/>
    <w:rsid w:val="00645145"/>
    <w:rsid w:val="006908F3"/>
    <w:rsid w:val="006B5436"/>
    <w:rsid w:val="006C18C2"/>
    <w:rsid w:val="006C1A45"/>
    <w:rsid w:val="006E1377"/>
    <w:rsid w:val="0073007A"/>
    <w:rsid w:val="00745698"/>
    <w:rsid w:val="007570DB"/>
    <w:rsid w:val="00761FA0"/>
    <w:rsid w:val="00774DA2"/>
    <w:rsid w:val="0077776A"/>
    <w:rsid w:val="007933D0"/>
    <w:rsid w:val="00793A19"/>
    <w:rsid w:val="00795404"/>
    <w:rsid w:val="00796565"/>
    <w:rsid w:val="007B7848"/>
    <w:rsid w:val="00804E14"/>
    <w:rsid w:val="00821670"/>
    <w:rsid w:val="00835A3C"/>
    <w:rsid w:val="00866570"/>
    <w:rsid w:val="00870DDF"/>
    <w:rsid w:val="00880EB4"/>
    <w:rsid w:val="008A2540"/>
    <w:rsid w:val="008D0947"/>
    <w:rsid w:val="008D5CD4"/>
    <w:rsid w:val="008F6B3B"/>
    <w:rsid w:val="00906AB3"/>
    <w:rsid w:val="00955F5B"/>
    <w:rsid w:val="00962847"/>
    <w:rsid w:val="00975752"/>
    <w:rsid w:val="00981682"/>
    <w:rsid w:val="00984346"/>
    <w:rsid w:val="009B25E2"/>
    <w:rsid w:val="009C1EB1"/>
    <w:rsid w:val="009E0DDF"/>
    <w:rsid w:val="009E3EDE"/>
    <w:rsid w:val="009F1578"/>
    <w:rsid w:val="009F713F"/>
    <w:rsid w:val="00A11828"/>
    <w:rsid w:val="00A26844"/>
    <w:rsid w:val="00A65EC2"/>
    <w:rsid w:val="00A84069"/>
    <w:rsid w:val="00AA4199"/>
    <w:rsid w:val="00AF21F4"/>
    <w:rsid w:val="00AF4B26"/>
    <w:rsid w:val="00AF5A1F"/>
    <w:rsid w:val="00B11915"/>
    <w:rsid w:val="00B21CDB"/>
    <w:rsid w:val="00B30986"/>
    <w:rsid w:val="00B3339D"/>
    <w:rsid w:val="00B53B50"/>
    <w:rsid w:val="00B949E7"/>
    <w:rsid w:val="00BB1E2F"/>
    <w:rsid w:val="00BD64DC"/>
    <w:rsid w:val="00C1012B"/>
    <w:rsid w:val="00C10947"/>
    <w:rsid w:val="00C15AA7"/>
    <w:rsid w:val="00C207D4"/>
    <w:rsid w:val="00CA7AC6"/>
    <w:rsid w:val="00CD11D3"/>
    <w:rsid w:val="00CF5CF0"/>
    <w:rsid w:val="00D0585F"/>
    <w:rsid w:val="00D05D0D"/>
    <w:rsid w:val="00D131A2"/>
    <w:rsid w:val="00D26200"/>
    <w:rsid w:val="00D309B7"/>
    <w:rsid w:val="00D30B0B"/>
    <w:rsid w:val="00D40A77"/>
    <w:rsid w:val="00D42591"/>
    <w:rsid w:val="00D425A2"/>
    <w:rsid w:val="00D44A50"/>
    <w:rsid w:val="00DA07A2"/>
    <w:rsid w:val="00DB0676"/>
    <w:rsid w:val="00DC3554"/>
    <w:rsid w:val="00DD2DDB"/>
    <w:rsid w:val="00E0155A"/>
    <w:rsid w:val="00E10F2E"/>
    <w:rsid w:val="00E315DA"/>
    <w:rsid w:val="00E60A50"/>
    <w:rsid w:val="00E84075"/>
    <w:rsid w:val="00EB20E1"/>
    <w:rsid w:val="00F25EAD"/>
    <w:rsid w:val="00F27E16"/>
    <w:rsid w:val="00F45689"/>
    <w:rsid w:val="00F7024E"/>
    <w:rsid w:val="00F82C83"/>
    <w:rsid w:val="00FC27D0"/>
    <w:rsid w:val="00FD22E0"/>
    <w:rsid w:val="00FE360C"/>
    <w:rsid w:val="00FF2BC8"/>
    <w:rsid w:val="25D471E9"/>
    <w:rsid w:val="2FF809C0"/>
    <w:rsid w:val="35A811D4"/>
    <w:rsid w:val="3D432289"/>
    <w:rsid w:val="51F7C7CE"/>
    <w:rsid w:val="6D9AF203"/>
    <w:rsid w:val="752E2EDB"/>
    <w:rsid w:val="7F404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975752"/>
    <w:rPr>
      <w:sz w:val="16"/>
      <w:szCs w:val="16"/>
    </w:rPr>
  </w:style>
  <w:style w:type="paragraph" w:styleId="Tekstopmerking">
    <w:name w:val="annotation text"/>
    <w:basedOn w:val="Standaard"/>
    <w:link w:val="TekstopmerkingChar"/>
    <w:uiPriority w:val="99"/>
    <w:unhideWhenUsed/>
    <w:rsid w:val="00975752"/>
    <w:rPr>
      <w:sz w:val="20"/>
      <w:szCs w:val="20"/>
    </w:rPr>
  </w:style>
  <w:style w:type="character" w:customStyle="1" w:styleId="TekstopmerkingChar">
    <w:name w:val="Tekst opmerking Char"/>
    <w:basedOn w:val="Standaardalinea-lettertype"/>
    <w:link w:val="Tekstopmerking"/>
    <w:uiPriority w:val="99"/>
    <w:rsid w:val="00975752"/>
    <w:rPr>
      <w:sz w:val="20"/>
      <w:szCs w:val="20"/>
    </w:rPr>
  </w:style>
  <w:style w:type="paragraph" w:styleId="Onderwerpvanopmerking">
    <w:name w:val="annotation subject"/>
    <w:basedOn w:val="Tekstopmerking"/>
    <w:next w:val="Tekstopmerking"/>
    <w:link w:val="OnderwerpvanopmerkingChar"/>
    <w:uiPriority w:val="99"/>
    <w:semiHidden/>
    <w:unhideWhenUsed/>
    <w:rsid w:val="00975752"/>
    <w:rPr>
      <w:b/>
      <w:bCs/>
    </w:rPr>
  </w:style>
  <w:style w:type="character" w:customStyle="1" w:styleId="OnderwerpvanopmerkingChar">
    <w:name w:val="Onderwerp van opmerking Char"/>
    <w:basedOn w:val="TekstopmerkingChar"/>
    <w:link w:val="Onderwerpvanopmerking"/>
    <w:uiPriority w:val="99"/>
    <w:semiHidden/>
    <w:rsid w:val="00975752"/>
    <w:rPr>
      <w:b/>
      <w:bCs/>
      <w:sz w:val="20"/>
      <w:szCs w:val="20"/>
    </w:rPr>
  </w:style>
  <w:style w:type="paragraph" w:styleId="Voetnoottekst">
    <w:name w:val="footnote text"/>
    <w:basedOn w:val="Standaard"/>
    <w:link w:val="VoetnoottekstChar"/>
    <w:uiPriority w:val="99"/>
    <w:semiHidden/>
    <w:unhideWhenUsed/>
    <w:rsid w:val="00AF21F4"/>
    <w:pPr>
      <w:spacing w:after="0"/>
    </w:pPr>
    <w:rPr>
      <w:sz w:val="20"/>
      <w:szCs w:val="20"/>
    </w:rPr>
  </w:style>
  <w:style w:type="character" w:customStyle="1" w:styleId="VoetnoottekstChar">
    <w:name w:val="Voetnoottekst Char"/>
    <w:basedOn w:val="Standaardalinea-lettertype"/>
    <w:link w:val="Voetnoottekst"/>
    <w:uiPriority w:val="99"/>
    <w:semiHidden/>
    <w:rsid w:val="00AF21F4"/>
    <w:rPr>
      <w:sz w:val="20"/>
      <w:szCs w:val="20"/>
    </w:rPr>
  </w:style>
  <w:style w:type="character" w:styleId="Voetnootmarkering">
    <w:name w:val="footnote reference"/>
    <w:basedOn w:val="Standaardalinea-lettertype"/>
    <w:uiPriority w:val="99"/>
    <w:semiHidden/>
    <w:unhideWhenUsed/>
    <w:rsid w:val="00AF21F4"/>
    <w:rPr>
      <w:vertAlign w:val="superscript"/>
    </w:rPr>
  </w:style>
  <w:style w:type="character" w:styleId="Hyperlink">
    <w:name w:val="Hyperlink"/>
    <w:basedOn w:val="Standaardalinea-lettertype"/>
    <w:uiPriority w:val="99"/>
    <w:unhideWhenUsed/>
    <w:rsid w:val="00AF21F4"/>
    <w:rPr>
      <w:color w:val="0000FF" w:themeColor="hyperlink"/>
      <w:u w:val="single"/>
    </w:rPr>
  </w:style>
  <w:style w:type="character" w:styleId="Onopgelostemelding">
    <w:name w:val="Unresolved Mention"/>
    <w:basedOn w:val="Standaardalinea-lettertype"/>
    <w:uiPriority w:val="99"/>
    <w:semiHidden/>
    <w:unhideWhenUsed/>
    <w:rsid w:val="00AF21F4"/>
    <w:rPr>
      <w:color w:val="605E5C"/>
      <w:shd w:val="clear" w:color="auto" w:fill="E1DFDD"/>
    </w:rPr>
  </w:style>
  <w:style w:type="paragraph" w:styleId="Revisie">
    <w:name w:val="Revision"/>
    <w:hidden/>
    <w:uiPriority w:val="99"/>
    <w:semiHidden/>
    <w:rsid w:val="00CF5CF0"/>
    <w:pPr>
      <w:spacing w:after="0"/>
    </w:pPr>
  </w:style>
  <w:style w:type="character" w:styleId="GevolgdeHyperlink">
    <w:name w:val="FollowedHyperlink"/>
    <w:basedOn w:val="Standaardalinea-lettertype"/>
    <w:uiPriority w:val="99"/>
    <w:semiHidden/>
    <w:unhideWhenUsed/>
    <w:rsid w:val="00281E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754</ap:Words>
  <ap:Characters>4148</ap:Characters>
  <ap:DocSecurity>0</ap:DocSecurity>
  <ap:Lines>34</ap:Lines>
  <ap:Paragraphs>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4893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2026-10-28T15:47:00.0000000Z</dcterms:created>
  <dcterms:modified xsi:type="dcterms:W3CDTF">2026-10-28T15:47:00.0000000Z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0x0101009C7CE436063D44E9BE7DC0259EF7C32F006EB9F9836A634AE58B6169785FD3936F00DE20E2D2575B3F4BB6AABD512EF58E8D</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105f67d4-76e4-4d9a-b5c3-607495ba360b</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https://247.plaza.buzaservices.nl/subject/PV-RK2026092026/BZ2633356/GA%20ER%20(3).docx,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DossierTemplate">
    <vt:lpwstr>ReguliereKamerbrief</vt:lpwstr>
  </property>
  <property fmtid="{D5CDD505-2E9C-101B-9397-08002B2CF9AE}" pid="59" name="BZEmailHasAttachment">
    <vt:bool>false</vt:bool>
  </property>
  <property fmtid="{D5CDD505-2E9C-101B-9397-08002B2CF9AE}" pid="60" name="_docset_NoMedatataSyncRequired">
    <vt:lpwstr>False</vt:lpwstr>
  </property>
</Properties>
</file>