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1ADF" w:rsidR="00CE6A78" w:rsidP="00CE6A78" w:rsidRDefault="00CE6A78" w14:paraId="2A4325A2" w14:textId="77777777">
      <w:pPr>
        <w:rPr>
          <w:b/>
          <w:bCs/>
        </w:rPr>
      </w:pPr>
      <w:r w:rsidRPr="00191ADF">
        <w:rPr>
          <w:b/>
          <w:bCs/>
        </w:rPr>
        <w:t xml:space="preserve">Lijst van nieuwe EU-voorstellen </w:t>
      </w:r>
    </w:p>
    <w:p w:rsidRPr="00191ADF" w:rsidR="00CE6A78" w:rsidP="00CE6A78" w:rsidRDefault="00CE6A78" w14:paraId="6D077271" w14:textId="13653A0C">
      <w:r w:rsidRPr="00191ADF">
        <w:t>De</w:t>
      </w:r>
      <w:r w:rsidRPr="00191ADF">
        <w:rPr>
          <w:b/>
          <w:bCs/>
        </w:rPr>
        <w:t> </w:t>
      </w:r>
      <w:r w:rsidRPr="00191ADF">
        <w:t>Europese Commissie heeft in de periode tussen</w:t>
      </w:r>
      <w:r w:rsidRPr="00191ADF">
        <w:rPr>
          <w:b/>
          <w:bCs/>
        </w:rPr>
        <w:t xml:space="preserve"> 17 september en </w:t>
      </w:r>
      <w:r w:rsidR="006A7643">
        <w:rPr>
          <w:b/>
          <w:bCs/>
        </w:rPr>
        <w:t>21</w:t>
      </w:r>
      <w:r w:rsidRPr="00191ADF">
        <w:rPr>
          <w:b/>
          <w:bCs/>
        </w:rPr>
        <w:t xml:space="preserve"> oktober 2026 </w:t>
      </w:r>
      <w:r w:rsidRPr="00191ADF">
        <w:t>de volgende voor deze vaste commissie</w:t>
      </w:r>
      <w:r w:rsidRPr="00191ADF">
        <w:rPr>
          <w:b/>
          <w:bCs/>
        </w:rPr>
        <w:t> </w:t>
      </w:r>
      <w:r w:rsidRPr="00191ADF">
        <w:t>relevante voorstellen voor Europese wetgeving, besluiten en andere beleidsvormende documenten aan de Tweede Kamer gestuurd:  </w:t>
      </w:r>
    </w:p>
    <w:p w:rsidRPr="00191ADF" w:rsidR="00CE6A78" w:rsidP="00CE6A78" w:rsidRDefault="00CE6A78" w14:paraId="51BE5AE7" w14:textId="77777777">
      <w:pPr>
        <w:rPr>
          <w:b/>
          <w:bCs/>
        </w:rPr>
      </w:pPr>
    </w:p>
    <w:p w:rsidRPr="00191ADF" w:rsidR="00CE6A78" w:rsidP="00CE6A78" w:rsidRDefault="00CE6A78" w14:paraId="0EB22185" w14:textId="77777777">
      <w:pPr>
        <w:numPr>
          <w:ilvl w:val="0"/>
          <w:numId w:val="1"/>
        </w:numPr>
        <w:rPr>
          <w:b/>
          <w:bCs/>
        </w:rPr>
      </w:pPr>
      <w:r w:rsidRPr="00191ADF">
        <w:rPr>
          <w:b/>
          <w:bCs/>
        </w:rPr>
        <w:t>Nieuw voorgestelde EU-wetgeving</w:t>
      </w:r>
      <w:r w:rsidRPr="00191ADF">
        <w:br/>
        <w:t>(Verordeningen, richtlijnen en wetgevende besluiten)</w:t>
      </w:r>
    </w:p>
    <w:tbl>
      <w:tblPr>
        <w:tblW w:w="0" w:type="auto"/>
        <w:tblCellMar>
          <w:left w:w="0" w:type="dxa"/>
          <w:right w:w="0" w:type="dxa"/>
        </w:tblCellMar>
        <w:tblLook w:val="04A0" w:firstRow="1" w:lastRow="0" w:firstColumn="1" w:lastColumn="0" w:noHBand="0" w:noVBand="1"/>
      </w:tblPr>
      <w:tblGrid>
        <w:gridCol w:w="421"/>
        <w:gridCol w:w="1170"/>
        <w:gridCol w:w="6378"/>
      </w:tblGrid>
      <w:tr w:rsidRPr="00764626" w:rsidR="00CE6A78" w:rsidTr="006217E6" w14:paraId="56E815A3"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hideMark/>
          </w:tcPr>
          <w:p w:rsidRPr="00191ADF" w:rsidR="00CE6A78" w:rsidP="006217E6" w:rsidRDefault="00CE6A78" w14:paraId="62BC975F" w14:textId="77777777">
            <w:r w:rsidRPr="00191ADF">
              <w:t>1.</w:t>
            </w:r>
          </w:p>
        </w:tc>
        <w:tc>
          <w:tcPr>
            <w:tcW w:w="1170" w:type="dxa"/>
            <w:tcBorders>
              <w:top w:val="single" w:color="D9D9D9" w:sz="8" w:space="0"/>
              <w:left w:val="nil"/>
              <w:bottom w:val="nil"/>
              <w:right w:val="nil"/>
            </w:tcBorders>
            <w:tcMar>
              <w:top w:w="0" w:type="dxa"/>
              <w:left w:w="108" w:type="dxa"/>
              <w:bottom w:w="0" w:type="dxa"/>
              <w:right w:w="108" w:type="dxa"/>
            </w:tcMar>
            <w:hideMark/>
          </w:tcPr>
          <w:p w:rsidRPr="00191ADF" w:rsidR="00CE6A78" w:rsidP="006217E6" w:rsidRDefault="00CE6A78" w14:paraId="78081038" w14:textId="77777777">
            <w:r w:rsidRPr="00191ADF">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91ADF" w:rsidR="00CE6A78" w:rsidP="006217E6" w:rsidRDefault="00CE6A78" w14:paraId="3EB8E9A4" w14:textId="5544C47C">
            <w:pPr>
              <w:rPr>
                <w:lang w:val="en-US"/>
              </w:rPr>
            </w:pPr>
            <w:r w:rsidRPr="00191ADF">
              <w:rPr>
                <w:lang w:val="en-US"/>
              </w:rPr>
              <w:t xml:space="preserve">Proposal for a REGULATION OF THE EUROPEAN PARLIAMENT AND OF THE COUNCIL on European </w:t>
            </w:r>
            <w:proofErr w:type="spellStart"/>
            <w:r w:rsidRPr="00191ADF">
              <w:rPr>
                <w:lang w:val="en-US"/>
              </w:rPr>
              <w:t>standardisation</w:t>
            </w:r>
            <w:proofErr w:type="spellEnd"/>
            <w:r w:rsidRPr="00191ADF">
              <w:rPr>
                <w:lang w:val="en-US"/>
              </w:rPr>
              <w:t>, repealing Regulation (EU) No 1025/2012 of the European Parliament and of the Council</w:t>
            </w:r>
            <w:r w:rsidRPr="00191ADF">
              <w:rPr>
                <w:b/>
                <w:bCs/>
                <w:lang w:val="en-US"/>
              </w:rPr>
              <w:t xml:space="preserve"> </w:t>
            </w:r>
            <w:r>
              <w:fldChar w:fldCharType="begin"/>
            </w:r>
            <w:r w:rsidRPr="00764626">
              <w:rPr>
                <w:lang w:val="en-US"/>
              </w:rPr>
              <w:instrText>HYPERLINK "https://eur06.safelinks.protection.outlook.com/?url=https%3A%2F%2Feur-lex.europa.eu%2Flegal-content%2FEN%2FTXT%2F%3Furi%3DCELEX%253A52026PC0780%26qid%3D1791874582970&amp;data=05%7C02%7Ca.hartman%40tweedekamer.nl%7C8697aea3e21f4257267708df2a8a67db%7C238cb5073f714afeaaab8382731a4345%7C0%7C0%7C639276446093867140%7CUnknown%7CTWFpbGZsb3d8eyJFbXB0eU1hcGkiOnRydWUsIlYiOiIwLjAuMDAwMCIsIlAiOiJXaW4zMiIsIkFOIjoiTWFpbCIsIldUIjoyfQ%3D%3D%7C0%7C%7C%7C&amp;sdata=CIV3NfO839zFXctWgSywKzO9%2FgW8rATVpMh%2FTyZgAHw%3D&amp;reserved=0"</w:instrText>
            </w:r>
            <w:r>
              <w:fldChar w:fldCharType="separate"/>
            </w:r>
            <w:r w:rsidRPr="00191ADF">
              <w:rPr>
                <w:rStyle w:val="Hyperlink"/>
                <w:lang w:val="en-US"/>
              </w:rPr>
              <w:t>COM(2026)780</w:t>
            </w:r>
            <w:r>
              <w:fldChar w:fldCharType="end"/>
            </w:r>
          </w:p>
        </w:tc>
      </w:tr>
      <w:tr w:rsidRPr="00191ADF" w:rsidR="00CE6A78" w:rsidTr="001A16A9" w14:paraId="5C023A75" w14:textId="77777777">
        <w:trPr>
          <w:trHeight w:val="1364"/>
        </w:trPr>
        <w:tc>
          <w:tcPr>
            <w:tcW w:w="0" w:type="auto"/>
            <w:vMerge/>
            <w:tcBorders>
              <w:top w:val="single" w:color="D9D9D9" w:sz="8" w:space="0"/>
              <w:left w:val="single" w:color="D9D9D9" w:sz="8" w:space="0"/>
              <w:bottom w:val="single" w:color="D9D9D9" w:sz="8" w:space="0"/>
              <w:right w:val="nil"/>
            </w:tcBorders>
            <w:vAlign w:val="center"/>
            <w:hideMark/>
          </w:tcPr>
          <w:p w:rsidRPr="00191ADF" w:rsidR="00CE6A78" w:rsidP="006217E6" w:rsidRDefault="00CE6A78" w14:paraId="2092FEFC" w14:textId="77777777">
            <w:pPr>
              <w:rPr>
                <w:lang w:val="en-US"/>
              </w:rPr>
            </w:pPr>
          </w:p>
        </w:tc>
        <w:tc>
          <w:tcPr>
            <w:tcW w:w="1170" w:type="dxa"/>
            <w:tcMar>
              <w:top w:w="0" w:type="dxa"/>
              <w:left w:w="108" w:type="dxa"/>
              <w:bottom w:w="0" w:type="dxa"/>
              <w:right w:w="108" w:type="dxa"/>
            </w:tcMar>
          </w:tcPr>
          <w:p w:rsidRPr="00191ADF" w:rsidR="00CE6A78" w:rsidP="006217E6" w:rsidRDefault="00CE6A78" w14:paraId="424CCB2F" w14:textId="77777777">
            <w:r w:rsidRPr="00191ADF">
              <w:t>Voorstel</w:t>
            </w:r>
          </w:p>
          <w:p w:rsidR="008B7BED" w:rsidP="006217E6" w:rsidRDefault="008B7BED" w14:paraId="45F02575" w14:textId="77777777">
            <w:pPr>
              <w:rPr>
                <w:lang w:val="en-GB"/>
              </w:rPr>
            </w:pPr>
          </w:p>
          <w:p w:rsidRPr="00191ADF" w:rsidR="00CE6A78" w:rsidP="006217E6" w:rsidRDefault="00CE6A78" w14:paraId="1B1891EC" w14:textId="3DFA49DB">
            <w:pPr>
              <w:rPr>
                <w:lang w:val="en-GB"/>
              </w:rPr>
            </w:pPr>
            <w:r w:rsidRPr="00191ADF">
              <w:rPr>
                <w:lang w:val="en-GB"/>
              </w:rPr>
              <w:t>Noot</w:t>
            </w:r>
          </w:p>
          <w:p w:rsidRPr="00191ADF" w:rsidR="00CE6A78" w:rsidP="006217E6" w:rsidRDefault="00CE6A78" w14:paraId="18A2D30B" w14:textId="77777777">
            <w:pPr>
              <w:rPr>
                <w:lang w:val="en-GB"/>
              </w:rPr>
            </w:pPr>
          </w:p>
          <w:p w:rsidRPr="00191ADF" w:rsidR="00CE6A78" w:rsidP="006217E6" w:rsidRDefault="00CE6A78" w14:paraId="39870B56" w14:textId="77777777">
            <w:pPr>
              <w:rPr>
                <w:lang w:val="en-GB"/>
              </w:rPr>
            </w:pPr>
          </w:p>
          <w:p w:rsidRPr="00191ADF" w:rsidR="00CE6A78" w:rsidP="006217E6" w:rsidRDefault="00CE6A78" w14:paraId="0CCAC0E1" w14:textId="77777777">
            <w:pPr>
              <w:rPr>
                <w:lang w:val="en-GB"/>
              </w:rPr>
            </w:pPr>
          </w:p>
          <w:p w:rsidRPr="00191ADF" w:rsidR="00CE6A78" w:rsidP="006217E6" w:rsidRDefault="00CE6A78" w14:paraId="59563B06" w14:textId="77777777"/>
        </w:tc>
        <w:tc>
          <w:tcPr>
            <w:tcW w:w="6378" w:type="dxa"/>
            <w:tcBorders>
              <w:top w:val="nil"/>
              <w:left w:val="nil"/>
              <w:bottom w:val="nil"/>
              <w:right w:val="single" w:color="D9D9D9" w:sz="8" w:space="0"/>
            </w:tcBorders>
            <w:tcMar>
              <w:top w:w="0" w:type="dxa"/>
              <w:left w:w="108" w:type="dxa"/>
              <w:bottom w:w="0" w:type="dxa"/>
              <w:right w:w="108" w:type="dxa"/>
            </w:tcMar>
            <w:hideMark/>
          </w:tcPr>
          <w:p w:rsidRPr="00191ADF" w:rsidR="00CE6A78" w:rsidP="006217E6" w:rsidRDefault="00726D84" w14:paraId="5C23335D" w14:textId="1BB3592D">
            <w:r>
              <w:t xml:space="preserve">BNC-fiche na ontvangst agenderen voor eerstvolgend debat over de Raad </w:t>
            </w:r>
            <w:r w:rsidR="001A16A9">
              <w:t>voor Concurrentievermogen.</w:t>
            </w:r>
          </w:p>
          <w:p w:rsidR="00133851" w:rsidP="006217E6" w:rsidRDefault="008B7BED" w14:paraId="2F4BEC52" w14:textId="0EB5DDE8">
            <w:r>
              <w:t xml:space="preserve">De </w:t>
            </w:r>
            <w:r w:rsidRPr="00964A71">
              <w:t>Commissie</w:t>
            </w:r>
            <w:r>
              <w:t xml:space="preserve"> heeft een voorstel gedaan om het </w:t>
            </w:r>
            <w:hyperlink w:history="1" r:id="rId5">
              <w:r w:rsidRPr="00FD321F">
                <w:rPr>
                  <w:rStyle w:val="Hyperlink"/>
                </w:rPr>
                <w:t>Europese normalisatiestelsel</w:t>
              </w:r>
            </w:hyperlink>
            <w:r>
              <w:t xml:space="preserve"> te moderniseren</w:t>
            </w:r>
            <w:r w:rsidR="00DF0781">
              <w:t xml:space="preserve">. </w:t>
            </w:r>
          </w:p>
          <w:p w:rsidRPr="00191ADF" w:rsidR="00CE6A78" w:rsidP="006217E6" w:rsidRDefault="006F5C4D" w14:paraId="50DA2675" w14:textId="3E26C5EB">
            <w:r>
              <w:t xml:space="preserve">Volgens de Commissie </w:t>
            </w:r>
            <w:r w:rsidR="004C038D">
              <w:t>kunnen normen technisch zijn, maar ook strategisch. Door het vaststellen van normen wordt vormgegeven aan toekomstige technologieën, producten en markten.</w:t>
            </w:r>
            <w:r w:rsidR="003A7E87">
              <w:t xml:space="preserve"> Een sterk normalisatiesysteem is daarom van belang voor een goed functionerende interne markt, het Europees concurrentievermogen, de technologische soevereiniteit en economische veiligheid.</w:t>
            </w:r>
          </w:p>
        </w:tc>
      </w:tr>
    </w:tbl>
    <w:p w:rsidRPr="00191ADF" w:rsidR="00CE6A78" w:rsidP="00CE6A78" w:rsidRDefault="00CE6A78" w14:paraId="5C89802E"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764626" w:rsidR="00CE6A78" w:rsidTr="006217E6" w14:paraId="14FA95B2"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191ADF" w:rsidR="00CE6A78" w:rsidP="006217E6" w:rsidRDefault="00CE6A78" w14:paraId="22075136" w14:textId="77777777">
            <w:r w:rsidRPr="00191ADF">
              <w:t>2.</w:t>
            </w:r>
          </w:p>
        </w:tc>
        <w:tc>
          <w:tcPr>
            <w:tcW w:w="1134" w:type="dxa"/>
            <w:tcBorders>
              <w:top w:val="single" w:color="D9D9D9" w:sz="8" w:space="0"/>
              <w:left w:val="nil"/>
              <w:bottom w:val="nil"/>
              <w:right w:val="nil"/>
            </w:tcBorders>
            <w:tcMar>
              <w:top w:w="0" w:type="dxa"/>
              <w:left w:w="108" w:type="dxa"/>
              <w:bottom w:w="0" w:type="dxa"/>
              <w:right w:w="108" w:type="dxa"/>
            </w:tcMar>
            <w:hideMark/>
          </w:tcPr>
          <w:p w:rsidRPr="00191ADF" w:rsidR="00CE6A78" w:rsidP="006217E6" w:rsidRDefault="00CE6A78" w14:paraId="0DC338B2" w14:textId="77777777">
            <w:r w:rsidRPr="00191ADF">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91ADF" w:rsidR="00CE6A78" w:rsidP="006217E6" w:rsidRDefault="00CE6A78" w14:paraId="08A09ED9" w14:textId="5DD4C4DC">
            <w:pPr>
              <w:rPr>
                <w:lang w:val="en-US"/>
              </w:rPr>
            </w:pPr>
            <w:r w:rsidRPr="00191ADF">
              <w:rPr>
                <w:lang w:val="en-US"/>
              </w:rPr>
              <w:t xml:space="preserve">Proposal for a DIRECTIVE OF THE EUROPEAN PARLIAMENT AND OF THE COUNCIL on the recognition of qualifications of third-country nationals </w:t>
            </w:r>
            <w:r>
              <w:fldChar w:fldCharType="begin"/>
            </w:r>
            <w:r w:rsidRPr="00764626">
              <w:rPr>
                <w:lang w:val="en-US"/>
              </w:rPr>
              <w:instrText>HYPERLINK "https://eur06.safelinks.protection.outlook.com/?url=https%3A%2F%2Feur-lex.europa.eu%2Flegal-content%2FNL%2FTXT%2F%3Furi%3DCOM%3A2026%3A990%3AFIN&amp;data=05%7C02%7Ca.hartman%40tweedekamer.nl%7Cb207203d37954892591208df25168a8c%7C238cb5073f714afeaaab8382731a4345%7C0%7C0%7C639270450867492670%7CUnknown%7CTWFpbGZsb3d8eyJFbXB0eU1hcGkiOnRydWUsIlYiOiIwLjAuMDAwMCIsIlAiOiJXaW4zMiIsIkFOIjoiTWFpbCIsIldUIjoyfQ%3D%3D%7C0%7C%7C%7C&amp;sdata=NPBgIV2HZUkzzNqaBsSq6wo5XOdH19IBaX3HAyje2Yc%3D&amp;reserved=0"</w:instrText>
            </w:r>
            <w:r>
              <w:fldChar w:fldCharType="separate"/>
            </w:r>
            <w:r w:rsidRPr="00191ADF">
              <w:rPr>
                <w:rStyle w:val="Hyperlink"/>
                <w:lang w:val="en-US"/>
              </w:rPr>
              <w:t>COM(2026) 990</w:t>
            </w:r>
            <w:r>
              <w:fldChar w:fldCharType="end"/>
            </w:r>
          </w:p>
        </w:tc>
      </w:tr>
      <w:tr w:rsidRPr="00191ADF" w:rsidR="00CE6A78" w:rsidTr="006217E6" w14:paraId="10629B6A" w14:textId="77777777">
        <w:trPr>
          <w:trHeight w:val="556"/>
        </w:trPr>
        <w:tc>
          <w:tcPr>
            <w:tcW w:w="0" w:type="auto"/>
            <w:vMerge/>
            <w:tcBorders>
              <w:top w:val="single" w:color="D9D9D9" w:sz="8" w:space="0"/>
              <w:left w:val="single" w:color="D9D9D9" w:sz="8" w:space="0"/>
              <w:bottom w:val="single" w:color="D9D9D9" w:sz="8" w:space="0"/>
              <w:right w:val="nil"/>
            </w:tcBorders>
            <w:vAlign w:val="center"/>
            <w:hideMark/>
          </w:tcPr>
          <w:p w:rsidRPr="00191ADF" w:rsidR="00CE6A78" w:rsidP="006217E6" w:rsidRDefault="00CE6A78" w14:paraId="6C4D7D3E" w14:textId="77777777">
            <w:pPr>
              <w:rPr>
                <w:lang w:val="en-US"/>
              </w:rPr>
            </w:pPr>
          </w:p>
        </w:tc>
        <w:tc>
          <w:tcPr>
            <w:tcW w:w="1134" w:type="dxa"/>
            <w:tcMar>
              <w:top w:w="0" w:type="dxa"/>
              <w:left w:w="108" w:type="dxa"/>
              <w:bottom w:w="0" w:type="dxa"/>
              <w:right w:w="108" w:type="dxa"/>
            </w:tcMar>
            <w:hideMark/>
          </w:tcPr>
          <w:p w:rsidRPr="00191ADF" w:rsidR="00CE6A78" w:rsidP="006217E6" w:rsidRDefault="00CE6A78" w14:paraId="3E9503FA" w14:textId="014D5E82">
            <w:r w:rsidRPr="00191ADF">
              <w:t>Voorstel</w:t>
            </w:r>
          </w:p>
          <w:p w:rsidR="00191ADF" w:rsidP="006217E6" w:rsidRDefault="00191ADF" w14:paraId="4F330CB2" w14:textId="77777777">
            <w:pPr>
              <w:rPr>
                <w:lang w:val="en-GB"/>
              </w:rPr>
            </w:pPr>
          </w:p>
          <w:p w:rsidRPr="00191ADF" w:rsidR="00CE6A78" w:rsidP="006217E6" w:rsidRDefault="00CE6A78" w14:paraId="75C65693" w14:textId="2537227E">
            <w:r w:rsidRPr="00191ADF">
              <w:rPr>
                <w:lang w:val="en-GB"/>
              </w:rPr>
              <w:t>Noot</w:t>
            </w:r>
          </w:p>
        </w:tc>
        <w:tc>
          <w:tcPr>
            <w:tcW w:w="6378" w:type="dxa"/>
            <w:tcBorders>
              <w:top w:val="nil"/>
              <w:left w:val="nil"/>
              <w:bottom w:val="nil"/>
              <w:right w:val="single" w:color="D9D9D9" w:sz="8" w:space="0"/>
            </w:tcBorders>
            <w:tcMar>
              <w:top w:w="0" w:type="dxa"/>
              <w:left w:w="108" w:type="dxa"/>
              <w:bottom w:w="0" w:type="dxa"/>
              <w:right w:w="108" w:type="dxa"/>
            </w:tcMar>
            <w:hideMark/>
          </w:tcPr>
          <w:p w:rsidR="00CE6A78" w:rsidP="006217E6" w:rsidRDefault="00191ADF" w14:paraId="580E46B9" w14:textId="77777777">
            <w:r w:rsidRPr="00191ADF">
              <w:t>BNC-fiche na ontvangst agenderen voor eerstvolgend debat over de Raad voor Concurrentievermogen.</w:t>
            </w:r>
          </w:p>
          <w:p w:rsidR="00191ADF" w:rsidP="006217E6" w:rsidRDefault="007433DE" w14:paraId="4D6E382B" w14:textId="77777777">
            <w:r>
              <w:t>Dit voorstel is onderdeel van</w:t>
            </w:r>
            <w:r w:rsidR="00770E51">
              <w:t xml:space="preserve"> het </w:t>
            </w:r>
            <w:hyperlink w:history="1" r:id="rId6">
              <w:r w:rsidRPr="0003713D" w:rsidR="00770E51">
                <w:rPr>
                  <w:rStyle w:val="Hyperlink"/>
                </w:rPr>
                <w:t>pakket voor eerlijke arbeidsmobiliteit</w:t>
              </w:r>
            </w:hyperlink>
            <w:r w:rsidR="00770E51">
              <w:t xml:space="preserve">. </w:t>
            </w:r>
            <w:r>
              <w:t xml:space="preserve">Dit pakket </w:t>
            </w:r>
            <w:r w:rsidR="0003713D">
              <w:t>bestaat uit een mededeling over eerlijke arbeidsmobiliteit en vijf wetgevingsvoorstellen</w:t>
            </w:r>
            <w:r w:rsidR="008074D8">
              <w:t xml:space="preserve"> (zie ook hieronder)</w:t>
            </w:r>
            <w:r w:rsidR="0003713D">
              <w:t>.</w:t>
            </w:r>
            <w:r>
              <w:t xml:space="preserve"> </w:t>
            </w:r>
            <w:r w:rsidR="008F5CDD">
              <w:t>Dit voorstel betreft een richtlijn over kwalificaties van niet-EU-burgers</w:t>
            </w:r>
            <w:r w:rsidR="005D7AB6">
              <w:t>.</w:t>
            </w:r>
          </w:p>
          <w:p w:rsidRPr="00191ADF" w:rsidR="00CF3408" w:rsidP="006217E6" w:rsidRDefault="00CF3408" w14:paraId="368466A5" w14:textId="186DA4A9">
            <w:r>
              <w:t xml:space="preserve">Respectievelijk de commissies SZW en OCW hebben het voortouw op de overige voorstellen uit het pakket. De commissie OCW heeft EU-rapporteurs benoemd op het voorstel voor de </w:t>
            </w:r>
            <w:r w:rsidRPr="0022245D">
              <w:rPr>
                <w:i/>
                <w:iCs/>
              </w:rPr>
              <w:t xml:space="preserve">Skills </w:t>
            </w:r>
            <w:proofErr w:type="spellStart"/>
            <w:r w:rsidRPr="0022245D">
              <w:rPr>
                <w:i/>
                <w:iCs/>
              </w:rPr>
              <w:t>Portability</w:t>
            </w:r>
            <w:proofErr w:type="spellEnd"/>
            <w:r w:rsidRPr="0022245D">
              <w:rPr>
                <w:i/>
                <w:iCs/>
              </w:rPr>
              <w:t xml:space="preserve"> Act</w:t>
            </w:r>
            <w:r>
              <w:t xml:space="preserve">.  </w:t>
            </w:r>
          </w:p>
        </w:tc>
      </w:tr>
    </w:tbl>
    <w:p w:rsidRPr="00191ADF" w:rsidR="00CE6A78" w:rsidP="00CE6A78" w:rsidRDefault="00CE6A78" w14:paraId="31F0F252" w14:textId="77777777">
      <w:pPr>
        <w:rPr>
          <w:b/>
          <w:bC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764626" w:rsidR="00CE6A78" w:rsidTr="006217E6" w14:paraId="3F14264C"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191ADF" w:rsidR="00CE6A78" w:rsidP="006217E6" w:rsidRDefault="00CE6A78" w14:paraId="193C4BAC" w14:textId="6B34A30F">
            <w:r w:rsidRPr="00191ADF">
              <w:t>3.</w:t>
            </w:r>
          </w:p>
        </w:tc>
        <w:tc>
          <w:tcPr>
            <w:tcW w:w="1134" w:type="dxa"/>
            <w:tcBorders>
              <w:top w:val="single" w:color="D9D9D9" w:sz="8" w:space="0"/>
              <w:left w:val="nil"/>
              <w:bottom w:val="nil"/>
              <w:right w:val="nil"/>
            </w:tcBorders>
            <w:tcMar>
              <w:top w:w="0" w:type="dxa"/>
              <w:left w:w="108" w:type="dxa"/>
              <w:bottom w:w="0" w:type="dxa"/>
              <w:right w:w="108" w:type="dxa"/>
            </w:tcMar>
            <w:hideMark/>
          </w:tcPr>
          <w:p w:rsidRPr="00191ADF" w:rsidR="00CE6A78" w:rsidP="006217E6" w:rsidRDefault="00CE6A78" w14:paraId="392FC938" w14:textId="77777777">
            <w:r w:rsidRPr="00191ADF">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91ADF" w:rsidR="00CE6A78" w:rsidP="006217E6" w:rsidRDefault="00CE6A78" w14:paraId="79474AF9" w14:textId="17F94AE6">
            <w:pPr>
              <w:rPr>
                <w:lang w:val="en-US"/>
              </w:rPr>
            </w:pPr>
            <w:r w:rsidRPr="00191ADF">
              <w:rPr>
                <w:lang w:val="en-US"/>
              </w:rPr>
              <w:t xml:space="preserve">Proposal for a DIRECTIVE OF THE EUROPEAN PARLIAMENT AND OF THE COUNCIL amending Directive 2005/36/EC as regards the </w:t>
            </w:r>
            <w:proofErr w:type="spellStart"/>
            <w:r w:rsidRPr="00191ADF">
              <w:rPr>
                <w:lang w:val="en-US"/>
              </w:rPr>
              <w:lastRenderedPageBreak/>
              <w:t>digitalisation</w:t>
            </w:r>
            <w:proofErr w:type="spellEnd"/>
            <w:r w:rsidRPr="00191ADF">
              <w:rPr>
                <w:lang w:val="en-US"/>
              </w:rPr>
              <w:t xml:space="preserve"> of procedures and recognition of professional qualifications issued outside the Union and Regulation (EU) No 1024/2012 </w:t>
            </w:r>
            <w:r>
              <w:fldChar w:fldCharType="begin"/>
            </w:r>
            <w:r w:rsidRPr="00764626">
              <w:rPr>
                <w:lang w:val="en-US"/>
              </w:rPr>
              <w:instrText>HYPERLINK "https://eur06.safelinks.protection.outlook.com/?url=https%3A%2F%2Feur-lex.europa.eu%2Flegal-content%2FNL%2FTXT%2F%3Furi%3DCOM%3A2026%3A995%3AFIN&amp;data=05%7C02%7Ca.hartman%40tweedekamer.nl%7Cb207203d37954892591208df25168a8c%7C238cb5073f714afeaaab8382731a4345%7C0%7C0%7C639270450867504357%7CUnknown%7CTWFpbGZsb3d8eyJFbXB0eU1hcGkiOnRydWUsIlYiOiIwLjAuMDAwMCIsIlAiOiJXaW4zMiIsIkFOIjoiTWFpbCIsIldUIjoyfQ%3D%3D%7C0%7C%7C%7C&amp;sdata=nr%2BM5WQekz68pt2QLqaWgAO4Vg575JQ8mTAaHUHTc1k%3D&amp;reserved=0"</w:instrText>
            </w:r>
            <w:r>
              <w:fldChar w:fldCharType="separate"/>
            </w:r>
            <w:r w:rsidRPr="00191ADF">
              <w:rPr>
                <w:rStyle w:val="Hyperlink"/>
                <w:lang w:val="en-US"/>
              </w:rPr>
              <w:t>COM(2026) 995</w:t>
            </w:r>
            <w:r>
              <w:fldChar w:fldCharType="end"/>
            </w:r>
          </w:p>
        </w:tc>
      </w:tr>
      <w:tr w:rsidRPr="00191ADF" w:rsidR="00CE6A78" w:rsidTr="006217E6" w14:paraId="369FF384" w14:textId="77777777">
        <w:trPr>
          <w:trHeight w:val="556"/>
        </w:trPr>
        <w:tc>
          <w:tcPr>
            <w:tcW w:w="0" w:type="auto"/>
            <w:vMerge/>
            <w:tcBorders>
              <w:top w:val="single" w:color="D9D9D9" w:sz="8" w:space="0"/>
              <w:left w:val="single" w:color="D9D9D9" w:sz="8" w:space="0"/>
              <w:bottom w:val="single" w:color="D9D9D9" w:sz="8" w:space="0"/>
              <w:right w:val="nil"/>
            </w:tcBorders>
            <w:vAlign w:val="center"/>
            <w:hideMark/>
          </w:tcPr>
          <w:p w:rsidRPr="00191ADF" w:rsidR="00CE6A78" w:rsidP="006217E6" w:rsidRDefault="00CE6A78" w14:paraId="030E048F" w14:textId="77777777">
            <w:pPr>
              <w:rPr>
                <w:lang w:val="en-US"/>
              </w:rPr>
            </w:pPr>
          </w:p>
        </w:tc>
        <w:tc>
          <w:tcPr>
            <w:tcW w:w="1134" w:type="dxa"/>
            <w:tcMar>
              <w:top w:w="0" w:type="dxa"/>
              <w:left w:w="108" w:type="dxa"/>
              <w:bottom w:w="0" w:type="dxa"/>
              <w:right w:w="108" w:type="dxa"/>
            </w:tcMar>
            <w:hideMark/>
          </w:tcPr>
          <w:p w:rsidRPr="00191ADF" w:rsidR="00CE6A78" w:rsidP="006217E6" w:rsidRDefault="00CE6A78" w14:paraId="42CE633A" w14:textId="07F29BBD">
            <w:r w:rsidRPr="00191ADF">
              <w:t>Voorstel</w:t>
            </w:r>
          </w:p>
          <w:p w:rsidRPr="00191ADF" w:rsidR="00CE6A78" w:rsidP="006217E6" w:rsidRDefault="00CE6A78" w14:paraId="02C19133" w14:textId="77777777">
            <w:r w:rsidRPr="00191ADF">
              <w:rPr>
                <w:lang w:val="en-GB"/>
              </w:rPr>
              <w:t>Noot</w:t>
            </w:r>
          </w:p>
        </w:tc>
        <w:tc>
          <w:tcPr>
            <w:tcW w:w="6378" w:type="dxa"/>
            <w:tcBorders>
              <w:top w:val="nil"/>
              <w:left w:val="nil"/>
              <w:bottom w:val="nil"/>
              <w:right w:val="single" w:color="D9D9D9" w:sz="8" w:space="0"/>
            </w:tcBorders>
            <w:tcMar>
              <w:top w:w="0" w:type="dxa"/>
              <w:left w:w="108" w:type="dxa"/>
              <w:bottom w:w="0" w:type="dxa"/>
              <w:right w:w="108" w:type="dxa"/>
            </w:tcMar>
            <w:hideMark/>
          </w:tcPr>
          <w:p w:rsidR="00CE6A78" w:rsidP="006217E6" w:rsidRDefault="00191ADF" w14:paraId="4CC04738" w14:textId="77777777">
            <w:r w:rsidRPr="00191ADF">
              <w:t>BNC-fiche na ontvangst agenderen voor eerstvolgend debat over de Raad voor Concurrentievermogen.</w:t>
            </w:r>
          </w:p>
          <w:p w:rsidR="000E797B" w:rsidP="006217E6" w:rsidRDefault="00B21E1A" w14:paraId="6C08E37B" w14:textId="4DA1F3AF">
            <w:r>
              <w:t xml:space="preserve">Dit voorstel is onderdeel van het </w:t>
            </w:r>
            <w:hyperlink w:history="1" r:id="rId7">
              <w:r w:rsidRPr="0003713D">
                <w:rPr>
                  <w:rStyle w:val="Hyperlink"/>
                </w:rPr>
                <w:t>pakket voor eerlijke arbeidsmobiliteit</w:t>
              </w:r>
            </w:hyperlink>
            <w:r>
              <w:t>. Dit pakket bestaat uit een mededeling over eerlijke arbeidsmobiliteit en vijf wetgevingsvoorstellen</w:t>
            </w:r>
            <w:r w:rsidR="00CF3408">
              <w:t xml:space="preserve"> (zie ook hierboven)</w:t>
            </w:r>
            <w:r>
              <w:t xml:space="preserve">. Dit voorstel betreft een </w:t>
            </w:r>
            <w:r w:rsidR="008074D8">
              <w:t xml:space="preserve">wijzigingsrichtlijn over beroepskwalificaties. </w:t>
            </w:r>
          </w:p>
          <w:p w:rsidRPr="00191ADF" w:rsidR="00B21E1A" w:rsidP="006217E6" w:rsidRDefault="008074D8" w14:paraId="56EBFEEF" w14:textId="280BE97B">
            <w:r>
              <w:t>Respectievelijk de commissies SZW en OCW hebben het voortouw op de overige voorstellen uit het pakket.</w:t>
            </w:r>
            <w:r w:rsidR="003406BB">
              <w:t xml:space="preserve"> De commissie OCW heeft EU-rapporteurs benoemd op</w:t>
            </w:r>
            <w:r w:rsidR="0022245D">
              <w:t xml:space="preserve"> het voorstel voor de </w:t>
            </w:r>
            <w:r w:rsidRPr="0022245D" w:rsidR="0022245D">
              <w:rPr>
                <w:i/>
                <w:iCs/>
              </w:rPr>
              <w:t xml:space="preserve">Skills </w:t>
            </w:r>
            <w:proofErr w:type="spellStart"/>
            <w:r w:rsidRPr="0022245D" w:rsidR="0022245D">
              <w:rPr>
                <w:i/>
                <w:iCs/>
              </w:rPr>
              <w:t>Portability</w:t>
            </w:r>
            <w:proofErr w:type="spellEnd"/>
            <w:r w:rsidRPr="0022245D" w:rsidR="0022245D">
              <w:rPr>
                <w:i/>
                <w:iCs/>
              </w:rPr>
              <w:t xml:space="preserve"> Act</w:t>
            </w:r>
            <w:r w:rsidR="003406BB">
              <w:t xml:space="preserve">. </w:t>
            </w:r>
            <w:r>
              <w:t xml:space="preserve"> </w:t>
            </w:r>
          </w:p>
        </w:tc>
      </w:tr>
    </w:tbl>
    <w:p w:rsidRPr="00191ADF" w:rsidR="00CE6A78" w:rsidP="00CE6A78" w:rsidRDefault="00CE6A78" w14:paraId="4768C437" w14:textId="77777777">
      <w:pPr>
        <w:rPr>
          <w:b/>
          <w:bCs/>
        </w:rPr>
      </w:pPr>
    </w:p>
    <w:p w:rsidRPr="00191ADF" w:rsidR="00CE6A78" w:rsidP="00CE6A78" w:rsidRDefault="00CE6A78" w14:paraId="038D1234" w14:textId="77777777">
      <w:pPr>
        <w:numPr>
          <w:ilvl w:val="0"/>
          <w:numId w:val="1"/>
        </w:numPr>
        <w:rPr>
          <w:b/>
          <w:bCs/>
        </w:rPr>
      </w:pPr>
      <w:r w:rsidRPr="00191ADF">
        <w:rPr>
          <w:b/>
          <w:bCs/>
        </w:rPr>
        <w:t xml:space="preserve">Nieuwe EU-documenten van niet-wetgevende aard </w:t>
      </w:r>
      <w:r w:rsidRPr="00191ADF">
        <w:br/>
        <w:t>(Mededelingen, aanbevelingen, actieplannen, consultaties, etc.)</w:t>
      </w:r>
    </w:p>
    <w:tbl>
      <w:tblPr>
        <w:tblW w:w="0" w:type="auto"/>
        <w:tblCellMar>
          <w:left w:w="0" w:type="dxa"/>
          <w:right w:w="0" w:type="dxa"/>
        </w:tblCellMar>
        <w:tblLook w:val="04A0" w:firstRow="1" w:lastRow="0" w:firstColumn="1" w:lastColumn="0" w:noHBand="0" w:noVBand="1"/>
      </w:tblPr>
      <w:tblGrid>
        <w:gridCol w:w="538"/>
        <w:gridCol w:w="1134"/>
        <w:gridCol w:w="6378"/>
      </w:tblGrid>
      <w:tr w:rsidRPr="00191ADF" w:rsidR="00CE6A78" w:rsidTr="006217E6" w14:paraId="21BFC05A"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191ADF" w:rsidR="00CE6A78" w:rsidP="006217E6" w:rsidRDefault="00CE6A78" w14:paraId="56000345" w14:textId="53C6CF1D">
            <w:pPr>
              <w:ind w:left="141"/>
            </w:pPr>
            <w:r w:rsidRPr="00191ADF">
              <w:t>4.</w:t>
            </w:r>
          </w:p>
        </w:tc>
        <w:tc>
          <w:tcPr>
            <w:tcW w:w="1134" w:type="dxa"/>
            <w:tcBorders>
              <w:top w:val="single" w:color="D9D9D9" w:sz="8" w:space="0"/>
              <w:left w:val="nil"/>
              <w:bottom w:val="nil"/>
              <w:right w:val="nil"/>
            </w:tcBorders>
            <w:tcMar>
              <w:top w:w="0" w:type="dxa"/>
              <w:left w:w="108" w:type="dxa"/>
              <w:bottom w:w="0" w:type="dxa"/>
              <w:right w:w="108" w:type="dxa"/>
            </w:tcMar>
            <w:hideMark/>
          </w:tcPr>
          <w:p w:rsidRPr="00191ADF" w:rsidR="00CE6A78" w:rsidP="006217E6" w:rsidRDefault="00CE6A78" w14:paraId="598A589D" w14:textId="77777777">
            <w:r w:rsidRPr="00191ADF">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91ADF" w:rsidR="00CE6A78" w:rsidP="00CE6A78" w:rsidRDefault="00CE6A78" w14:paraId="5A291222" w14:textId="77777777">
            <w:r w:rsidRPr="00191ADF">
              <w:t xml:space="preserve">VERSLAG VAN DE COMMISSIE AAN HET EUROPEES PARLEMENT EN DE RAAD over de uitvoering van de leenfaciliteit voor de publieke sector uit hoofde van het mechanisme voor een rechtvaardige transitie in 2026, zoals bedoeld in artikel 16 van Verordening (EU) 2021/1229 </w:t>
            </w:r>
            <w:hyperlink w:history="1" r:id="rId8">
              <w:r w:rsidRPr="00191ADF">
                <w:rPr>
                  <w:rStyle w:val="Hyperlink"/>
                </w:rPr>
                <w:t>COM(2026)525</w:t>
              </w:r>
            </w:hyperlink>
          </w:p>
          <w:p w:rsidRPr="00191ADF" w:rsidR="00CE6A78" w:rsidP="006217E6" w:rsidRDefault="00CE6A78" w14:paraId="77EB87A5" w14:textId="4DDE9BBD"/>
        </w:tc>
      </w:tr>
      <w:tr w:rsidRPr="00191ADF" w:rsidR="00CE6A78" w:rsidTr="006217E6" w14:paraId="332A91E2" w14:textId="77777777">
        <w:trPr>
          <w:trHeight w:val="2231"/>
        </w:trPr>
        <w:tc>
          <w:tcPr>
            <w:tcW w:w="0" w:type="auto"/>
            <w:vMerge/>
            <w:tcBorders>
              <w:top w:val="single" w:color="D9D9D9" w:sz="8" w:space="0"/>
              <w:left w:val="single" w:color="D9D9D9" w:sz="8" w:space="0"/>
              <w:bottom w:val="single" w:color="D9D9D9" w:sz="8" w:space="0"/>
              <w:right w:val="nil"/>
            </w:tcBorders>
            <w:vAlign w:val="center"/>
            <w:hideMark/>
          </w:tcPr>
          <w:p w:rsidRPr="00191ADF" w:rsidR="00CE6A78" w:rsidP="006217E6" w:rsidRDefault="00CE6A78" w14:paraId="5442F677" w14:textId="77777777"/>
        </w:tc>
        <w:tc>
          <w:tcPr>
            <w:tcW w:w="1134" w:type="dxa"/>
            <w:tcMar>
              <w:top w:w="0" w:type="dxa"/>
              <w:left w:w="108" w:type="dxa"/>
              <w:bottom w:w="0" w:type="dxa"/>
              <w:right w:w="108" w:type="dxa"/>
            </w:tcMar>
            <w:hideMark/>
          </w:tcPr>
          <w:p w:rsidRPr="007C4483" w:rsidR="00B21E1A" w:rsidP="006217E6" w:rsidRDefault="00CE6A78" w14:paraId="627D4E0F" w14:textId="070767A7">
            <w:r w:rsidRPr="00191ADF">
              <w:t>Voorstel</w:t>
            </w:r>
          </w:p>
          <w:p w:rsidRPr="00191ADF" w:rsidR="00CE6A78" w:rsidP="006217E6" w:rsidRDefault="00CE6A78" w14:paraId="25A25A3D" w14:textId="7DB9F873">
            <w:r w:rsidRPr="00191ADF">
              <w:rPr>
                <w:lang w:val="en-GB"/>
              </w:rPr>
              <w:t>Noot</w:t>
            </w:r>
          </w:p>
        </w:tc>
        <w:tc>
          <w:tcPr>
            <w:tcW w:w="6378" w:type="dxa"/>
            <w:tcBorders>
              <w:top w:val="nil"/>
              <w:left w:val="nil"/>
              <w:bottom w:val="nil"/>
              <w:right w:val="single" w:color="D9D9D9" w:sz="8" w:space="0"/>
            </w:tcBorders>
            <w:tcMar>
              <w:top w:w="0" w:type="dxa"/>
              <w:left w:w="108" w:type="dxa"/>
              <w:bottom w:w="0" w:type="dxa"/>
              <w:right w:w="108" w:type="dxa"/>
            </w:tcMar>
            <w:hideMark/>
          </w:tcPr>
          <w:p w:rsidR="00B21E1A" w:rsidP="00B21E1A" w:rsidRDefault="007C4483" w14:paraId="67D5DC22" w14:textId="77777777">
            <w:r>
              <w:t>Ter informatie.</w:t>
            </w:r>
          </w:p>
          <w:p w:rsidRPr="00191ADF" w:rsidR="002A107E" w:rsidP="00B21E1A" w:rsidRDefault="002A107E" w14:paraId="41E2C19E" w14:textId="6A87C6BB">
            <w:r w:rsidRPr="002A107E">
              <w:t>In 2020 heeft de Commissie het mechanisme voor een rechtvaardige transitie (</w:t>
            </w:r>
            <w:r w:rsidRPr="002A107E">
              <w:rPr>
                <w:i/>
                <w:iCs/>
              </w:rPr>
              <w:t xml:space="preserve">Just </w:t>
            </w:r>
            <w:proofErr w:type="spellStart"/>
            <w:r w:rsidRPr="002A107E">
              <w:rPr>
                <w:i/>
                <w:iCs/>
              </w:rPr>
              <w:t>Transition</w:t>
            </w:r>
            <w:proofErr w:type="spellEnd"/>
            <w:r w:rsidRPr="002A107E">
              <w:rPr>
                <w:i/>
                <w:iCs/>
              </w:rPr>
              <w:t xml:space="preserve"> </w:t>
            </w:r>
            <w:proofErr w:type="spellStart"/>
            <w:r w:rsidRPr="002A107E">
              <w:rPr>
                <w:i/>
                <w:iCs/>
              </w:rPr>
              <w:t>Mechanism</w:t>
            </w:r>
            <w:proofErr w:type="spellEnd"/>
            <w:r w:rsidR="00DF0013">
              <w:rPr>
                <w:i/>
                <w:iCs/>
              </w:rPr>
              <w:t xml:space="preserve">, </w:t>
            </w:r>
            <w:r w:rsidRPr="00DF0013" w:rsidR="00DF0013">
              <w:t>JTM</w:t>
            </w:r>
            <w:r w:rsidRPr="002A107E">
              <w:t>) opgezet als onderdeel van het investeringsplan voor de Europese Green Deal</w:t>
            </w:r>
            <w:r w:rsidR="00DF0013">
              <w:t xml:space="preserve">. </w:t>
            </w:r>
            <w:r w:rsidRPr="002A107E">
              <w:t xml:space="preserve">Het JTM bestaat uit drie pijlers: 1) het Fonds voor een rechtvaardige transitie, 2) een specifieke regeling voor een rechtvaardige transitie uit hoofde van het </w:t>
            </w:r>
            <w:proofErr w:type="spellStart"/>
            <w:r w:rsidRPr="002A107E">
              <w:t>InvestEU</w:t>
            </w:r>
            <w:proofErr w:type="spellEnd"/>
            <w:r w:rsidRPr="002A107E">
              <w:t xml:space="preserve"> programma, en 3) de leenfaciliteit voor de publieke sector. Dit jaarlijkse uitvoeringsverslag is gericht op de derde pijler. </w:t>
            </w:r>
          </w:p>
        </w:tc>
      </w:tr>
    </w:tbl>
    <w:p w:rsidR="00CE6A78" w:rsidP="00CE6A78" w:rsidRDefault="00CE6A78" w14:paraId="032B4985" w14:textId="77777777"/>
    <w:p w:rsidR="005357BC" w:rsidRDefault="005357BC" w14:paraId="7E922B8E" w14:textId="77777777"/>
    <w:sectPr w:rsidR="005357BC" w:rsidSect="00CE6A7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13F87"/>
    <w:multiLevelType w:val="hybridMultilevel"/>
    <w:tmpl w:val="9B801AEA"/>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4125509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A78"/>
    <w:rsid w:val="0003713D"/>
    <w:rsid w:val="000B2323"/>
    <w:rsid w:val="000E797B"/>
    <w:rsid w:val="00133851"/>
    <w:rsid w:val="00191ADF"/>
    <w:rsid w:val="001A16A9"/>
    <w:rsid w:val="0022245D"/>
    <w:rsid w:val="002A107E"/>
    <w:rsid w:val="002A5AEB"/>
    <w:rsid w:val="003406BB"/>
    <w:rsid w:val="003A7E87"/>
    <w:rsid w:val="004C038D"/>
    <w:rsid w:val="00520D7B"/>
    <w:rsid w:val="005357BC"/>
    <w:rsid w:val="00561A65"/>
    <w:rsid w:val="005D7AB6"/>
    <w:rsid w:val="006A7643"/>
    <w:rsid w:val="006F5C4D"/>
    <w:rsid w:val="00726D84"/>
    <w:rsid w:val="007433DE"/>
    <w:rsid w:val="00764626"/>
    <w:rsid w:val="00770E51"/>
    <w:rsid w:val="007C4483"/>
    <w:rsid w:val="008074D8"/>
    <w:rsid w:val="008B7BED"/>
    <w:rsid w:val="008F5CDD"/>
    <w:rsid w:val="00944E78"/>
    <w:rsid w:val="00964A71"/>
    <w:rsid w:val="009C6278"/>
    <w:rsid w:val="00AA6D14"/>
    <w:rsid w:val="00B21E1A"/>
    <w:rsid w:val="00C7281F"/>
    <w:rsid w:val="00CE6A78"/>
    <w:rsid w:val="00CF3408"/>
    <w:rsid w:val="00D543F8"/>
    <w:rsid w:val="00DF0013"/>
    <w:rsid w:val="00DF0781"/>
    <w:rsid w:val="00FD3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25F0F"/>
  <w15:chartTrackingRefBased/>
  <w15:docId w15:val="{060C00E7-4C72-4871-A311-94BF381D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6A78"/>
  </w:style>
  <w:style w:type="paragraph" w:styleId="Kop1">
    <w:name w:val="heading 1"/>
    <w:basedOn w:val="Standaard"/>
    <w:next w:val="Standaard"/>
    <w:link w:val="Kop1Char"/>
    <w:uiPriority w:val="9"/>
    <w:qFormat/>
    <w:rsid w:val="00CE6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6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6A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6A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6A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6A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6A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6A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6A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6A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6A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6A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6A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6A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6A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6A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6A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6A78"/>
    <w:rPr>
      <w:rFonts w:eastAsiaTheme="majorEastAsia" w:cstheme="majorBidi"/>
      <w:color w:val="272727" w:themeColor="text1" w:themeTint="D8"/>
    </w:rPr>
  </w:style>
  <w:style w:type="paragraph" w:styleId="Titel">
    <w:name w:val="Title"/>
    <w:basedOn w:val="Standaard"/>
    <w:next w:val="Standaard"/>
    <w:link w:val="TitelChar"/>
    <w:uiPriority w:val="10"/>
    <w:qFormat/>
    <w:rsid w:val="00CE6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6A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6A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6A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6A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6A78"/>
    <w:rPr>
      <w:i/>
      <w:iCs/>
      <w:color w:val="404040" w:themeColor="text1" w:themeTint="BF"/>
    </w:rPr>
  </w:style>
  <w:style w:type="paragraph" w:styleId="Lijstalinea">
    <w:name w:val="List Paragraph"/>
    <w:basedOn w:val="Standaard"/>
    <w:uiPriority w:val="34"/>
    <w:qFormat/>
    <w:rsid w:val="00CE6A78"/>
    <w:pPr>
      <w:ind w:left="720"/>
      <w:contextualSpacing/>
    </w:pPr>
  </w:style>
  <w:style w:type="character" w:styleId="Intensievebenadrukking">
    <w:name w:val="Intense Emphasis"/>
    <w:basedOn w:val="Standaardalinea-lettertype"/>
    <w:uiPriority w:val="21"/>
    <w:qFormat/>
    <w:rsid w:val="00CE6A78"/>
    <w:rPr>
      <w:i/>
      <w:iCs/>
      <w:color w:val="0F4761" w:themeColor="accent1" w:themeShade="BF"/>
    </w:rPr>
  </w:style>
  <w:style w:type="paragraph" w:styleId="Duidelijkcitaat">
    <w:name w:val="Intense Quote"/>
    <w:basedOn w:val="Standaard"/>
    <w:next w:val="Standaard"/>
    <w:link w:val="DuidelijkcitaatChar"/>
    <w:uiPriority w:val="30"/>
    <w:qFormat/>
    <w:rsid w:val="00CE6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6A78"/>
    <w:rPr>
      <w:i/>
      <w:iCs/>
      <w:color w:val="0F4761" w:themeColor="accent1" w:themeShade="BF"/>
    </w:rPr>
  </w:style>
  <w:style w:type="character" w:styleId="Intensieveverwijzing">
    <w:name w:val="Intense Reference"/>
    <w:basedOn w:val="Standaardalinea-lettertype"/>
    <w:uiPriority w:val="32"/>
    <w:qFormat/>
    <w:rsid w:val="00CE6A78"/>
    <w:rPr>
      <w:b/>
      <w:bCs/>
      <w:smallCaps/>
      <w:color w:val="0F4761" w:themeColor="accent1" w:themeShade="BF"/>
      <w:spacing w:val="5"/>
    </w:rPr>
  </w:style>
  <w:style w:type="character" w:styleId="Hyperlink">
    <w:name w:val="Hyperlink"/>
    <w:basedOn w:val="Standaardalinea-lettertype"/>
    <w:uiPriority w:val="99"/>
    <w:unhideWhenUsed/>
    <w:rsid w:val="00CE6A78"/>
    <w:rPr>
      <w:color w:val="467886" w:themeColor="hyperlink"/>
      <w:u w:val="single"/>
    </w:rPr>
  </w:style>
  <w:style w:type="character" w:styleId="GevolgdeHyperlink">
    <w:name w:val="FollowedHyperlink"/>
    <w:basedOn w:val="Standaardalinea-lettertype"/>
    <w:uiPriority w:val="99"/>
    <w:semiHidden/>
    <w:unhideWhenUsed/>
    <w:rsid w:val="00CE6A78"/>
    <w:rPr>
      <w:color w:val="96607D" w:themeColor="followedHyperlink"/>
      <w:u w:val="single"/>
    </w:rPr>
  </w:style>
  <w:style w:type="character" w:styleId="Onopgelostemelding">
    <w:name w:val="Unresolved Mention"/>
    <w:basedOn w:val="Standaardalinea-lettertype"/>
    <w:uiPriority w:val="99"/>
    <w:semiHidden/>
    <w:unhideWhenUsed/>
    <w:rsid w:val="00037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6.safelinks.protection.outlook.com/?url=https%3A%2F%2Feur-lex.europa.eu%2Flegal-content%2FNL%2FTXT%2F%3Furi%3DCELEX%253A52026DC0525%26qid%3D1791277602547&amp;data=05%7C02%7Ca.hartman%40tweedekamer.nl%7C6deddf0bd468433780ff08df250bbe93%7C238cb5073f714afeaaab8382731a4345%7C0%7C0%7C639270404503659410%7CUnknown%7CTWFpbGZsb3d8eyJFbXB0eU1hcGkiOnRydWUsIlYiOiIwLjAuMDAwMCIsIlAiOiJXaW4zMiIsIkFOIjoiTWFpbCIsIldUIjoyfQ%3D%3D%7C0%7C%7C%7C&amp;sdata=C5lGt8H%2BePo6BlWG5ZkrcQDMQsqbhKfTtCzZq6kpabo%3D&amp;reserved=0" TargetMode="External"/><Relationship Id="rId3" Type="http://schemas.openxmlformats.org/officeDocument/2006/relationships/settings" Target="settings.xml"/><Relationship Id="rId7" Type="http://schemas.openxmlformats.org/officeDocument/2006/relationships/hyperlink" Target="https://ec.europa.eu/commission/presscorner/detail/nl/ip_26_18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europa.eu/commission/presscorner/detail/nl/ip_26_1851" TargetMode="External"/><Relationship Id="rId5" Type="http://schemas.openxmlformats.org/officeDocument/2006/relationships/hyperlink" Target="https://ec.europa.eu/commission/presscorner/detail/nl/ip_26_207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496</ap:Words>
  <ap:Characters>3131</ap:Characters>
  <ap:DocSecurity>4</ap:DocSecurity>
  <ap:Lines>99</ap:Lines>
  <ap:Paragraphs>35</ap:Paragraphs>
  <ap:ScaleCrop>false</ap:ScaleCrop>
  <ap:LinksUpToDate>false</ap:LinksUpToDate>
  <ap:CharactersWithSpaces>3603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2026-10-28T15:49:00.0000000Z</dcterms:created>
  <dcterms:modified xsi:type="dcterms:W3CDTF">2026-10-28T15:49:00.0000000Z</dcterms:modified>
  <version/>
  <category/>
</coreProperties>
</file>