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2026Z23254</w:t>
        <w:br/>
      </w:r>
      <w:proofErr w:type="spellEnd"/>
    </w:p>
    <w:p>
      <w:pPr>
        <w:pStyle w:val="Normal"/>
        <w:rPr>
          <w:b w:val="1"/>
          <w:bCs w:val="1"/>
        </w:rPr>
      </w:pPr>
      <w:r w:rsidR="250AE766">
        <w:rPr>
          <w:b w:val="0"/>
          <w:bCs w:val="0"/>
        </w:rPr>
        <w:t>(ingezonden 28 October 2026)</w:t>
        <w:br/>
      </w:r>
    </w:p>
    <w:p>
      <w:r>
        <w:t xml:space="preserve">Vragen van de leden Bolhuis (PRO) en Neijenhuis (D66) aan de minister van Sociale Zaken en Werkgelegenheid over de transitie naar het nieuwe pensioenstelsel bij verzekeraars en premiepensioeninstellingen</w:t>
      </w:r>
      <w:r>
        <w:br/>
      </w:r>
    </w:p>
    <w:p>
      <w:pPr>
        <w:pStyle w:val="ListParagraph"/>
        <w:numPr>
          <w:ilvl w:val="0"/>
          <w:numId w:val="100523540"/>
        </w:numPr>
        <w:ind w:left="360"/>
      </w:pPr>
      <w:r>
        <w:t xml:space="preserve">Bent u bekend met het bericht ‘DNB: nog aanzienlijke opgave voor transitie bij verzekeraars en ppi’s’?’ [1]</w:t>
      </w:r>
      <w:r>
        <w:br/>
      </w:r>
    </w:p>
    <w:p>
      <w:pPr>
        <w:pStyle w:val="ListParagraph"/>
        <w:numPr>
          <w:ilvl w:val="0"/>
          <w:numId w:val="100523540"/>
        </w:numPr>
        <w:ind w:left="360"/>
      </w:pPr>
      <w:r>
        <w:t xml:space="preserve">Bent u bekend met ‘DNB Transitienieuws – Kwartaalupdate voortgang transitie?’ [2]</w:t>
      </w:r>
      <w:r>
        <w:br/>
      </w:r>
    </w:p>
    <w:p>
      <w:pPr>
        <w:pStyle w:val="ListParagraph"/>
        <w:numPr>
          <w:ilvl w:val="0"/>
          <w:numId w:val="100523540"/>
        </w:numPr>
        <w:ind w:left="360"/>
      </w:pPr>
      <w:r>
        <w:t xml:space="preserve">Kunt u de eerste grafiek uit het transitienieuws nader toelichten? Verwacht u dat de 38 duizend pensioenregelingen bij verzekeraars en premiepensioeninstellingen (ppi’s) die nog niet zijn omgezet naar het nieuwe stelsel inderdaad op of voor 1 januari 2028 ‘Wet toekomst pensioenen-proof’ (‘Wtp-proof’) zullen zijn?</w:t>
      </w:r>
      <w:r>
        <w:br/>
      </w:r>
    </w:p>
    <w:p>
      <w:pPr>
        <w:pStyle w:val="ListParagraph"/>
        <w:numPr>
          <w:ilvl w:val="0"/>
          <w:numId w:val="100523540"/>
        </w:numPr>
        <w:ind w:left="360"/>
      </w:pPr>
      <w:r>
        <w:t xml:space="preserve">Deelt u de zorg dat pensioenverzekerden een groot deel van hun opgebouwde pensioen door fiscale onzuiverheid dreigen te verliezen als hun pensioen niet uiterlijk 1 januari 2028 is overgezet naar het nieuwe pensioenstelsel?</w:t>
      </w:r>
      <w:r>
        <w:br/>
      </w:r>
    </w:p>
    <w:p>
      <w:pPr>
        <w:pStyle w:val="ListParagraph"/>
        <w:numPr>
          <w:ilvl w:val="0"/>
          <w:numId w:val="100523540"/>
        </w:numPr>
        <w:ind w:left="360"/>
      </w:pPr>
      <w:r>
        <w:t xml:space="preserve">Weet u hoeveel werknemers onder deze 38 duizend niet-omgezette pensioenregelingen vallen? Zo niet, zou u een inschatting kunnen maken van het aantal werknemers dat het betreft?</w:t>
      </w:r>
      <w:r>
        <w:br/>
      </w:r>
    </w:p>
    <w:p>
      <w:pPr>
        <w:pStyle w:val="ListParagraph"/>
        <w:numPr>
          <w:ilvl w:val="0"/>
          <w:numId w:val="100523540"/>
        </w:numPr>
        <w:ind w:left="360"/>
      </w:pPr>
      <w:r>
        <w:t xml:space="preserve">Is bij u op basis van signalen van verzekeraars en adviseurs bekend in welke mate werkgevers aan het proces van omzetten zijn begonnen, volgens het streven om een zo groot mogelijk deel van de omzettingen in 2026 te realiseren, en in welke mate werkgevers hier nog niet aan zijn begonnen?</w:t>
      </w:r>
      <w:r>
        <w:br/>
      </w:r>
    </w:p>
    <w:p>
      <w:pPr>
        <w:pStyle w:val="ListParagraph"/>
        <w:numPr>
          <w:ilvl w:val="0"/>
          <w:numId w:val="100523540"/>
        </w:numPr>
        <w:ind w:left="360"/>
      </w:pPr>
      <w:r>
        <w:t xml:space="preserve">Gelet op het feit dat u in het commissiedebat van 10 september jongstleden aangaf dat verzekeraars ook rechtstreeks contact opnemen met werkgevers en werknemers als er onvoldoende stappen zijn gezet, kunt u dit traject nader uiteenzetten? Wanneer kunnen we deze stappen verwachten?</w:t>
      </w:r>
      <w:r>
        <w:br/>
      </w:r>
    </w:p>
    <w:p>
      <w:pPr>
        <w:pStyle w:val="ListParagraph"/>
        <w:numPr>
          <w:ilvl w:val="0"/>
          <w:numId w:val="100523540"/>
        </w:numPr>
        <w:ind w:left="360"/>
      </w:pPr>
      <w:r>
        <w:t xml:space="preserve">Welke inspanningen gaat u leveren om ervoor te zorgen dat werknemers niet de dupe worden van een onoplettende werkgever? Op welke manier kunnen werknemers naast de informatievoorziening vanuit de verzekeraar worden geholpen als hun werkgever nalatig blijft om de pensioenregeling ‘Wtp-proof’ te maken?</w:t>
      </w:r>
      <w:r>
        <w:br/>
      </w:r>
    </w:p>
    <w:p>
      <w:pPr>
        <w:pStyle w:val="ListParagraph"/>
        <w:numPr>
          <w:ilvl w:val="0"/>
          <w:numId w:val="100523540"/>
        </w:numPr>
        <w:ind w:left="360"/>
      </w:pPr>
      <w:r>
        <w:t xml:space="preserve">Intensiveert u de publiekscommunicatie over de risico’s van een pensioenregeling die niet tijdig wordt omgezet? Zo nee, bent u bereid dit te doen?</w:t>
      </w:r>
      <w:r>
        <w:br/>
      </w:r>
    </w:p>
    <w:p>
      <w:pPr>
        <w:pStyle w:val="ListParagraph"/>
        <w:numPr>
          <w:ilvl w:val="0"/>
          <w:numId w:val="100523540"/>
        </w:numPr>
        <w:ind w:left="360"/>
      </w:pPr>
      <w:r>
        <w:t xml:space="preserve">Gelet op het feit dat u bij het commissiedebat van 10 september jongstleden aangaf dat aanvullende maatregelen momenteel nog niet aan de orde zijn, kunt u aangeven of u ondertussen aanvullende oplossingsrichtingen verkend of klaar hebt liggen voor als blijkt dat werkgevers niet zelfstandig op tijd overstappen naar de Wtp?</w:t>
      </w:r>
      <w:r>
        <w:br/>
      </w:r>
    </w:p>
    <w:p>
      <w:r>
        <w:t xml:space="preserve"> </w:t>
      </w:r>
      <w:r>
        <w:br/>
      </w:r>
    </w:p>
    <w:p>
      <w:r>
        <w:t xml:space="preserve">[1] PensioenPro, 21 oktober 2026, ‘DNB: nog aanzienlijke opgave voor transitie bij verzekeraars en ppi’s’, pensioenpro.nl/dnb-nog-aanzienlijke-opgave-voor-transitie-bij-verzekeraars-en-ppis/</w:t>
      </w:r>
      <w:r>
        <w:br/>
      </w:r>
    </w:p>
    <w:p>
      <w:r>
        <w:t xml:space="preserve">[2] De Nederlandsche Bank, 15 oktober 2026, ‘TRANSITIENIEUWS – Kwartaalupdate voortgang transitie’, www.dnb.nl/nieuws-voor-de-sector/toezicht-2026/q4/transitienieuws-kwartaalupdate-voortgang-transitie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4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470">
    <w:abstractNumId w:val="1005234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