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308AB" w:rsidP="0054796A" w14:paraId="1826CC66" w14:textId="77777777">
      <w:pPr>
        <w:spacing w:line="276" w:lineRule="auto"/>
      </w:pPr>
      <w:r w:rsidRPr="002A1A42">
        <w:t xml:space="preserve">Tijdens de </w:t>
      </w:r>
      <w:r w:rsidR="00007492">
        <w:t>A</w:t>
      </w:r>
      <w:r w:rsidRPr="002A1A42">
        <w:t xml:space="preserve">lgemene </w:t>
      </w:r>
      <w:r w:rsidR="00007492">
        <w:t>P</w:t>
      </w:r>
      <w:r w:rsidRPr="002A1A42">
        <w:t xml:space="preserve">olitieke </w:t>
      </w:r>
      <w:r w:rsidR="00007492">
        <w:t>B</w:t>
      </w:r>
      <w:r w:rsidRPr="002A1A42">
        <w:t xml:space="preserve">eschouwingen </w:t>
      </w:r>
      <w:r w:rsidR="00007492">
        <w:t>van</w:t>
      </w:r>
      <w:r w:rsidR="003D53B5">
        <w:t xml:space="preserve"> </w:t>
      </w:r>
      <w:r w:rsidR="00007492">
        <w:t xml:space="preserve">18 </w:t>
      </w:r>
      <w:r w:rsidR="003D53B5">
        <w:t>september</w:t>
      </w:r>
      <w:r w:rsidRPr="002A1A42">
        <w:t xml:space="preserve"> 2025 heeft </w:t>
      </w:r>
      <w:r w:rsidR="006A51D8">
        <w:t xml:space="preserve">uw Kamer </w:t>
      </w:r>
      <w:r w:rsidRPr="002A1A42">
        <w:t>een motie</w:t>
      </w:r>
      <w:r w:rsidR="00BE6215">
        <w:t xml:space="preserve"> van het lid Van der Plas</w:t>
      </w:r>
      <w:r w:rsidRPr="002A1A42">
        <w:t xml:space="preserve"> </w:t>
      </w:r>
      <w:r w:rsidR="006A51D8">
        <w:t>aangenomen waarin zij</w:t>
      </w:r>
      <w:r w:rsidRPr="002A1A42">
        <w:t xml:space="preserve"> </w:t>
      </w:r>
      <w:r w:rsidR="0054796A">
        <w:t xml:space="preserve">de regering </w:t>
      </w:r>
      <w:r w:rsidR="006A51D8">
        <w:t xml:space="preserve">verzoekt om </w:t>
      </w:r>
      <w:r w:rsidR="0054796A">
        <w:t xml:space="preserve">uiteen te zetten hoe </w:t>
      </w:r>
      <w:r w:rsidRPr="006A51D8" w:rsidR="006A51D8">
        <w:t>artikel 1.4 van de Crisis- en herstelwet (</w:t>
      </w:r>
      <w:r w:rsidRPr="006A51D8" w:rsidR="006A51D8">
        <w:t>Chw</w:t>
      </w:r>
      <w:r w:rsidRPr="006A51D8" w:rsidR="006A51D8">
        <w:t xml:space="preserve">) </w:t>
      </w:r>
      <w:r w:rsidR="0054796A">
        <w:t>opnieuw onderdeel kan worden in de</w:t>
      </w:r>
      <w:r w:rsidR="006A51D8">
        <w:t xml:space="preserve"> </w:t>
      </w:r>
      <w:r w:rsidR="0054796A">
        <w:t>Omgevingswet zodat woningbouw en bijbehorende energie-infrastructuur</w:t>
      </w:r>
      <w:r w:rsidR="006A51D8">
        <w:t xml:space="preserve"> </w:t>
      </w:r>
      <w:r w:rsidR="0054796A">
        <w:t>sneller gerealiseerd worden</w:t>
      </w:r>
      <w:r w:rsidR="009E1D77">
        <w:t>.</w:t>
      </w:r>
      <w:r>
        <w:rPr>
          <w:rStyle w:val="FootnoteReference"/>
        </w:rPr>
        <w:footnoteReference w:id="2"/>
      </w:r>
      <w:r w:rsidR="009E1D77">
        <w:t xml:space="preserve"> </w:t>
      </w:r>
      <w:r w:rsidR="007D0FFC">
        <w:t xml:space="preserve">Artikel 1.4 </w:t>
      </w:r>
      <w:r w:rsidR="007D0FFC">
        <w:t>Chw</w:t>
      </w:r>
      <w:r w:rsidR="007D0FFC">
        <w:t xml:space="preserve"> </w:t>
      </w:r>
      <w:r w:rsidR="009E1D77">
        <w:t>beperkt</w:t>
      </w:r>
      <w:r w:rsidR="007D0FFC">
        <w:t xml:space="preserve">e </w:t>
      </w:r>
      <w:r w:rsidR="009E1D77">
        <w:t xml:space="preserve">de mogelijkheden van decentrale overheden om beroep in te stellen tegen </w:t>
      </w:r>
      <w:r w:rsidR="007D0FFC">
        <w:t xml:space="preserve">een </w:t>
      </w:r>
      <w:r w:rsidR="009E1D77">
        <w:t xml:space="preserve">besluit van </w:t>
      </w:r>
      <w:r w:rsidR="00B1470B">
        <w:t xml:space="preserve">het </w:t>
      </w:r>
      <w:r>
        <w:t>Rijk</w:t>
      </w:r>
      <w:r w:rsidR="009E1D77">
        <w:t xml:space="preserve">. </w:t>
      </w:r>
      <w:r w:rsidRPr="002A1A42">
        <w:t xml:space="preserve">In deze brief zal ik toelichten hoe artikel 1.4 </w:t>
      </w:r>
      <w:r w:rsidRPr="002A1A42">
        <w:t>Chw</w:t>
      </w:r>
      <w:r w:rsidRPr="002A1A42">
        <w:t xml:space="preserve"> werkte en waarom deze bepaling niet in de Omgevingswet is opgenomen. </w:t>
      </w:r>
      <w:r w:rsidR="007D0FFC">
        <w:t xml:space="preserve">Daarnaast licht ik toe dat ik zal bezien of beperkingen in het beroepsrecht van overheden kunnen leiden tot versnelling van woningbouw en </w:t>
      </w:r>
      <w:r w:rsidRPr="006A51D8" w:rsidR="006A51D8">
        <w:t>energie-</w:t>
      </w:r>
      <w:r w:rsidR="006A51D8">
        <w:t xml:space="preserve"> en CO</w:t>
      </w:r>
      <w:r w:rsidRPr="00016FEF" w:rsidR="006A51D8">
        <w:rPr>
          <w:vertAlign w:val="subscript"/>
        </w:rPr>
        <w:t>2</w:t>
      </w:r>
      <w:r w:rsidR="006A51D8">
        <w:t>-</w:t>
      </w:r>
      <w:r w:rsidRPr="006A51D8" w:rsidR="006A51D8">
        <w:t>projecten</w:t>
      </w:r>
      <w:r w:rsidR="007D0FFC">
        <w:t xml:space="preserve">. </w:t>
      </w:r>
    </w:p>
    <w:p w:rsidRPr="002A1A42" w:rsidR="002A1A42" w:rsidP="00A05CDB" w14:paraId="237C2439" w14:textId="77777777">
      <w:pPr>
        <w:spacing w:line="276" w:lineRule="auto"/>
      </w:pPr>
    </w:p>
    <w:p w:rsidR="002A1A42" w:rsidP="00A05CDB" w14:paraId="6C8656E7" w14:textId="77777777">
      <w:pPr>
        <w:autoSpaceDN/>
        <w:spacing w:line="276" w:lineRule="auto"/>
        <w:textAlignment w:val="auto"/>
      </w:pPr>
      <w:r w:rsidRPr="002A1A42">
        <w:rPr>
          <w:i/>
          <w:iCs/>
        </w:rPr>
        <w:t xml:space="preserve">Hoe werkte artikel 1.4 </w:t>
      </w:r>
      <w:r w:rsidRPr="002A1A42">
        <w:rPr>
          <w:i/>
          <w:iCs/>
        </w:rPr>
        <w:t>Chw</w:t>
      </w:r>
      <w:r w:rsidR="00F445CA">
        <w:rPr>
          <w:i/>
          <w:iCs/>
        </w:rPr>
        <w:t>?</w:t>
      </w:r>
      <w:r w:rsidRPr="002A1A42">
        <w:rPr>
          <w:i/>
          <w:iCs/>
        </w:rPr>
        <w:t xml:space="preserve"> </w:t>
      </w:r>
      <w:r w:rsidRPr="002A1A42">
        <w:rPr>
          <w:rFonts w:ascii="Aptos" w:hAnsi="Aptos" w:eastAsia="Aptos" w:cs="Times New Roman"/>
          <w:i/>
          <w:iCs/>
          <w:color w:val="auto"/>
          <w:kern w:val="2"/>
          <w:sz w:val="24"/>
          <w:szCs w:val="24"/>
          <w:lang w:eastAsia="en-US"/>
          <w14:ligatures w14:val="standardContextual"/>
        </w:rPr>
        <w:br/>
      </w:r>
      <w:bookmarkStart w:name="_Hlk241482145" w:id="0"/>
      <w:r w:rsidRPr="002A1A42">
        <w:t xml:space="preserve">In artikel 1.4 </w:t>
      </w:r>
      <w:r w:rsidRPr="002A1A42">
        <w:t>Chw</w:t>
      </w:r>
      <w:r w:rsidRPr="002A1A42">
        <w:t xml:space="preserve"> was </w:t>
      </w:r>
      <w:r w:rsidR="00E13132">
        <w:t xml:space="preserve">kort gezegd </w:t>
      </w:r>
      <w:r w:rsidRPr="002A1A42">
        <w:t>opgenomen dat</w:t>
      </w:r>
      <w:r w:rsidR="00E13132">
        <w:t xml:space="preserve"> </w:t>
      </w:r>
      <w:r w:rsidR="00B1470B">
        <w:t xml:space="preserve">een </w:t>
      </w:r>
      <w:r w:rsidRPr="002A1A42">
        <w:t>decentrale overhe</w:t>
      </w:r>
      <w:r w:rsidR="00B1470B">
        <w:t>i</w:t>
      </w:r>
      <w:r w:rsidRPr="002A1A42">
        <w:t xml:space="preserve">d niet in beroep </w:t>
      </w:r>
      <w:r w:rsidRPr="002A1A42" w:rsidR="00E13132">
        <w:t xml:space="preserve">kon </w:t>
      </w:r>
      <w:r w:rsidRPr="002A1A42">
        <w:t xml:space="preserve">gaan </w:t>
      </w:r>
      <w:r w:rsidR="00B1470B">
        <w:t xml:space="preserve">bij de bestuursrechter </w:t>
      </w:r>
      <w:r w:rsidRPr="002A1A42">
        <w:t xml:space="preserve">tegen </w:t>
      </w:r>
      <w:r w:rsidR="00B1470B">
        <w:t xml:space="preserve">een </w:t>
      </w:r>
      <w:r w:rsidRPr="002A1A42">
        <w:t>besluit van de centrale overheid, tenzij dat besluit was gericht</w:t>
      </w:r>
      <w:r w:rsidR="00B1470B">
        <w:t xml:space="preserve"> aan die decentrale overheid</w:t>
      </w:r>
      <w:r w:rsidRPr="002A1A42">
        <w:t>.</w:t>
      </w:r>
      <w:r w:rsidR="004C5D89">
        <w:t xml:space="preserve"> </w:t>
      </w:r>
      <w:bookmarkEnd w:id="0"/>
      <w:r w:rsidR="00CE3BBC">
        <w:t>De bepaling zag dus uitsluitend op de beroepsprocedure en niet op de bezwaarprocedure. A</w:t>
      </w:r>
      <w:r w:rsidR="004C5D89">
        <w:t xml:space="preserve">rtikel </w:t>
      </w:r>
      <w:r w:rsidR="00CE3BBC">
        <w:t xml:space="preserve">1.4 </w:t>
      </w:r>
      <w:r w:rsidR="00CE3BBC">
        <w:t>Chw</w:t>
      </w:r>
      <w:r w:rsidR="00CE3BBC">
        <w:t xml:space="preserve"> </w:t>
      </w:r>
      <w:r w:rsidR="004C5D89">
        <w:t>is ingevoerd naar aanleiding van het advies van de Commissie</w:t>
      </w:r>
      <w:r w:rsidR="00B1470B">
        <w:t>-</w:t>
      </w:r>
      <w:r w:rsidR="004C5D89">
        <w:t>Elverding</w:t>
      </w:r>
      <w:r w:rsidR="00B1470B">
        <w:t>,</w:t>
      </w:r>
      <w:r w:rsidR="004C5D89">
        <w:t xml:space="preserve"> waarin geadviseerd werd om voor </w:t>
      </w:r>
      <w:r w:rsidR="004C5D89">
        <w:t>rijksinfrastructuur</w:t>
      </w:r>
      <w:r w:rsidR="004C5D89">
        <w:t xml:space="preserve"> het beroepsrecht van overheden in te perken.</w:t>
      </w:r>
      <w:r>
        <w:rPr>
          <w:rStyle w:val="FootnoteReference"/>
        </w:rPr>
        <w:footnoteReference w:id="3"/>
      </w:r>
      <w:r w:rsidR="004C5D89">
        <w:t xml:space="preserve"> </w:t>
      </w:r>
    </w:p>
    <w:p w:rsidR="00C70061" w:rsidP="00A05CDB" w14:paraId="78C0BE98" w14:textId="77777777">
      <w:pPr>
        <w:autoSpaceDN/>
        <w:spacing w:line="276" w:lineRule="auto"/>
        <w:textAlignment w:val="auto"/>
      </w:pPr>
    </w:p>
    <w:p w:rsidRPr="00F7062C" w:rsidR="00C70061" w:rsidP="00A05CDB" w14:paraId="155CD5F7" w14:textId="77777777">
      <w:pPr>
        <w:autoSpaceDN/>
        <w:spacing w:line="276" w:lineRule="auto"/>
        <w:textAlignment w:val="auto"/>
        <w:rPr>
          <w:i/>
          <w:iCs/>
        </w:rPr>
      </w:pPr>
      <w:r>
        <w:rPr>
          <w:i/>
          <w:iCs/>
        </w:rPr>
        <w:t xml:space="preserve">Waarom is </w:t>
      </w:r>
      <w:r w:rsidRPr="00F7062C">
        <w:rPr>
          <w:i/>
          <w:iCs/>
        </w:rPr>
        <w:t xml:space="preserve">artikel 1.4 </w:t>
      </w:r>
      <w:r w:rsidRPr="00F7062C">
        <w:rPr>
          <w:i/>
          <w:iCs/>
        </w:rPr>
        <w:t>Chw</w:t>
      </w:r>
      <w:r>
        <w:rPr>
          <w:i/>
          <w:iCs/>
        </w:rPr>
        <w:t xml:space="preserve"> niet opgenomen in de Omgevingswet?</w:t>
      </w:r>
    </w:p>
    <w:p w:rsidR="004C5D89" w:rsidP="00C70061" w14:paraId="25892B3D" w14:textId="77777777">
      <w:pPr>
        <w:autoSpaceDN/>
        <w:spacing w:line="276" w:lineRule="auto"/>
        <w:textAlignment w:val="auto"/>
      </w:pPr>
      <w:r w:rsidRPr="002A1A42">
        <w:t xml:space="preserve">In de Omgevingswet is een groot deel van de bepalingen van de </w:t>
      </w:r>
      <w:r w:rsidRPr="002A1A42">
        <w:t>Chw</w:t>
      </w:r>
      <w:r w:rsidRPr="002A1A42">
        <w:t xml:space="preserve"> opgenomen; artikel 1.4 </w:t>
      </w:r>
      <w:r w:rsidRPr="002A1A42">
        <w:t>Chw</w:t>
      </w:r>
      <w:r w:rsidRPr="002A1A42">
        <w:t xml:space="preserve"> is daarbij komen te vervallen.</w:t>
      </w:r>
      <w:r>
        <w:rPr>
          <w:vertAlign w:val="superscript"/>
        </w:rPr>
        <w:footnoteReference w:id="4"/>
      </w:r>
      <w:r w:rsidRPr="002A1A42">
        <w:t xml:space="preserve"> Een van de uitgangspunten </w:t>
      </w:r>
      <w:r>
        <w:t>van</w:t>
      </w:r>
      <w:r w:rsidRPr="002A1A42">
        <w:t xml:space="preserve"> de Omgevingswet is </w:t>
      </w:r>
      <w:r w:rsidR="00114845">
        <w:t xml:space="preserve">dat </w:t>
      </w:r>
      <w:r w:rsidRPr="002A1A42">
        <w:t xml:space="preserve">bestuursorganen gelijkwaardig zijn en dat er onderling vertrouwen is. Geschillen tussen overheden onderling </w:t>
      </w:r>
      <w:r>
        <w:t xml:space="preserve">moeten </w:t>
      </w:r>
      <w:r w:rsidRPr="002A1A42">
        <w:t xml:space="preserve">zoveel mogelijk via minnelijke weg opgelost worden. </w:t>
      </w:r>
    </w:p>
    <w:p w:rsidR="004C5D89" w:rsidP="00C70061" w14:paraId="1A4C9A14" w14:textId="77777777">
      <w:pPr>
        <w:autoSpaceDN/>
        <w:spacing w:line="276" w:lineRule="auto"/>
        <w:textAlignment w:val="auto"/>
      </w:pPr>
    </w:p>
    <w:p w:rsidR="0084301D" w:rsidP="00531DE0" w14:paraId="07BFBFB8" w14:textId="77777777">
      <w:pPr>
        <w:autoSpaceDN/>
        <w:spacing w:line="276" w:lineRule="auto"/>
        <w:textAlignment w:val="auto"/>
      </w:pPr>
      <w:r>
        <w:t xml:space="preserve">Daarnaast </w:t>
      </w:r>
      <w:r w:rsidR="00531DE0">
        <w:t xml:space="preserve">zijn </w:t>
      </w:r>
      <w:r w:rsidR="009E1D77">
        <w:t>alle</w:t>
      </w:r>
      <w:r w:rsidR="00531DE0">
        <w:t xml:space="preserve"> procesrechtelijke bepalingen</w:t>
      </w:r>
      <w:r w:rsidR="00114845">
        <w:t xml:space="preserve"> </w:t>
      </w:r>
      <w:r w:rsidR="00531DE0">
        <w:t xml:space="preserve">van hoofdstuk 1 </w:t>
      </w:r>
      <w:r w:rsidR="00531DE0">
        <w:t>Chw</w:t>
      </w:r>
      <w:r w:rsidR="00114845">
        <w:t xml:space="preserve">, waaronder artikel 1.4 </w:t>
      </w:r>
      <w:r w:rsidR="00114845">
        <w:t>Chw</w:t>
      </w:r>
      <w:r w:rsidR="00114845">
        <w:t>,</w:t>
      </w:r>
      <w:r w:rsidR="00531DE0">
        <w:t xml:space="preserve"> tweemaal geëvalueerd.</w:t>
      </w:r>
      <w:r>
        <w:rPr>
          <w:rStyle w:val="FootnoteReference"/>
        </w:rPr>
        <w:footnoteReference w:id="5"/>
      </w:r>
      <w:r w:rsidR="00531DE0">
        <w:t xml:space="preserve"> Daaruit bleek dat h</w:t>
      </w:r>
      <w:r w:rsidR="00C70061">
        <w:t xml:space="preserve">et </w:t>
      </w:r>
      <w:r w:rsidRPr="002A1A42" w:rsidR="00C70061">
        <w:t>uitsluiten van beroep door decentrale overheden vaak geen substantiële tijdwinst op</w:t>
      </w:r>
      <w:r w:rsidR="00531DE0">
        <w:t>leverde</w:t>
      </w:r>
      <w:r w:rsidRPr="002A1A42" w:rsidR="00C70061">
        <w:t xml:space="preserve">, </w:t>
      </w:r>
      <w:r w:rsidRPr="002A1A42" w:rsidR="00C70061">
        <w:t>aangezien er meestal ook andere partijen waren die in beroep gingen.</w:t>
      </w:r>
      <w:r>
        <w:rPr>
          <w:vertAlign w:val="superscript"/>
        </w:rPr>
        <w:footnoteReference w:id="6"/>
      </w:r>
      <w:r w:rsidRPr="002A1A42" w:rsidR="00C70061">
        <w:t xml:space="preserve"> </w:t>
      </w:r>
      <w:r w:rsidR="00C42D2C">
        <w:t xml:space="preserve">Voor </w:t>
      </w:r>
      <w:r w:rsidR="00531DE0">
        <w:t>de uitkomst van een bestuursrechtelijk</w:t>
      </w:r>
      <w:r w:rsidR="00114845">
        <w:t xml:space="preserve"> geschil</w:t>
      </w:r>
      <w:r w:rsidR="00531DE0">
        <w:t xml:space="preserve"> </w:t>
      </w:r>
      <w:r w:rsidR="00C42D2C">
        <w:t xml:space="preserve">maakte het dus </w:t>
      </w:r>
      <w:r w:rsidR="00531DE0">
        <w:t>niet of nauwelijks ui</w:t>
      </w:r>
      <w:r w:rsidR="00C42D2C">
        <w:t>t</w:t>
      </w:r>
      <w:r w:rsidR="00531DE0">
        <w:t xml:space="preserve"> of een (decentraal) bestuursorgaan wel of geen beroepsrecht </w:t>
      </w:r>
      <w:r w:rsidR="00B1470B">
        <w:t>had</w:t>
      </w:r>
      <w:r w:rsidR="00C42D2C">
        <w:t xml:space="preserve">. Daarom is </w:t>
      </w:r>
      <w:r w:rsidR="0006365F">
        <w:t xml:space="preserve">destijds </w:t>
      </w:r>
      <w:r w:rsidR="00C42D2C">
        <w:t xml:space="preserve">bij de </w:t>
      </w:r>
      <w:r w:rsidR="0006365F">
        <w:t xml:space="preserve">permanentmaking van de </w:t>
      </w:r>
      <w:r w:rsidR="0006365F">
        <w:t>Chw</w:t>
      </w:r>
      <w:r w:rsidR="0006365F">
        <w:t xml:space="preserve"> </w:t>
      </w:r>
      <w:r w:rsidR="00531DE0">
        <w:t xml:space="preserve">overwogen dat in de Algemene wet bestuursrecht </w:t>
      </w:r>
      <w:r w:rsidR="0054796A">
        <w:t>(</w:t>
      </w:r>
      <w:r w:rsidR="0054796A">
        <w:t>Awb</w:t>
      </w:r>
      <w:r w:rsidR="0054796A">
        <w:t xml:space="preserve">) </w:t>
      </w:r>
      <w:r w:rsidR="00531DE0">
        <w:t xml:space="preserve">geen generieke afwijking dient te worden </w:t>
      </w:r>
      <w:r w:rsidR="0054796A">
        <w:t>opgenomen</w:t>
      </w:r>
      <w:r w:rsidR="00531DE0">
        <w:t xml:space="preserve"> van de hoofdregel dat in het bestuursrecht elke belanghebbende, dus ook een bestuursorgaan (vgl. artikel 1:2, tweede lid, </w:t>
      </w:r>
      <w:r w:rsidR="00531DE0">
        <w:t>Awb</w:t>
      </w:r>
      <w:r w:rsidR="00531DE0">
        <w:t>), beroep in kan stellen bij de bestuursrechter. Bij die afweging is ook betrokken dat het beperken van het beroepsrecht bij de bestuursrechter automatisch beteken</w:t>
      </w:r>
      <w:r w:rsidR="005B34FC">
        <w:t>t</w:t>
      </w:r>
      <w:r w:rsidR="00531DE0">
        <w:t xml:space="preserve"> dat de weg naar de burgerlijke rechter open </w:t>
      </w:r>
      <w:r w:rsidR="005B34FC">
        <w:t>komt</w:t>
      </w:r>
      <w:r w:rsidR="00531DE0">
        <w:t xml:space="preserve"> te staan.</w:t>
      </w:r>
      <w:r>
        <w:rPr>
          <w:rStyle w:val="FootnoteReference"/>
        </w:rPr>
        <w:footnoteReference w:id="7"/>
      </w:r>
      <w:r w:rsidR="00531DE0">
        <w:t xml:space="preserve"> </w:t>
      </w:r>
      <w:r w:rsidR="00C42D2C">
        <w:t>A</w:t>
      </w:r>
      <w:r w:rsidRPr="002A1A42" w:rsidR="00C70061">
        <w:t>rtikel 6 EVRM</w:t>
      </w:r>
      <w:r w:rsidR="00C42D2C">
        <w:t xml:space="preserve"> vereist namelijk dat er altijd toegang moet zijn tot de rechter</w:t>
      </w:r>
      <w:r w:rsidRPr="002A1A42" w:rsidR="00C70061">
        <w:t xml:space="preserve">. </w:t>
      </w:r>
      <w:r w:rsidR="00C70061">
        <w:t>Daarmee ontstond de situatie dat bestuursorganen die voor desbetreffende besluiten als belanghebbende konden worden aangemerkt, niet naar de bestuursrechter konden, maar wel een vordering konden instellen bij de burgerlijke rechter. Zo ontstonden er voor belanghebbenden bij hetzelfde besluit twee parallelle procedures. Dit is onwenselijk. Daarenboven duren procedures bij de burgerlijke rechter gemiddeld langer dan bestuursrechtelijke procedures, zodat het effect van deze bepaling net tegengesteld kon zijn aan wat werd beoogd: een vertraging in plaats van een versnelling van de procedures.</w:t>
      </w:r>
      <w:r>
        <w:rPr>
          <w:rStyle w:val="FootnoteReference"/>
        </w:rPr>
        <w:footnoteReference w:id="8"/>
      </w:r>
      <w:r w:rsidRPr="002A1A42" w:rsidR="00C70061">
        <w:t xml:space="preserve"> </w:t>
      </w:r>
    </w:p>
    <w:p w:rsidR="0084301D" w:rsidP="00531DE0" w14:paraId="622AB023" w14:textId="77777777">
      <w:pPr>
        <w:autoSpaceDN/>
        <w:spacing w:line="276" w:lineRule="auto"/>
        <w:textAlignment w:val="auto"/>
      </w:pPr>
    </w:p>
    <w:p w:rsidRPr="002A1A42" w:rsidR="00C70061" w:rsidP="00531DE0" w14:paraId="1AB414B2" w14:textId="77777777">
      <w:pPr>
        <w:autoSpaceDN/>
        <w:spacing w:line="276" w:lineRule="auto"/>
        <w:textAlignment w:val="auto"/>
      </w:pPr>
      <w:r>
        <w:t>Voorgaande redenen lei</w:t>
      </w:r>
      <w:r w:rsidR="00180F00">
        <w:t>d</w:t>
      </w:r>
      <w:r>
        <w:t>den tot de conclusie dat de opname van a</w:t>
      </w:r>
      <w:r w:rsidRPr="002A1A42">
        <w:t xml:space="preserve">rtikel 1.4 </w:t>
      </w:r>
      <w:r w:rsidRPr="002A1A42">
        <w:t>Chw</w:t>
      </w:r>
      <w:r w:rsidRPr="002A1A42">
        <w:t xml:space="preserve"> </w:t>
      </w:r>
      <w:r w:rsidR="00FD4842">
        <w:t xml:space="preserve">ook in de Omgevingswet </w:t>
      </w:r>
      <w:r>
        <w:t xml:space="preserve">niet </w:t>
      </w:r>
      <w:r w:rsidR="00C42D2C">
        <w:t xml:space="preserve">zou leiden </w:t>
      </w:r>
      <w:r w:rsidR="0054796A">
        <w:t xml:space="preserve">tot </w:t>
      </w:r>
      <w:r w:rsidR="00C42D2C">
        <w:t xml:space="preserve">het beoogde doel. Namelijk </w:t>
      </w:r>
      <w:r w:rsidR="00E43F90">
        <w:t xml:space="preserve">een </w:t>
      </w:r>
      <w:r w:rsidR="00C42D2C">
        <w:t>versnelling van procedures.</w:t>
      </w:r>
      <w:r>
        <w:t xml:space="preserve"> </w:t>
      </w:r>
      <w:r w:rsidR="00C42D2C">
        <w:t>Om die reden is deze bepaling niet opgenomen in de Omgevingswet.</w:t>
      </w:r>
    </w:p>
    <w:p w:rsidR="00A05CDB" w:rsidP="00A05CDB" w14:paraId="098AAC50" w14:textId="77777777">
      <w:pPr>
        <w:autoSpaceDN/>
        <w:spacing w:line="276" w:lineRule="auto"/>
        <w:textAlignment w:val="auto"/>
        <w:rPr>
          <w:i/>
          <w:iCs/>
        </w:rPr>
      </w:pPr>
    </w:p>
    <w:p w:rsidRPr="002A1A42" w:rsidR="002A1A42" w:rsidP="00A05CDB" w14:paraId="28011CA8" w14:textId="77777777">
      <w:pPr>
        <w:spacing w:line="276" w:lineRule="auto"/>
      </w:pPr>
      <w:r w:rsidRPr="002A1A42">
        <w:rPr>
          <w:i/>
          <w:iCs/>
        </w:rPr>
        <w:t>Herintroductie</w:t>
      </w:r>
      <w:r w:rsidR="006A51D8">
        <w:rPr>
          <w:i/>
          <w:iCs/>
        </w:rPr>
        <w:t>?</w:t>
      </w:r>
      <w:r w:rsidRPr="002A1A42">
        <w:rPr>
          <w:i/>
          <w:iCs/>
        </w:rPr>
        <w:br/>
      </w:r>
      <w:r w:rsidR="00092850">
        <w:t xml:space="preserve">Op dit moment zie </w:t>
      </w:r>
      <w:r w:rsidR="00276775">
        <w:t xml:space="preserve">ik </w:t>
      </w:r>
      <w:r w:rsidR="00C42D2C">
        <w:t xml:space="preserve">voor de versnelling van de woningbouw </w:t>
      </w:r>
      <w:r w:rsidR="00092850">
        <w:t>geen aanleiding om</w:t>
      </w:r>
      <w:r w:rsidR="00C70061">
        <w:t xml:space="preserve"> het voormalige artikel 1.4 </w:t>
      </w:r>
      <w:r w:rsidR="00C70061">
        <w:t>Chw</w:t>
      </w:r>
      <w:r w:rsidR="00C42D2C">
        <w:t xml:space="preserve"> in dezelfde vorm </w:t>
      </w:r>
      <w:r w:rsidR="00566991">
        <w:t xml:space="preserve">te </w:t>
      </w:r>
      <w:r w:rsidR="00C70061">
        <w:t xml:space="preserve">herintroduceren in de Omgevingswet. </w:t>
      </w:r>
      <w:r w:rsidRPr="002A1A42">
        <w:t xml:space="preserve">Artikel 1.4 </w:t>
      </w:r>
      <w:r w:rsidRPr="002A1A42">
        <w:t>Chw</w:t>
      </w:r>
      <w:r w:rsidRPr="002A1A42">
        <w:t xml:space="preserve"> had immers </w:t>
      </w:r>
      <w:r w:rsidR="00C42D2C">
        <w:t xml:space="preserve">alleen betrekking op het beperken van beroep tegen </w:t>
      </w:r>
      <w:r w:rsidRPr="002A1A42">
        <w:t xml:space="preserve">besluiten van </w:t>
      </w:r>
      <w:r w:rsidR="0054796A">
        <w:t xml:space="preserve">de </w:t>
      </w:r>
      <w:r w:rsidRPr="002A1A42">
        <w:t>centrale overhe</w:t>
      </w:r>
      <w:r w:rsidR="0054796A">
        <w:t>i</w:t>
      </w:r>
      <w:r w:rsidRPr="002A1A42">
        <w:t>d</w:t>
      </w:r>
      <w:r w:rsidR="00C42D2C">
        <w:t>. W</w:t>
      </w:r>
      <w:r w:rsidRPr="002A1A42">
        <w:t xml:space="preserve">oningbouwprojecten </w:t>
      </w:r>
      <w:r w:rsidR="00C42D2C">
        <w:t xml:space="preserve">worden </w:t>
      </w:r>
      <w:r w:rsidRPr="002A1A42">
        <w:t xml:space="preserve">vrijwel altijd mogelijk </w:t>
      </w:r>
      <w:r w:rsidR="00C42D2C">
        <w:t xml:space="preserve">gemaakt door </w:t>
      </w:r>
      <w:r w:rsidR="0006365F">
        <w:t xml:space="preserve">een </w:t>
      </w:r>
      <w:r w:rsidRPr="002A1A42">
        <w:t xml:space="preserve">wijziging van een omgevingsplan of een omgevingsvergunning voor een woningbouwproject. </w:t>
      </w:r>
      <w:r w:rsidR="00C42D2C">
        <w:t>Dergelijke b</w:t>
      </w:r>
      <w:r w:rsidRPr="002A1A42">
        <w:t xml:space="preserve">esluiten van </w:t>
      </w:r>
      <w:r w:rsidRPr="002A1A42" w:rsidR="009C68C4">
        <w:t>gemeenten</w:t>
      </w:r>
      <w:r w:rsidR="009C68C4">
        <w:t xml:space="preserve">, maar ook </w:t>
      </w:r>
      <w:r w:rsidRPr="002A1A42">
        <w:t>van de provincie</w:t>
      </w:r>
      <w:r w:rsidR="00863956">
        <w:t xml:space="preserve"> en</w:t>
      </w:r>
      <w:r w:rsidRPr="002A1A42">
        <w:t xml:space="preserve"> waterschappen</w:t>
      </w:r>
      <w:r w:rsidR="009C68C4">
        <w:t>,</w:t>
      </w:r>
      <w:r w:rsidRPr="002A1A42">
        <w:t xml:space="preserve"> vielen niet onder de reikwijde van artikel 1.4 </w:t>
      </w:r>
      <w:r w:rsidRPr="002A1A42">
        <w:t>Chw</w:t>
      </w:r>
      <w:r w:rsidRPr="002A1A42">
        <w:t>.</w:t>
      </w:r>
      <w:r w:rsidR="0084301D">
        <w:t xml:space="preserve"> </w:t>
      </w:r>
      <w:r w:rsidR="008325DE">
        <w:t xml:space="preserve">Wel is </w:t>
      </w:r>
      <w:r w:rsidRPr="002A1A42">
        <w:t xml:space="preserve">specifiek voor woningbouwprojecten </w:t>
      </w:r>
      <w:r w:rsidR="008325DE">
        <w:t xml:space="preserve">een andere beperking van het beroepsrecht van gemeenten </w:t>
      </w:r>
      <w:r w:rsidRPr="002A1A42">
        <w:t xml:space="preserve">in de </w:t>
      </w:r>
      <w:r w:rsidR="006A51D8">
        <w:t xml:space="preserve">Omgevingswet </w:t>
      </w:r>
      <w:r w:rsidRPr="002A1A42">
        <w:t>opgenomen</w:t>
      </w:r>
      <w:r w:rsidR="006A51D8">
        <w:t>:</w:t>
      </w:r>
      <w:r w:rsidR="008325DE">
        <w:t xml:space="preserve"> </w:t>
      </w:r>
      <w:r w:rsidRPr="002A1A42">
        <w:t xml:space="preserve">een gemeente </w:t>
      </w:r>
      <w:r w:rsidR="006A51D8">
        <w:t xml:space="preserve">kan </w:t>
      </w:r>
      <w:r w:rsidRPr="002A1A42">
        <w:t xml:space="preserve">geen beroep instellen tegen een omgevingsplan of een vergunning </w:t>
      </w:r>
      <w:r w:rsidR="009C68C4">
        <w:t>(</w:t>
      </w:r>
      <w:r w:rsidRPr="002A1A42">
        <w:t xml:space="preserve">voor een </w:t>
      </w:r>
      <w:r w:rsidR="009C68C4">
        <w:t xml:space="preserve">ruimtelijke </w:t>
      </w:r>
      <w:r w:rsidR="006A51D8">
        <w:t xml:space="preserve">of technische </w:t>
      </w:r>
      <w:r w:rsidR="009C68C4">
        <w:t xml:space="preserve">bouwactiviteit) </w:t>
      </w:r>
      <w:r w:rsidRPr="002A1A42">
        <w:t>van een andere gemeente.</w:t>
      </w:r>
      <w:r>
        <w:rPr>
          <w:rStyle w:val="FootnoteReference"/>
        </w:rPr>
        <w:footnoteReference w:id="9"/>
      </w:r>
      <w:r w:rsidRPr="002A1A42">
        <w:t xml:space="preserve"> Hiermee is onderling beroep tussen gemeenten over woningbouwprojecten al uitgesloten en wordt voorkomen dat gemeenten tegenover elkaar bij de bestuursrechter staan. </w:t>
      </w:r>
    </w:p>
    <w:p w:rsidR="00A05CDB" w:rsidP="00A05CDB" w14:paraId="4DB51739" w14:textId="77777777">
      <w:pPr>
        <w:spacing w:line="276" w:lineRule="auto"/>
      </w:pPr>
    </w:p>
    <w:p w:rsidRPr="002A1A42" w:rsidR="002A1A42" w:rsidP="00A05CDB" w14:paraId="3748B668" w14:textId="77777777">
      <w:pPr>
        <w:spacing w:line="276" w:lineRule="auto"/>
      </w:pPr>
      <w:r>
        <w:t xml:space="preserve">In aanvulling op deze regeling in de Wet versterking regie volkshuisvesting wil ik aanvullende mogelijkheden bezien om woningbouw </w:t>
      </w:r>
      <w:r w:rsidR="00111212">
        <w:t>en</w:t>
      </w:r>
      <w:r>
        <w:t xml:space="preserve"> energie</w:t>
      </w:r>
      <w:r w:rsidR="00114845">
        <w:t>-</w:t>
      </w:r>
      <w:r w:rsidR="006A51D8">
        <w:t xml:space="preserve"> en CO</w:t>
      </w:r>
      <w:r w:rsidRPr="008449DC" w:rsidR="006A51D8">
        <w:t>2</w:t>
      </w:r>
      <w:r w:rsidR="006A51D8">
        <w:t>-</w:t>
      </w:r>
      <w:r>
        <w:t>projecten te versnellen door het beroepsrecht van overheden</w:t>
      </w:r>
      <w:r w:rsidR="00114845">
        <w:t xml:space="preserve"> te beperken</w:t>
      </w:r>
      <w:r>
        <w:t xml:space="preserve">. </w:t>
      </w:r>
      <w:r w:rsidRPr="008449DC" w:rsidR="008449DC">
        <w:t xml:space="preserve">Daarvoor laat ik </w:t>
      </w:r>
      <w:r w:rsidRPr="008449DC" w:rsidR="008449DC">
        <w:t xml:space="preserve">zowel kwantitatief als kwalitatief onderzoek doen. Ik acht in dat verband relevant hoe vaak bestuursorganen nu werkelijk tegenover elkaar staan bij de bestuursrechter en of die zaken met een beperking van het beroepsrecht van overheden ook voorkomen hadden kunnen worden, omdat er bijvoorbeeld geen andere procespartijen betrokken waren. Verder is relevant of het beperken van het beroepsrecht in die gevallen een versnelling op zou leveren. Op basis van deze recente gegevens kan ik dan een goede afweging maken of herintroductie van een bepaling zoals artikel 1.4 </w:t>
      </w:r>
      <w:r w:rsidRPr="008449DC" w:rsidR="008449DC">
        <w:t>Chw</w:t>
      </w:r>
      <w:r w:rsidRPr="008449DC" w:rsidR="008449DC">
        <w:t xml:space="preserve"> daadwerkelijk een versnelling oplevert voor woningbouw en energie- en CO2-projecten. </w:t>
      </w:r>
      <w:r w:rsidRPr="002A1A42">
        <w:t>Over de resultaten van dat onderzoek zal ik u op de hoogte brengen.</w:t>
      </w:r>
    </w:p>
    <w:p w:rsidRPr="002A1A42" w:rsidR="002A1A42" w:rsidP="00A05CDB" w14:paraId="7B8A7F4E" w14:textId="77777777">
      <w:pPr>
        <w:autoSpaceDN/>
        <w:spacing w:line="276" w:lineRule="auto"/>
        <w:textAlignment w:val="auto"/>
      </w:pPr>
    </w:p>
    <w:p w:rsidR="00D94943" w:rsidP="00A05CDB" w14:paraId="0B42D723" w14:textId="77777777">
      <w:pPr>
        <w:spacing w:line="276" w:lineRule="auto"/>
      </w:pPr>
      <w:r>
        <w:t xml:space="preserve">De </w:t>
      </w:r>
      <w:r w:rsidR="00F018B0">
        <w:t>m</w:t>
      </w:r>
      <w:r>
        <w:t>inister van Volkshuisvesting en Ruimtelijke Ordening</w:t>
      </w:r>
      <w:r>
        <w:rPr>
          <w:i/>
        </w:rPr>
        <w:t>,</w:t>
      </w:r>
    </w:p>
    <w:p w:rsidR="00D94943" w:rsidP="00A05CDB" w14:paraId="1E4420AD" w14:textId="77777777">
      <w:pPr>
        <w:spacing w:line="276" w:lineRule="auto"/>
      </w:pPr>
    </w:p>
    <w:p w:rsidR="00D94943" w:rsidP="00A05CDB" w14:paraId="36A640D9" w14:textId="77777777">
      <w:pPr>
        <w:spacing w:line="276" w:lineRule="auto"/>
      </w:pPr>
    </w:p>
    <w:p w:rsidR="00D94943" w:rsidP="00A05CDB" w14:paraId="2312A0EC" w14:textId="77777777">
      <w:pPr>
        <w:spacing w:line="276" w:lineRule="auto"/>
      </w:pPr>
    </w:p>
    <w:p w:rsidR="00D94943" w:rsidP="00A05CDB" w14:paraId="1CB43A47" w14:textId="77777777">
      <w:pPr>
        <w:spacing w:line="276" w:lineRule="auto"/>
      </w:pPr>
    </w:p>
    <w:p w:rsidR="00D94943" w:rsidP="00A05CDB" w14:paraId="492C86A4" w14:textId="77777777">
      <w:pPr>
        <w:spacing w:line="276" w:lineRule="auto"/>
      </w:pPr>
    </w:p>
    <w:p w:rsidR="00D94943" w:rsidP="00A05CDB" w14:paraId="4C361B0B" w14:textId="77777777">
      <w:pPr>
        <w:spacing w:line="276" w:lineRule="auto"/>
      </w:pPr>
      <w:r w:rsidRPr="005014DC">
        <w:t>Elanor</w:t>
      </w:r>
      <w:r w:rsidRPr="005014DC">
        <w:t xml:space="preserve"> </w:t>
      </w:r>
      <w:r w:rsidRPr="005014DC">
        <w:t>Boekholt-O’Sullivan</w:t>
      </w:r>
    </w:p>
    <w:p w:rsidR="000D7FE4" w:rsidP="00A05CDB" w14:paraId="52B84A30" w14:textId="77777777">
      <w:pPr>
        <w:spacing w:line="276" w:lineRule="auto"/>
      </w:pPr>
    </w:p>
    <w:p w:rsidR="000D7FE4" w:rsidP="00A05CDB" w14:paraId="03030170" w14:textId="77777777">
      <w:pPr>
        <w:spacing w:line="276" w:lineRule="auto"/>
      </w:pPr>
    </w:p>
    <w:p w:rsidR="000D7FE4" w:rsidP="00A05CDB" w14:paraId="255ACBAE" w14:textId="77777777">
      <w:pPr>
        <w:spacing w:line="276" w:lineRule="auto"/>
      </w:pPr>
    </w:p>
    <w:p w:rsidR="000D7FE4" w:rsidP="00A05CDB" w14:paraId="27448936" w14:textId="77777777">
      <w:pPr>
        <w:spacing w:line="276" w:lineRule="auto"/>
      </w:pPr>
    </w:p>
    <w:p w:rsidR="000D7FE4" w:rsidP="00A05CDB" w14:paraId="0B50B38A" w14:textId="77777777">
      <w:pPr>
        <w:pStyle w:val="WitregelW1bodytekst"/>
        <w:spacing w:line="276" w:lineRule="auto"/>
      </w:pPr>
    </w:p>
    <w:p w:rsidR="000D7FE4" w:rsidP="00A05CDB" w14:paraId="32045D38" w14:textId="77777777">
      <w:pPr>
        <w:spacing w:line="276" w:lineRule="auto"/>
      </w:pPr>
    </w:p>
    <w:p w:rsidR="000D7FE4" w:rsidP="00A05CDB" w14:paraId="6C790E00" w14:textId="77777777">
      <w:pPr>
        <w:spacing w:line="276" w:lineRule="auto"/>
      </w:pPr>
    </w:p>
    <w:p w:rsidR="000D7FE4" w:rsidP="00A05CDB" w14:paraId="7B1AFBF9" w14:textId="77777777">
      <w:pPr>
        <w:spacing w:line="276" w:lineRule="auto"/>
      </w:pPr>
    </w:p>
    <w:p w:rsidR="000D7FE4" w:rsidP="00A05CDB" w14:paraId="554187E7" w14:textId="77777777">
      <w:pPr>
        <w:spacing w:line="276" w:lineRule="auto"/>
      </w:pPr>
    </w:p>
    <w:p w:rsidR="000D7FE4" w:rsidP="00A05CDB" w14:paraId="4E0779EA" w14:textId="77777777">
      <w:pPr>
        <w:spacing w:line="276" w:lineRule="auto"/>
      </w:pPr>
    </w:p>
    <w:p w:rsidR="000D7FE4" w:rsidP="00A05CDB" w14:paraId="0FDCED6A" w14:textId="77777777">
      <w:pPr>
        <w:spacing w:line="276" w:lineRule="auto"/>
      </w:pPr>
    </w:p>
    <w:p w:rsidR="000D7FE4" w:rsidP="00A05CDB" w14:paraId="298CA219" w14:textId="77777777">
      <w:pPr>
        <w:spacing w:line="276" w:lineRule="auto"/>
      </w:pPr>
    </w:p>
    <w:p w:rsidR="000D7FE4" w:rsidP="00A05CDB" w14:paraId="13336177" w14:textId="77777777">
      <w:pPr>
        <w:spacing w:line="276" w:lineRule="auto"/>
      </w:pPr>
    </w:p>
    <w:sectPr>
      <w:headerReference w:type="even" r:id="rId7"/>
      <w:headerReference w:type="default" r:id="rId8"/>
      <w:footerReference w:type="even" r:id="rId9"/>
      <w:footerReference w:type="default" r:id="rId10"/>
      <w:headerReference w:type="first" r:id="rId11"/>
      <w:footerReference w:type="first" r:id="rId12"/>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5384" w14:paraId="30AB3506" w14:textId="77777777">
    <w:pPr>
      <w:pStyle w:val="Footer"/>
    </w:pPr>
    <w:r>
      <w:rPr>
        <w:noProof/>
      </w:rPr>
      <mc:AlternateContent>
        <mc:Choice Requires="wps">
          <w:drawing>
            <wp:anchor distT="0" distB="0" distL="0" distR="0" simplePos="0" relativeHeight="251660288" behindDoc="0" locked="0" layoutInCell="1" allowOverlap="1">
              <wp:simplePos x="0" y="0"/>
              <wp:positionH relativeFrom="page">
                <wp:align>left</wp:align>
              </wp:positionH>
              <wp:positionV relativeFrom="page">
                <wp:align>bottom</wp:align>
              </wp:positionV>
              <wp:extent cx="1009015" cy="345440"/>
              <wp:effectExtent l="0" t="0" r="635" b="0"/>
              <wp:wrapNone/>
              <wp:docPr id="1090217619" name="Tekstvak 13"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FA49EA" w:rsidRPr="00FA49EA" w:rsidP="00FA49EA" w14:textId="77777777">
                          <w:pPr>
                            <w:rPr>
                              <w:rFonts w:ascii="Aptos" w:eastAsia="Aptos" w:hAnsi="Aptos" w:cs="Aptos"/>
                              <w:noProof/>
                              <w:sz w:val="20"/>
                              <w:szCs w:val="20"/>
                            </w:rPr>
                          </w:pPr>
                          <w:r w:rsidRPr="00FA49EA">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3" o:spid="_x0000_s2052"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1312" filled="f" stroked="f">
              <v:textbox style="mso-fit-shape-to-text:t" inset="20pt,0,0,15pt">
                <w:txbxContent>
                  <w:p w:rsidR="00FA49EA" w:rsidRPr="00FA49EA" w:rsidP="00FA49EA" w14:paraId="5328671E" w14:textId="77777777">
                    <w:pPr>
                      <w:rPr>
                        <w:rFonts w:ascii="Aptos" w:eastAsia="Aptos" w:hAnsi="Aptos" w:cs="Aptos"/>
                        <w:noProof/>
                        <w:sz w:val="20"/>
                        <w:szCs w:val="20"/>
                      </w:rPr>
                    </w:pPr>
                    <w:r w:rsidRPr="00FA49EA">
                      <w:rPr>
                        <w:rFonts w:ascii="Aptos" w:eastAsia="Aptos" w:hAnsi="Aptos" w:cs="Aptos"/>
                        <w:noProof/>
                        <w:sz w:val="20"/>
                        <w:szCs w:val="20"/>
                      </w:rPr>
                      <w:t>Intern gebruik</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7FE4" w14:paraId="1CAD6172" w14:textId="77777777">
    <w:pPr>
      <w:spacing w:after="1077" w:line="14" w:lineRule="exact"/>
    </w:pPr>
    <w:r>
      <w:rPr>
        <w:noProof/>
      </w:rPr>
      <mc:AlternateContent>
        <mc:Choice Requires="wps">
          <w:drawing>
            <wp:anchor distT="0" distB="0" distL="0" distR="0" simplePos="0" relativeHeight="251662336" behindDoc="0" locked="0" layoutInCell="1" allowOverlap="1">
              <wp:simplePos x="0" y="0"/>
              <wp:positionH relativeFrom="page">
                <wp:align>left</wp:align>
              </wp:positionH>
              <wp:positionV relativeFrom="page">
                <wp:align>bottom</wp:align>
              </wp:positionV>
              <wp:extent cx="1009015" cy="345440"/>
              <wp:effectExtent l="0" t="0" r="635" b="0"/>
              <wp:wrapNone/>
              <wp:docPr id="279717236" name="Tekstvak 14"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FA49EA" w:rsidRPr="00FA49EA" w:rsidP="00FA49EA" w14:textId="6C64B1FF">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4" o:spid="_x0000_s2053"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3360" filled="f" stroked="f">
              <v:textbox style="mso-fit-shape-to-text:t" inset="20pt,0,0,15pt">
                <w:txbxContent>
                  <w:p w:rsidR="00FA49EA" w:rsidRPr="00FA49EA" w:rsidP="00FA49EA" w14:paraId="7E97154F" w14:textId="6C64B1FF">
                    <w:pPr>
                      <w:rPr>
                        <w:rFonts w:ascii="Aptos" w:eastAsia="Aptos" w:hAnsi="Aptos" w:cs="Aptos"/>
                        <w:noProof/>
                        <w:sz w:val="20"/>
                        <w:szCs w:val="2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5384" w14:paraId="41E5997F" w14:textId="77777777">
    <w:pPr>
      <w:pStyle w:val="Footer"/>
    </w:pPr>
    <w:r>
      <w:rPr>
        <w:noProof/>
      </w:rPr>
      <mc:AlternateContent>
        <mc:Choice Requires="wps">
          <w:drawing>
            <wp:anchor distT="0" distB="0" distL="0" distR="0" simplePos="0" relativeHeight="251658240" behindDoc="0" locked="0" layoutInCell="1" allowOverlap="1">
              <wp:simplePos x="0" y="0"/>
              <wp:positionH relativeFrom="page">
                <wp:align>left</wp:align>
              </wp:positionH>
              <wp:positionV relativeFrom="page">
                <wp:align>bottom</wp:align>
              </wp:positionV>
              <wp:extent cx="1009015" cy="345440"/>
              <wp:effectExtent l="0" t="0" r="635" b="0"/>
              <wp:wrapNone/>
              <wp:docPr id="1771258420" name="Tekstvak 12"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FA49EA" w:rsidRPr="00FA49EA" w:rsidP="00FA49EA" w14:textId="2F4B0752">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2" o:spid="_x0000_s2062"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59264" filled="f" stroked="f">
              <v:textbox style="mso-fit-shape-to-text:t" inset="20pt,0,0,15pt">
                <w:txbxContent>
                  <w:p w:rsidR="00FA49EA" w:rsidRPr="00FA49EA" w:rsidP="00FA49EA" w14:paraId="7FB41D89" w14:textId="2F4B0752">
                    <w:pPr>
                      <w:rPr>
                        <w:rFonts w:ascii="Aptos" w:eastAsia="Aptos" w:hAnsi="Aptos" w:cs="Aptos"/>
                        <w:noProof/>
                        <w:sz w:val="20"/>
                        <w:szCs w:val="2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09B5" w14:paraId="11D40334" w14:textId="77777777">
      <w:pPr>
        <w:spacing w:line="240" w:lineRule="auto"/>
      </w:pPr>
      <w:r>
        <w:separator/>
      </w:r>
    </w:p>
  </w:footnote>
  <w:footnote w:type="continuationSeparator" w:id="1">
    <w:p w:rsidR="002309B5" w14:paraId="3F8661F7" w14:textId="77777777">
      <w:pPr>
        <w:spacing w:line="240" w:lineRule="auto"/>
      </w:pPr>
      <w:r>
        <w:continuationSeparator/>
      </w:r>
    </w:p>
  </w:footnote>
  <w:footnote w:id="2">
    <w:p w:rsidR="006A51D8" w14:paraId="5B88F439" w14:textId="77777777">
      <w:pPr>
        <w:pStyle w:val="FootnoteText"/>
      </w:pPr>
      <w:r>
        <w:rPr>
          <w:rStyle w:val="FootnoteReference"/>
        </w:rPr>
        <w:footnoteRef/>
      </w:r>
      <w:r>
        <w:t xml:space="preserve"> Kamerstukken II </w:t>
      </w:r>
      <w:r w:rsidRPr="006A51D8">
        <w:t>2025</w:t>
      </w:r>
      <w:r>
        <w:t>/</w:t>
      </w:r>
      <w:r w:rsidRPr="006A51D8">
        <w:t>26, 36800, nr. 2</w:t>
      </w:r>
      <w:r>
        <w:t>6.</w:t>
      </w:r>
    </w:p>
  </w:footnote>
  <w:footnote w:id="3">
    <w:p w:rsidR="004C5D89" w14:paraId="300E18CF" w14:textId="77777777">
      <w:pPr>
        <w:pStyle w:val="FootnoteText"/>
      </w:pPr>
      <w:r>
        <w:rPr>
          <w:rStyle w:val="FootnoteReference"/>
        </w:rPr>
        <w:footnoteRef/>
      </w:r>
      <w:r>
        <w:t xml:space="preserve"> Kamerstukken II 2009/10, 32127, nr. 3, p. 44. </w:t>
      </w:r>
    </w:p>
  </w:footnote>
  <w:footnote w:id="4">
    <w:p w:rsidR="004C5D89" w:rsidP="006E6C30" w14:paraId="27DA7878" w14:textId="77777777">
      <w:pPr>
        <w:pStyle w:val="FootnoteText"/>
      </w:pPr>
      <w:r>
        <w:rPr>
          <w:rStyle w:val="FootnoteReference"/>
        </w:rPr>
        <w:footnoteRef/>
      </w:r>
      <w:r>
        <w:t xml:space="preserve"> </w:t>
      </w:r>
      <w:r w:rsidRPr="00E92204">
        <w:t>Kamerstukken II 2017/18, 34986, nr. 3, p. 442 en Kamerstukken II 2015/16, 32127, nr. 219, p. 12 - 13.</w:t>
      </w:r>
    </w:p>
  </w:footnote>
  <w:footnote w:id="5">
    <w:p w:rsidR="008B03EC" w:rsidP="006E6C30" w14:paraId="034C6113" w14:textId="77777777">
      <w:pPr>
        <w:pStyle w:val="FootnoteText"/>
      </w:pPr>
      <w:r>
        <w:rPr>
          <w:rStyle w:val="FootnoteReference"/>
        </w:rPr>
        <w:footnoteRef/>
      </w:r>
      <w:r>
        <w:t xml:space="preserve"> Zie Kamerstukken II 2011/12, 32127, nr. 160 en Kamerstukken II 2013/14, 32127, nr. 200.</w:t>
      </w:r>
    </w:p>
  </w:footnote>
  <w:footnote w:id="6">
    <w:p w:rsidR="00C70061" w:rsidP="00C70061" w14:paraId="2434C256" w14:textId="77777777">
      <w:pPr>
        <w:pStyle w:val="FootnoteText"/>
      </w:pPr>
      <w:r>
        <w:rPr>
          <w:rStyle w:val="FootnoteReference"/>
        </w:rPr>
        <w:footnoteRef/>
      </w:r>
      <w:r>
        <w:t xml:space="preserve"> Kamerstukken I</w:t>
      </w:r>
      <w:r w:rsidRPr="004E1A2B">
        <w:t>I 2015/16, 32127, nr. 219</w:t>
      </w:r>
      <w:r>
        <w:t>, p. 12.</w:t>
      </w:r>
    </w:p>
  </w:footnote>
  <w:footnote w:id="7">
    <w:p w:rsidR="00531DE0" w:rsidP="00531DE0" w14:paraId="17102C12" w14:textId="77777777">
      <w:pPr>
        <w:pStyle w:val="FootnoteText"/>
      </w:pPr>
      <w:r>
        <w:rPr>
          <w:rStyle w:val="FootnoteReference"/>
        </w:rPr>
        <w:footnoteRef/>
      </w:r>
      <w:r>
        <w:t xml:space="preserve"> Kamerstukken I</w:t>
      </w:r>
      <w:r w:rsidRPr="004E1A2B">
        <w:t>I 2015/16, 32127, nr. 219</w:t>
      </w:r>
      <w:r>
        <w:t>, p. 12-13.</w:t>
      </w:r>
    </w:p>
  </w:footnote>
  <w:footnote w:id="8">
    <w:p w:rsidR="00C70061" w:rsidP="00C70061" w14:paraId="62777C50" w14:textId="77777777">
      <w:pPr>
        <w:pStyle w:val="FootnoteText"/>
      </w:pPr>
      <w:r>
        <w:rPr>
          <w:rStyle w:val="FootnoteReference"/>
        </w:rPr>
        <w:footnoteRef/>
      </w:r>
      <w:r>
        <w:t xml:space="preserve"> </w:t>
      </w:r>
      <w:r w:rsidRPr="00E92204">
        <w:t>Bijlage bij Kamerstukken II 2011/12, 32127, nr. 160, p. 55.</w:t>
      </w:r>
    </w:p>
  </w:footnote>
  <w:footnote w:id="9">
    <w:p w:rsidR="00F7062C" w14:paraId="1CE8F7BC" w14:textId="77777777">
      <w:pPr>
        <w:pStyle w:val="FootnoteText"/>
      </w:pPr>
      <w:r>
        <w:rPr>
          <w:rStyle w:val="FootnoteReference"/>
        </w:rPr>
        <w:footnoteRef/>
      </w:r>
      <w:r>
        <w:t xml:space="preserve"> Dit is </w:t>
      </w:r>
      <w:r w:rsidR="006A51D8">
        <w:t xml:space="preserve">met de </w:t>
      </w:r>
      <w:r w:rsidRPr="006A51D8" w:rsidR="006A51D8">
        <w:t xml:space="preserve">Wet versterking regie volkshuisvesting </w:t>
      </w:r>
      <w:r>
        <w:t>geregeld in artikel 16.83</w:t>
      </w:r>
      <w:r w:rsidR="0054796A">
        <w:t>b</w:t>
      </w:r>
      <w:r>
        <w:t xml:space="preserve"> van de Omgevingswet. Deze bepaling is ingevoegd bij amendement van het lid </w:t>
      </w:r>
      <w:r w:rsidRPr="00D16FB6">
        <w:rPr>
          <w:szCs w:val="16"/>
        </w:rPr>
        <w:t>Wijen-Nass</w:t>
      </w:r>
      <w:r w:rsidRPr="00D16FB6">
        <w:rPr>
          <w:szCs w:val="16"/>
        </w:rPr>
        <w:t xml:space="preserve"> </w:t>
      </w:r>
      <w:r>
        <w:rPr>
          <w:szCs w:val="16"/>
        </w:rPr>
        <w:t>(</w:t>
      </w:r>
      <w:r w:rsidRPr="00D16FB6">
        <w:rPr>
          <w:szCs w:val="16"/>
        </w:rPr>
        <w:t xml:space="preserve">Kamerstukken II 2024/25, </w:t>
      </w:r>
      <w:r w:rsidRPr="00D16FB6">
        <w:rPr>
          <w:color w:val="211D1F"/>
          <w:szCs w:val="16"/>
        </w:rPr>
        <w:t>36512, nr. 101</w:t>
      </w:r>
      <w:r>
        <w:rPr>
          <w:color w:val="211D1F"/>
          <w:szCs w:val="16"/>
        </w:rPr>
        <w:t>)</w:t>
      </w:r>
      <w:r w:rsidRPr="00D16FB6">
        <w:rPr>
          <w:color w:val="211D1F"/>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215" w14:paraId="2410FC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7FE4" w14:paraId="12FFE31E"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D7FE4" w14:textId="77777777">
                          <w:pPr>
                            <w:pStyle w:val="Referentiegegevensbold"/>
                          </w:pPr>
                          <w:r>
                            <w:t>DG Ruimtelijke Ordening</w:t>
                          </w:r>
                        </w:p>
                        <w:p w:rsidR="000D7FE4" w14:textId="77777777">
                          <w:pPr>
                            <w:pStyle w:val="Referentiegegevens"/>
                          </w:pPr>
                          <w:r>
                            <w:t>Directie Ruimtelijk Beleid</w:t>
                          </w:r>
                        </w:p>
                        <w:p w:rsidR="000D7FE4" w14:textId="77777777">
                          <w:pPr>
                            <w:pStyle w:val="WitregelW2"/>
                          </w:pPr>
                        </w:p>
                        <w:p w:rsidR="000D7FE4" w14:textId="77777777">
                          <w:pPr>
                            <w:pStyle w:val="WitregelW1"/>
                          </w:pPr>
                        </w:p>
                        <w:p w:rsidR="000D7FE4" w14:textId="77777777">
                          <w:pPr>
                            <w:pStyle w:val="Referentiegegevensbold"/>
                          </w:pPr>
                          <w:r>
                            <w:t>Onze referentie</w:t>
                          </w:r>
                        </w:p>
                        <w:p w:rsidR="0021368F" w14:textId="77777777">
                          <w:pPr>
                            <w:pStyle w:val="Referentiegegevens"/>
                          </w:pPr>
                          <w:r>
                            <w:fldChar w:fldCharType="begin"/>
                          </w:r>
                          <w:r>
                            <w:instrText xml:space="preserve"> DOCPROPERTY  "Kenmerk"  \* MERGEFORMAT </w:instrText>
                          </w:r>
                          <w:r>
                            <w:fldChar w:fldCharType="separate"/>
                          </w:r>
                          <w:r w:rsidR="00115D1C">
                            <w:t>2026-0000542205</w:t>
                          </w:r>
                          <w:r w:rsidR="00115D1C">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0D7FE4" w14:paraId="06033CDA" w14:textId="77777777">
                    <w:pPr>
                      <w:pStyle w:val="Referentiegegevensbold"/>
                    </w:pPr>
                    <w:r>
                      <w:t>DG Ruimtelijke Ordening</w:t>
                    </w:r>
                  </w:p>
                  <w:p w:rsidR="000D7FE4" w14:paraId="45423A7B" w14:textId="77777777">
                    <w:pPr>
                      <w:pStyle w:val="Referentiegegevens"/>
                    </w:pPr>
                    <w:r>
                      <w:t>Directie Ruimtelijk Beleid</w:t>
                    </w:r>
                  </w:p>
                  <w:p w:rsidR="000D7FE4" w14:paraId="18CA5EDF" w14:textId="77777777">
                    <w:pPr>
                      <w:pStyle w:val="WitregelW2"/>
                    </w:pPr>
                  </w:p>
                  <w:p w:rsidR="000D7FE4" w14:paraId="0C95DBFB" w14:textId="77777777">
                    <w:pPr>
                      <w:pStyle w:val="WitregelW1"/>
                    </w:pPr>
                  </w:p>
                  <w:p w:rsidR="000D7FE4" w14:paraId="6C24EB7F" w14:textId="77777777">
                    <w:pPr>
                      <w:pStyle w:val="Referentiegegevensbold"/>
                    </w:pPr>
                    <w:r>
                      <w:t>Onze referentie</w:t>
                    </w:r>
                  </w:p>
                  <w:p w:rsidR="0021368F" w14:paraId="5F6B53A2" w14:textId="77777777">
                    <w:pPr>
                      <w:pStyle w:val="Referentiegegevens"/>
                    </w:pPr>
                    <w:r>
                      <w:fldChar w:fldCharType="begin"/>
                    </w:r>
                    <w:r>
                      <w:instrText xml:space="preserve"> DOCPROPERTY  "Kenmerk"  \* MERGEFORMAT </w:instrText>
                    </w:r>
                    <w:r>
                      <w:fldChar w:fldCharType="separate"/>
                    </w:r>
                    <w:r w:rsidR="00115D1C">
                      <w:t>2026-0000542205</w:t>
                    </w:r>
                    <w:r w:rsidR="00115D1C">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5742A"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5742A" w14:paraId="0F0621F1"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1368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21368F" w14:paraId="2CBA6BA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7FE4" w14:paraId="463AB8CF"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5D1821" w:rsidP="005D1821" w14:textId="77777777">
                          <w:pPr>
                            <w:spacing w:line="276" w:lineRule="auto"/>
                          </w:pPr>
                          <w:r>
                            <w:t xml:space="preserve">Aan de Voorzitter van de Tweede Kamer der Staten-Generaal </w:t>
                          </w:r>
                        </w:p>
                        <w:p w:rsidR="005D1821" w:rsidP="005D1821" w14:textId="77777777">
                          <w:pPr>
                            <w:spacing w:line="276" w:lineRule="auto"/>
                          </w:pPr>
                          <w:r>
                            <w:t>Postbus 20018</w:t>
                          </w:r>
                        </w:p>
                        <w:p w:rsidR="005D1821" w:rsidP="005D1821" w14:textId="77777777">
                          <w:pPr>
                            <w:spacing w:line="276" w:lineRule="auto"/>
                          </w:pPr>
                          <w:r>
                            <w:t>2500 EA DEN HAAG</w:t>
                          </w:r>
                        </w:p>
                        <w:p w:rsidR="000D7FE4"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4"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5D1821" w:rsidP="005D1821" w14:paraId="39AFD1FB" w14:textId="77777777">
                    <w:pPr>
                      <w:spacing w:line="276" w:lineRule="auto"/>
                    </w:pPr>
                    <w:r>
                      <w:t xml:space="preserve">Aan de Voorzitter van de Tweede Kamer der Staten-Generaal </w:t>
                    </w:r>
                  </w:p>
                  <w:p w:rsidR="005D1821" w:rsidP="005D1821" w14:paraId="29175D5B" w14:textId="77777777">
                    <w:pPr>
                      <w:spacing w:line="276" w:lineRule="auto"/>
                    </w:pPr>
                    <w:r>
                      <w:t>Postbus 20018</w:t>
                    </w:r>
                  </w:p>
                  <w:p w:rsidR="005D1821" w:rsidP="005D1821" w14:paraId="0065375E" w14:textId="77777777">
                    <w:pPr>
                      <w:spacing w:line="276" w:lineRule="auto"/>
                    </w:pPr>
                    <w:r>
                      <w:t>2500 EA DEN HAAG</w:t>
                    </w:r>
                  </w:p>
                  <w:p w:rsidR="000D7FE4" w14:paraId="4609B351" w14:textId="77777777"/>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5524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52450"/>
                      </a:xfrm>
                      <a:prstGeom prst="rect">
                        <a:avLst/>
                      </a:prstGeom>
                      <a:noFill/>
                    </wps:spPr>
                    <wps:txbx>
                      <w:txbxContent>
                        <w:tbl>
                          <w:tblPr>
                            <w:tblW w:w="0" w:type="auto"/>
                            <w:tblInd w:w="-120" w:type="dxa"/>
                            <w:tblLayout w:type="fixed"/>
                            <w:tblLook w:val="07E0"/>
                          </w:tblPr>
                          <w:tblGrid>
                            <w:gridCol w:w="1140"/>
                            <w:gridCol w:w="5918"/>
                          </w:tblGrid>
                          <w:tr w14:paraId="5A1D09D6" w14:textId="77777777">
                            <w:tblPrEx>
                              <w:tblW w:w="0" w:type="auto"/>
                              <w:tblInd w:w="-120" w:type="dxa"/>
                              <w:tblLayout w:type="fixed"/>
                              <w:tblLook w:val="07E0"/>
                            </w:tblPrEx>
                            <w:trPr>
                              <w:trHeight w:val="240"/>
                            </w:trPr>
                            <w:tc>
                              <w:tcPr>
                                <w:tcW w:w="1140" w:type="dxa"/>
                              </w:tcPr>
                              <w:p w:rsidR="000D7FE4" w14:textId="77777777">
                                <w:r>
                                  <w:t>Datum</w:t>
                                </w:r>
                              </w:p>
                            </w:tc>
                            <w:tc>
                              <w:tcPr>
                                <w:tcW w:w="5918" w:type="dxa"/>
                              </w:tcPr>
                              <w:p w:rsidR="000D7FE4" w14:textId="34070206">
                                <w:r>
                                  <w:t>28 oktober 2026</w:t>
                                </w:r>
                              </w:p>
                            </w:tc>
                          </w:tr>
                          <w:tr w14:paraId="07C655DC" w14:textId="77777777">
                            <w:tblPrEx>
                              <w:tblW w:w="0" w:type="auto"/>
                              <w:tblInd w:w="-120" w:type="dxa"/>
                              <w:tblLayout w:type="fixed"/>
                              <w:tblLook w:val="07E0"/>
                            </w:tblPrEx>
                            <w:trPr>
                              <w:trHeight w:val="240"/>
                            </w:trPr>
                            <w:tc>
                              <w:tcPr>
                                <w:tcW w:w="1140" w:type="dxa"/>
                              </w:tcPr>
                              <w:p w:rsidR="000D7FE4" w14:textId="77777777">
                                <w:r>
                                  <w:t>Betreft</w:t>
                                </w:r>
                              </w:p>
                            </w:tc>
                            <w:tc>
                              <w:tcPr>
                                <w:tcW w:w="5918" w:type="dxa"/>
                              </w:tcPr>
                              <w:p w:rsidR="000D7FE4" w14:textId="77777777">
                                <w:r>
                                  <w:fldChar w:fldCharType="begin"/>
                                </w:r>
                                <w:r>
                                  <w:instrText xml:space="preserve"> DOCPROPERTY  "Onderwerp"  \* MERGEFORMAT </w:instrText>
                                </w:r>
                                <w:r>
                                  <w:fldChar w:fldCharType="separate"/>
                                </w:r>
                                <w:r w:rsidR="00115D1C">
                                  <w:t>Motie van lid Van der Plas (BBB) over voorheen geldend artikel 1.4 Crisis- en herstelwet</w:t>
                                </w:r>
                                <w:r w:rsidR="00115D1C">
                                  <w:fldChar w:fldCharType="end"/>
                                </w:r>
                              </w:p>
                            </w:tc>
                          </w:tr>
                        </w:tbl>
                        <w:p w:rsidR="0025742A"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5" type="#_x0000_t202" style="width:377pt;height:43.5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Ind w:w="-120" w:type="dxa"/>
                      <w:tblLayout w:type="fixed"/>
                      <w:tblLook w:val="07E0"/>
                    </w:tblPr>
                    <w:tblGrid>
                      <w:gridCol w:w="1140"/>
                      <w:gridCol w:w="5918"/>
                    </w:tblGrid>
                    <w:tr w14:paraId="5A1D09D5" w14:textId="77777777">
                      <w:tblPrEx>
                        <w:tblW w:w="0" w:type="auto"/>
                        <w:tblInd w:w="-120" w:type="dxa"/>
                        <w:tblLayout w:type="fixed"/>
                        <w:tblLook w:val="07E0"/>
                      </w:tblPrEx>
                      <w:trPr>
                        <w:trHeight w:val="240"/>
                      </w:trPr>
                      <w:tc>
                        <w:tcPr>
                          <w:tcW w:w="1140" w:type="dxa"/>
                        </w:tcPr>
                        <w:p w:rsidR="000D7FE4" w14:paraId="5B809024" w14:textId="77777777">
                          <w:r>
                            <w:t>Datum</w:t>
                          </w:r>
                        </w:p>
                      </w:tc>
                      <w:tc>
                        <w:tcPr>
                          <w:tcW w:w="5918" w:type="dxa"/>
                        </w:tcPr>
                        <w:p w:rsidR="000D7FE4" w14:paraId="6E269B34" w14:textId="34070206">
                          <w:r>
                            <w:t>28 oktober 2026</w:t>
                          </w:r>
                        </w:p>
                      </w:tc>
                    </w:tr>
                    <w:tr w14:paraId="07C655DB" w14:textId="77777777">
                      <w:tblPrEx>
                        <w:tblW w:w="0" w:type="auto"/>
                        <w:tblInd w:w="-120" w:type="dxa"/>
                        <w:tblLayout w:type="fixed"/>
                        <w:tblLook w:val="07E0"/>
                      </w:tblPrEx>
                      <w:trPr>
                        <w:trHeight w:val="240"/>
                      </w:trPr>
                      <w:tc>
                        <w:tcPr>
                          <w:tcW w:w="1140" w:type="dxa"/>
                        </w:tcPr>
                        <w:p w:rsidR="000D7FE4" w14:paraId="270F189B" w14:textId="77777777">
                          <w:r>
                            <w:t>Betreft</w:t>
                          </w:r>
                        </w:p>
                      </w:tc>
                      <w:tc>
                        <w:tcPr>
                          <w:tcW w:w="5918" w:type="dxa"/>
                        </w:tcPr>
                        <w:p w:rsidR="000D7FE4" w14:paraId="092FBF30" w14:textId="77777777">
                          <w:r>
                            <w:fldChar w:fldCharType="begin"/>
                          </w:r>
                          <w:r>
                            <w:instrText xml:space="preserve"> DOCPROPERTY  "Onderwerp"  \* MERGEFORMAT </w:instrText>
                          </w:r>
                          <w:r>
                            <w:fldChar w:fldCharType="separate"/>
                          </w:r>
                          <w:r w:rsidR="00115D1C">
                            <w:t>Motie van lid Van der Plas (BBB) over voorheen geldend artikel 1.4 Crisis- en herstelwet</w:t>
                          </w:r>
                          <w:r w:rsidR="00115D1C">
                            <w:fldChar w:fldCharType="end"/>
                          </w:r>
                        </w:p>
                      </w:tc>
                    </w:tr>
                  </w:tbl>
                  <w:p w:rsidR="0025742A" w14:paraId="5ED855A0"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0D7FE4" w14:textId="77777777">
                          <w:pPr>
                            <w:pStyle w:val="Referentiegegevensbold"/>
                          </w:pPr>
                          <w:r>
                            <w:t>DG Ruimtelijke Ordening</w:t>
                          </w:r>
                        </w:p>
                        <w:p w:rsidR="000D7FE4" w14:textId="77777777">
                          <w:pPr>
                            <w:pStyle w:val="Referentiegegevens"/>
                          </w:pPr>
                          <w:r>
                            <w:t>Directie Ruimtelijk Beleid</w:t>
                          </w:r>
                        </w:p>
                        <w:p w:rsidR="000D7FE4" w14:textId="77777777">
                          <w:pPr>
                            <w:pStyle w:val="WitregelW1"/>
                          </w:pPr>
                        </w:p>
                        <w:p w:rsidR="000D7FE4" w:rsidRPr="00D94943" w14:textId="77777777">
                          <w:pPr>
                            <w:pStyle w:val="Referentiegegevens"/>
                            <w:rPr>
                              <w:lang w:val="de-DE"/>
                            </w:rPr>
                          </w:pPr>
                          <w:r w:rsidRPr="00D94943">
                            <w:rPr>
                              <w:lang w:val="de-DE"/>
                            </w:rPr>
                            <w:t>Turfmarkt</w:t>
                          </w:r>
                          <w:r w:rsidRPr="00D94943">
                            <w:rPr>
                              <w:lang w:val="de-DE"/>
                            </w:rPr>
                            <w:t xml:space="preserve"> 147</w:t>
                          </w:r>
                        </w:p>
                        <w:p w:rsidR="000D7FE4" w:rsidRPr="00D94943" w14:textId="77777777">
                          <w:pPr>
                            <w:pStyle w:val="Referentiegegevens"/>
                            <w:rPr>
                              <w:lang w:val="de-DE"/>
                            </w:rPr>
                          </w:pPr>
                          <w:r w:rsidRPr="00D94943">
                            <w:rPr>
                              <w:lang w:val="de-DE"/>
                            </w:rPr>
                            <w:t>2511 DP Den Haag</w:t>
                          </w:r>
                        </w:p>
                        <w:p w:rsidR="000D7FE4" w:rsidRPr="00D94943" w14:textId="77777777">
                          <w:pPr>
                            <w:pStyle w:val="Referentiegegevens"/>
                            <w:rPr>
                              <w:lang w:val="de-DE"/>
                            </w:rPr>
                          </w:pPr>
                          <w:r w:rsidRPr="00D94943">
                            <w:rPr>
                              <w:lang w:val="de-DE"/>
                            </w:rPr>
                            <w:t>Postbus 20011</w:t>
                          </w:r>
                        </w:p>
                        <w:p w:rsidR="000D7FE4" w14:textId="77777777">
                          <w:pPr>
                            <w:pStyle w:val="Referentiegegevens"/>
                          </w:pPr>
                          <w:r>
                            <w:t>2500 EA  Den Haag</w:t>
                          </w:r>
                        </w:p>
                        <w:p w:rsidR="000D7FE4" w14:textId="77777777">
                          <w:pPr>
                            <w:pStyle w:val="WitregelW2"/>
                          </w:pPr>
                        </w:p>
                        <w:p w:rsidR="000D7FE4" w14:textId="77777777">
                          <w:pPr>
                            <w:pStyle w:val="Referentiegegevensbold"/>
                          </w:pPr>
                          <w:r>
                            <w:t>Onze referentie</w:t>
                          </w:r>
                        </w:p>
                        <w:p w:rsidR="0021368F" w14:textId="77777777">
                          <w:pPr>
                            <w:pStyle w:val="Referentiegegevens"/>
                          </w:pPr>
                          <w:r>
                            <w:fldChar w:fldCharType="begin"/>
                          </w:r>
                          <w:r>
                            <w:instrText xml:space="preserve"> DOCPROPERTY  "Kenmerk"  \* MERGEFORMAT </w:instrText>
                          </w:r>
                          <w:r>
                            <w:fldChar w:fldCharType="separate"/>
                          </w:r>
                          <w:r w:rsidR="00115D1C">
                            <w:t>2026-0000542205</w:t>
                          </w:r>
                          <w:r w:rsidR="00115D1C">
                            <w:fldChar w:fldCharType="end"/>
                          </w:r>
                        </w:p>
                        <w:p w:rsidR="000D7FE4" w14:textId="77777777">
                          <w:pPr>
                            <w:pStyle w:val="WitregelW1"/>
                          </w:pPr>
                        </w:p>
                        <w:p w:rsidR="000D7FE4" w14:textId="77777777">
                          <w:pPr>
                            <w:pStyle w:val="Referentiegegevensbold"/>
                          </w:pPr>
                          <w:r>
                            <w:t>Bijlage(n)</w:t>
                          </w:r>
                        </w:p>
                        <w:p w:rsidR="000D7FE4" w14:textId="77777777">
                          <w:pPr>
                            <w:pStyle w:val="Referentiegegevens"/>
                          </w:pPr>
                          <w:r>
                            <w:t>0</w:t>
                          </w:r>
                        </w:p>
                        <w:p w:rsidR="000D7FE4" w14:textId="77777777">
                          <w:pPr>
                            <w:pStyle w:val="WitregelW2"/>
                          </w:pPr>
                        </w:p>
                        <w:p w:rsidR="000D7FE4" w14:textId="77777777"/>
                      </w:txbxContent>
                    </wps:txbx>
                    <wps:bodyPr vert="horz" wrap="square" lIns="0" tIns="0" rIns="0" bIns="0" anchor="t" anchorCtr="0"/>
                  </wps:wsp>
                </a:graphicData>
              </a:graphic>
            </wp:anchor>
          </w:drawing>
        </mc:Choice>
        <mc:Fallback>
          <w:pict>
            <v:shape id="46feec20-aa3c-11ea-a756-beb5f67e67be" o:spid="_x0000_s2056"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0D7FE4" w14:paraId="088BB8E4" w14:textId="77777777">
                    <w:pPr>
                      <w:pStyle w:val="Referentiegegevensbold"/>
                    </w:pPr>
                    <w:r>
                      <w:t>DG Ruimtelijke Ordening</w:t>
                    </w:r>
                  </w:p>
                  <w:p w:rsidR="000D7FE4" w14:paraId="7340A55E" w14:textId="77777777">
                    <w:pPr>
                      <w:pStyle w:val="Referentiegegevens"/>
                    </w:pPr>
                    <w:r>
                      <w:t>Directie Ruimtelijk Beleid</w:t>
                    </w:r>
                  </w:p>
                  <w:p w:rsidR="000D7FE4" w14:paraId="1214FD3D" w14:textId="77777777">
                    <w:pPr>
                      <w:pStyle w:val="WitregelW1"/>
                    </w:pPr>
                  </w:p>
                  <w:p w:rsidR="000D7FE4" w:rsidRPr="00D94943" w14:paraId="4A43CAD3" w14:textId="77777777">
                    <w:pPr>
                      <w:pStyle w:val="Referentiegegevens"/>
                      <w:rPr>
                        <w:lang w:val="de-DE"/>
                      </w:rPr>
                    </w:pPr>
                    <w:r w:rsidRPr="00D94943">
                      <w:rPr>
                        <w:lang w:val="de-DE"/>
                      </w:rPr>
                      <w:t>Turfmarkt</w:t>
                    </w:r>
                    <w:r w:rsidRPr="00D94943">
                      <w:rPr>
                        <w:lang w:val="de-DE"/>
                      </w:rPr>
                      <w:t xml:space="preserve"> 147</w:t>
                    </w:r>
                  </w:p>
                  <w:p w:rsidR="000D7FE4" w:rsidRPr="00D94943" w14:paraId="25C8ED4D" w14:textId="77777777">
                    <w:pPr>
                      <w:pStyle w:val="Referentiegegevens"/>
                      <w:rPr>
                        <w:lang w:val="de-DE"/>
                      </w:rPr>
                    </w:pPr>
                    <w:r w:rsidRPr="00D94943">
                      <w:rPr>
                        <w:lang w:val="de-DE"/>
                      </w:rPr>
                      <w:t>2511 DP Den Haag</w:t>
                    </w:r>
                  </w:p>
                  <w:p w:rsidR="000D7FE4" w:rsidRPr="00D94943" w14:paraId="284464FC" w14:textId="77777777">
                    <w:pPr>
                      <w:pStyle w:val="Referentiegegevens"/>
                      <w:rPr>
                        <w:lang w:val="de-DE"/>
                      </w:rPr>
                    </w:pPr>
                    <w:r w:rsidRPr="00D94943">
                      <w:rPr>
                        <w:lang w:val="de-DE"/>
                      </w:rPr>
                      <w:t>Postbus 20011</w:t>
                    </w:r>
                  </w:p>
                  <w:p w:rsidR="000D7FE4" w14:paraId="62E2F25C" w14:textId="77777777">
                    <w:pPr>
                      <w:pStyle w:val="Referentiegegevens"/>
                    </w:pPr>
                    <w:r>
                      <w:t>2500 EA  Den Haag</w:t>
                    </w:r>
                  </w:p>
                  <w:p w:rsidR="000D7FE4" w14:paraId="377892F5" w14:textId="77777777">
                    <w:pPr>
                      <w:pStyle w:val="WitregelW2"/>
                    </w:pPr>
                  </w:p>
                  <w:p w:rsidR="000D7FE4" w14:paraId="27AA8B2F" w14:textId="77777777">
                    <w:pPr>
                      <w:pStyle w:val="Referentiegegevensbold"/>
                    </w:pPr>
                    <w:r>
                      <w:t>Onze referentie</w:t>
                    </w:r>
                  </w:p>
                  <w:p w:rsidR="0021368F" w14:paraId="54AA5D2B" w14:textId="77777777">
                    <w:pPr>
                      <w:pStyle w:val="Referentiegegevens"/>
                    </w:pPr>
                    <w:r>
                      <w:fldChar w:fldCharType="begin"/>
                    </w:r>
                    <w:r>
                      <w:instrText xml:space="preserve"> DOCPROPERTY  "Kenmerk"  \* MERGEFORMAT </w:instrText>
                    </w:r>
                    <w:r>
                      <w:fldChar w:fldCharType="separate"/>
                    </w:r>
                    <w:r w:rsidR="00115D1C">
                      <w:t>2026-0000542205</w:t>
                    </w:r>
                    <w:r w:rsidR="00115D1C">
                      <w:fldChar w:fldCharType="end"/>
                    </w:r>
                  </w:p>
                  <w:p w:rsidR="000D7FE4" w14:paraId="26C52552" w14:textId="77777777">
                    <w:pPr>
                      <w:pStyle w:val="WitregelW1"/>
                    </w:pPr>
                  </w:p>
                  <w:p w:rsidR="000D7FE4" w14:paraId="74358770" w14:textId="77777777">
                    <w:pPr>
                      <w:pStyle w:val="Referentiegegevensbold"/>
                    </w:pPr>
                    <w:r>
                      <w:t>Bijlage(n)</w:t>
                    </w:r>
                  </w:p>
                  <w:p w:rsidR="000D7FE4" w14:paraId="4499CCEC" w14:textId="77777777">
                    <w:pPr>
                      <w:pStyle w:val="Referentiegegevens"/>
                    </w:pPr>
                    <w:r>
                      <w:t>0</w:t>
                    </w:r>
                  </w:p>
                  <w:p w:rsidR="000D7FE4" w14:paraId="5B574FAD" w14:textId="77777777">
                    <w:pPr>
                      <w:pStyle w:val="WitregelW2"/>
                    </w:pPr>
                  </w:p>
                  <w:p w:rsidR="000D7FE4" w14:paraId="3F9886CD"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5742A" w14:textId="77777777"/>
                      </w:txbxContent>
                    </wps:txbx>
                    <wps:bodyPr vert="horz" wrap="square" lIns="0" tIns="0" rIns="0" bIns="0" anchor="t" anchorCtr="0"/>
                  </wps:wsp>
                </a:graphicData>
              </a:graphic>
            </wp:anchor>
          </w:drawing>
        </mc:Choice>
        <mc:Fallback>
          <w:pict>
            <v:shape id="46feec6f-aa3c-11ea-a756-beb5f67e67be" o:spid="_x0000_s2057"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25742A" w14:paraId="72D56AED"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1368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8"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21368F" w14:paraId="7AB8B10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0D7FE4" w14:textId="77777777">
                          <w:pPr>
                            <w:spacing w:line="240" w:lineRule="auto"/>
                          </w:pPr>
                          <w:r>
                            <w:rPr>
                              <w:noProof/>
                            </w:rPr>
                            <w:drawing>
                              <wp:inline distT="0" distB="0" distL="0" distR="0">
                                <wp:extent cx="467995" cy="1583865"/>
                                <wp:effectExtent l="0" t="0" r="0" b="0"/>
                                <wp:docPr id="48429953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484299533"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9"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0D7FE4" w14:paraId="4E7BBAE4"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0D7FE4" w14:textId="77777777">
                          <w:pPr>
                            <w:spacing w:line="240" w:lineRule="auto"/>
                          </w:pPr>
                          <w:r>
                            <w:rPr>
                              <w:noProof/>
                            </w:rPr>
                            <w:drawing>
                              <wp:inline distT="0" distB="0" distL="0" distR="0">
                                <wp:extent cx="2339975" cy="1582834"/>
                                <wp:effectExtent l="0" t="0" r="0" b="0"/>
                                <wp:docPr id="116077777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16077777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60"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0D7FE4" w14:paraId="36496D44"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D7FE4"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61"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0D7FE4" w14:paraId="02224AF4"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731E20E"/>
    <w:multiLevelType w:val="multilevel"/>
    <w:tmpl w:val="8813429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B3101F8A"/>
    <w:multiLevelType w:val="multilevel"/>
    <w:tmpl w:val="339457C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59B52889"/>
    <w:multiLevelType w:val="multilevel"/>
    <w:tmpl w:val="180C100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609D9BA7"/>
    <w:multiLevelType w:val="multilevel"/>
    <w:tmpl w:val="2E1FE03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45329773">
    <w:abstractNumId w:val="2"/>
  </w:num>
  <w:num w:numId="2" w16cid:durableId="878905861">
    <w:abstractNumId w:val="3"/>
  </w:num>
  <w:num w:numId="3" w16cid:durableId="939412176">
    <w:abstractNumId w:val="0"/>
  </w:num>
  <w:num w:numId="4" w16cid:durableId="1696224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43"/>
    <w:rsid w:val="00007492"/>
    <w:rsid w:val="00016FEF"/>
    <w:rsid w:val="00025B56"/>
    <w:rsid w:val="00032336"/>
    <w:rsid w:val="00060804"/>
    <w:rsid w:val="00062EC3"/>
    <w:rsid w:val="0006365F"/>
    <w:rsid w:val="00092850"/>
    <w:rsid w:val="000A2314"/>
    <w:rsid w:val="000B77CD"/>
    <w:rsid w:val="000D05DD"/>
    <w:rsid w:val="000D2943"/>
    <w:rsid w:val="000D7FE4"/>
    <w:rsid w:val="000E4A45"/>
    <w:rsid w:val="000F39CF"/>
    <w:rsid w:val="00111212"/>
    <w:rsid w:val="00114845"/>
    <w:rsid w:val="00115D1C"/>
    <w:rsid w:val="001211C9"/>
    <w:rsid w:val="001452DB"/>
    <w:rsid w:val="00180F00"/>
    <w:rsid w:val="001B2536"/>
    <w:rsid w:val="001F78D9"/>
    <w:rsid w:val="0020263A"/>
    <w:rsid w:val="0021368F"/>
    <w:rsid w:val="002205E8"/>
    <w:rsid w:val="00221448"/>
    <w:rsid w:val="002309B5"/>
    <w:rsid w:val="00242C8F"/>
    <w:rsid w:val="00247486"/>
    <w:rsid w:val="00255D78"/>
    <w:rsid w:val="0025742A"/>
    <w:rsid w:val="002611FD"/>
    <w:rsid w:val="00274DC1"/>
    <w:rsid w:val="00276775"/>
    <w:rsid w:val="002A1A42"/>
    <w:rsid w:val="002C137C"/>
    <w:rsid w:val="002C5A43"/>
    <w:rsid w:val="00301569"/>
    <w:rsid w:val="00310968"/>
    <w:rsid w:val="00356224"/>
    <w:rsid w:val="003708E5"/>
    <w:rsid w:val="00385CA6"/>
    <w:rsid w:val="00393C54"/>
    <w:rsid w:val="003945AE"/>
    <w:rsid w:val="00397879"/>
    <w:rsid w:val="00397A45"/>
    <w:rsid w:val="003B404A"/>
    <w:rsid w:val="003B7B33"/>
    <w:rsid w:val="003C0C55"/>
    <w:rsid w:val="003D53B5"/>
    <w:rsid w:val="00406F33"/>
    <w:rsid w:val="004076E7"/>
    <w:rsid w:val="00412638"/>
    <w:rsid w:val="00426BB9"/>
    <w:rsid w:val="00435642"/>
    <w:rsid w:val="00462B6B"/>
    <w:rsid w:val="004C5D89"/>
    <w:rsid w:val="004D2B7C"/>
    <w:rsid w:val="004E1A2B"/>
    <w:rsid w:val="004F21DF"/>
    <w:rsid w:val="005014DC"/>
    <w:rsid w:val="00505537"/>
    <w:rsid w:val="0050704D"/>
    <w:rsid w:val="005256ED"/>
    <w:rsid w:val="00531DE0"/>
    <w:rsid w:val="005326BB"/>
    <w:rsid w:val="00534A44"/>
    <w:rsid w:val="00537588"/>
    <w:rsid w:val="0054796A"/>
    <w:rsid w:val="00555AF9"/>
    <w:rsid w:val="00565CB4"/>
    <w:rsid w:val="00566991"/>
    <w:rsid w:val="0058644B"/>
    <w:rsid w:val="00586D10"/>
    <w:rsid w:val="00587C19"/>
    <w:rsid w:val="00593C7A"/>
    <w:rsid w:val="00596AD3"/>
    <w:rsid w:val="005A2CDB"/>
    <w:rsid w:val="005B34FC"/>
    <w:rsid w:val="005D1821"/>
    <w:rsid w:val="005D3F38"/>
    <w:rsid w:val="005D51DE"/>
    <w:rsid w:val="006556C7"/>
    <w:rsid w:val="00656363"/>
    <w:rsid w:val="00673607"/>
    <w:rsid w:val="006A51D8"/>
    <w:rsid w:val="006E5A70"/>
    <w:rsid w:val="006E6C30"/>
    <w:rsid w:val="006F4124"/>
    <w:rsid w:val="006F64EB"/>
    <w:rsid w:val="006F72E9"/>
    <w:rsid w:val="00743490"/>
    <w:rsid w:val="007443C7"/>
    <w:rsid w:val="00751B27"/>
    <w:rsid w:val="00781C0A"/>
    <w:rsid w:val="007B0071"/>
    <w:rsid w:val="007B3AB9"/>
    <w:rsid w:val="007D0FFC"/>
    <w:rsid w:val="007D1E1A"/>
    <w:rsid w:val="007D41AB"/>
    <w:rsid w:val="007D548A"/>
    <w:rsid w:val="007F36D2"/>
    <w:rsid w:val="008030A6"/>
    <w:rsid w:val="008115E0"/>
    <w:rsid w:val="00817354"/>
    <w:rsid w:val="008325DE"/>
    <w:rsid w:val="0084301D"/>
    <w:rsid w:val="008449DC"/>
    <w:rsid w:val="00845384"/>
    <w:rsid w:val="00862716"/>
    <w:rsid w:val="00863956"/>
    <w:rsid w:val="00871A15"/>
    <w:rsid w:val="00892470"/>
    <w:rsid w:val="008B03EC"/>
    <w:rsid w:val="008B2062"/>
    <w:rsid w:val="008B3918"/>
    <w:rsid w:val="00911BF9"/>
    <w:rsid w:val="00911E5D"/>
    <w:rsid w:val="00913FB2"/>
    <w:rsid w:val="00931C3B"/>
    <w:rsid w:val="00957C7D"/>
    <w:rsid w:val="0099355B"/>
    <w:rsid w:val="009B3339"/>
    <w:rsid w:val="009C68C4"/>
    <w:rsid w:val="009E1D77"/>
    <w:rsid w:val="009E6B5A"/>
    <w:rsid w:val="00A05CDB"/>
    <w:rsid w:val="00A61DAB"/>
    <w:rsid w:val="00A66976"/>
    <w:rsid w:val="00AC7E23"/>
    <w:rsid w:val="00AE72EC"/>
    <w:rsid w:val="00B1470B"/>
    <w:rsid w:val="00B30C66"/>
    <w:rsid w:val="00B83FB4"/>
    <w:rsid w:val="00B9103E"/>
    <w:rsid w:val="00BC45FC"/>
    <w:rsid w:val="00BE6215"/>
    <w:rsid w:val="00BF046A"/>
    <w:rsid w:val="00C308AB"/>
    <w:rsid w:val="00C34AD1"/>
    <w:rsid w:val="00C37234"/>
    <w:rsid w:val="00C42D2C"/>
    <w:rsid w:val="00C5223C"/>
    <w:rsid w:val="00C70061"/>
    <w:rsid w:val="00C8695F"/>
    <w:rsid w:val="00C90308"/>
    <w:rsid w:val="00C917A4"/>
    <w:rsid w:val="00CA371A"/>
    <w:rsid w:val="00CA41D8"/>
    <w:rsid w:val="00CB219F"/>
    <w:rsid w:val="00CC640D"/>
    <w:rsid w:val="00CD4217"/>
    <w:rsid w:val="00CE3BBC"/>
    <w:rsid w:val="00CE682D"/>
    <w:rsid w:val="00CF7E57"/>
    <w:rsid w:val="00D16FB6"/>
    <w:rsid w:val="00D22F5F"/>
    <w:rsid w:val="00D33B4B"/>
    <w:rsid w:val="00D417C5"/>
    <w:rsid w:val="00D81CB4"/>
    <w:rsid w:val="00D94943"/>
    <w:rsid w:val="00DC75A7"/>
    <w:rsid w:val="00E13132"/>
    <w:rsid w:val="00E37918"/>
    <w:rsid w:val="00E3793B"/>
    <w:rsid w:val="00E41499"/>
    <w:rsid w:val="00E42091"/>
    <w:rsid w:val="00E43754"/>
    <w:rsid w:val="00E43F90"/>
    <w:rsid w:val="00E7050F"/>
    <w:rsid w:val="00E72F47"/>
    <w:rsid w:val="00E91AAD"/>
    <w:rsid w:val="00E92204"/>
    <w:rsid w:val="00EA0763"/>
    <w:rsid w:val="00EA6C03"/>
    <w:rsid w:val="00EC4637"/>
    <w:rsid w:val="00ED71B1"/>
    <w:rsid w:val="00EF0724"/>
    <w:rsid w:val="00F018B0"/>
    <w:rsid w:val="00F031BA"/>
    <w:rsid w:val="00F445CA"/>
    <w:rsid w:val="00F7062C"/>
    <w:rsid w:val="00F71912"/>
    <w:rsid w:val="00F7688C"/>
    <w:rsid w:val="00F779A1"/>
    <w:rsid w:val="00FA14CE"/>
    <w:rsid w:val="00FA49EA"/>
    <w:rsid w:val="00FD4842"/>
    <w:rsid w:val="00FD6CD5"/>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DF42272"/>
  <w15:docId w15:val="{5DCA4560-6441-4A6E-BEE8-6369758F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94943"/>
    <w:pPr>
      <w:tabs>
        <w:tab w:val="center" w:pos="4536"/>
        <w:tab w:val="right" w:pos="9072"/>
      </w:tabs>
      <w:spacing w:line="240" w:lineRule="auto"/>
    </w:pPr>
  </w:style>
  <w:style w:type="character" w:customStyle="1" w:styleId="KoptekstChar">
    <w:name w:val="Koptekst Char"/>
    <w:basedOn w:val="DefaultParagraphFont"/>
    <w:link w:val="Header"/>
    <w:uiPriority w:val="99"/>
    <w:rsid w:val="00D94943"/>
    <w:rPr>
      <w:rFonts w:ascii="Verdana" w:hAnsi="Verdana"/>
      <w:color w:val="000000"/>
      <w:sz w:val="18"/>
      <w:szCs w:val="18"/>
    </w:rPr>
  </w:style>
  <w:style w:type="paragraph" w:styleId="Footer">
    <w:name w:val="footer"/>
    <w:basedOn w:val="Normal"/>
    <w:link w:val="VoettekstChar"/>
    <w:uiPriority w:val="99"/>
    <w:unhideWhenUsed/>
    <w:rsid w:val="00D94943"/>
    <w:pPr>
      <w:tabs>
        <w:tab w:val="center" w:pos="4536"/>
        <w:tab w:val="right" w:pos="9072"/>
      </w:tabs>
      <w:spacing w:line="240" w:lineRule="auto"/>
    </w:pPr>
  </w:style>
  <w:style w:type="character" w:customStyle="1" w:styleId="VoettekstChar">
    <w:name w:val="Voettekst Char"/>
    <w:basedOn w:val="DefaultParagraphFont"/>
    <w:link w:val="Footer"/>
    <w:uiPriority w:val="99"/>
    <w:rsid w:val="00D94943"/>
    <w:rPr>
      <w:rFonts w:ascii="Verdana" w:hAnsi="Verdana"/>
      <w:color w:val="000000"/>
      <w:sz w:val="18"/>
      <w:szCs w:val="18"/>
    </w:rPr>
  </w:style>
  <w:style w:type="paragraph" w:styleId="FootnoteText">
    <w:name w:val="footnote text"/>
    <w:basedOn w:val="Normal"/>
    <w:link w:val="VoetnoottekstChar"/>
    <w:uiPriority w:val="99"/>
    <w:unhideWhenUsed/>
    <w:rsid w:val="00D94943"/>
    <w:pPr>
      <w:spacing w:line="240" w:lineRule="auto"/>
    </w:pPr>
    <w:rPr>
      <w:sz w:val="16"/>
      <w:szCs w:val="20"/>
    </w:rPr>
  </w:style>
  <w:style w:type="character" w:customStyle="1" w:styleId="VoetnoottekstChar">
    <w:name w:val="Voetnoottekst Char"/>
    <w:basedOn w:val="DefaultParagraphFont"/>
    <w:link w:val="FootnoteText"/>
    <w:uiPriority w:val="99"/>
    <w:rsid w:val="00D94943"/>
    <w:rPr>
      <w:rFonts w:ascii="Verdana" w:hAnsi="Verdana"/>
      <w:color w:val="000000"/>
      <w:sz w:val="16"/>
    </w:rPr>
  </w:style>
  <w:style w:type="character" w:styleId="FootnoteReference">
    <w:name w:val="footnote reference"/>
    <w:basedOn w:val="DefaultParagraphFont"/>
    <w:uiPriority w:val="99"/>
    <w:semiHidden/>
    <w:unhideWhenUsed/>
    <w:rsid w:val="00D94943"/>
    <w:rPr>
      <w:vertAlign w:val="superscript"/>
    </w:rPr>
  </w:style>
  <w:style w:type="character" w:styleId="CommentReference">
    <w:name w:val="annotation reference"/>
    <w:basedOn w:val="DefaultParagraphFont"/>
    <w:uiPriority w:val="99"/>
    <w:semiHidden/>
    <w:unhideWhenUsed/>
    <w:rsid w:val="00426BB9"/>
    <w:rPr>
      <w:sz w:val="16"/>
      <w:szCs w:val="16"/>
    </w:rPr>
  </w:style>
  <w:style w:type="paragraph" w:styleId="CommentText">
    <w:name w:val="annotation text"/>
    <w:basedOn w:val="Normal"/>
    <w:link w:val="TekstopmerkingChar"/>
    <w:uiPriority w:val="99"/>
    <w:unhideWhenUsed/>
    <w:rsid w:val="00426BB9"/>
    <w:pPr>
      <w:spacing w:line="240" w:lineRule="auto"/>
    </w:pPr>
    <w:rPr>
      <w:sz w:val="20"/>
      <w:szCs w:val="20"/>
    </w:rPr>
  </w:style>
  <w:style w:type="character" w:customStyle="1" w:styleId="TekstopmerkingChar">
    <w:name w:val="Tekst opmerking Char"/>
    <w:basedOn w:val="DefaultParagraphFont"/>
    <w:link w:val="CommentText"/>
    <w:uiPriority w:val="99"/>
    <w:rsid w:val="00426BB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426BB9"/>
    <w:rPr>
      <w:b/>
      <w:bCs/>
    </w:rPr>
  </w:style>
  <w:style w:type="character" w:customStyle="1" w:styleId="OnderwerpvanopmerkingChar">
    <w:name w:val="Onderwerp van opmerking Char"/>
    <w:basedOn w:val="TekstopmerkingChar"/>
    <w:link w:val="CommentSubject"/>
    <w:uiPriority w:val="99"/>
    <w:semiHidden/>
    <w:rsid w:val="00426BB9"/>
    <w:rPr>
      <w:rFonts w:ascii="Verdana" w:hAnsi="Verdana"/>
      <w:b/>
      <w:bCs/>
      <w:color w:val="000000"/>
    </w:rPr>
  </w:style>
  <w:style w:type="character" w:styleId="UnresolvedMention">
    <w:name w:val="Unresolved Mention"/>
    <w:basedOn w:val="DefaultParagraphFont"/>
    <w:uiPriority w:val="99"/>
    <w:semiHidden/>
    <w:unhideWhenUsed/>
    <w:rsid w:val="00F71912"/>
    <w:rPr>
      <w:color w:val="605E5C"/>
      <w:shd w:val="clear" w:color="auto" w:fill="E1DFDD"/>
    </w:rPr>
  </w:style>
  <w:style w:type="paragraph" w:styleId="Revision">
    <w:name w:val="Revision"/>
    <w:hidden/>
    <w:uiPriority w:val="99"/>
    <w:semiHidden/>
    <w:rsid w:val="0000749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settings.xml.rels><?xml version="1.0" encoding="utf-8" standalone="yes"?><Relationships xmlns="http://schemas.openxmlformats.org/package/2006/relationships"><Relationship Id="rId1" Type="http://schemas.openxmlformats.org/officeDocument/2006/relationships/attachedTemplate" Target="file:///H:\Downloads\Brief%20aan%20Parlement.dotx"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3</ap:Pages>
  <ap:Words>877</ap:Words>
  <ap:Characters>4827</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Brief aan Parlement - Motie van lid Van der Plas (BBB) over voorheen geldend artikel 1.4 Crisis- en herstelwet</vt:lpstr>
    </vt:vector>
  </ap:TitlesOfParts>
  <ap:LinksUpToDate>false</ap:LinksUpToDate>
  <ap:CharactersWithSpaces>5693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2026-10-28T07:18:00.0000000Z</dcterms:created>
  <dcterms:modified xsi:type="dcterms:W3CDTF">2026-10-28T07:21:00.0000000Z</dcterms:modified>
  <dc:creator/>
  <lastModifiedBy/>
  <dc:description>------------------------</dc:description>
  <dc:subject/>
  <keywords/>
  <version/>
  <category/>
</coreProperties>
</file>