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090B00" w14:paraId="2125C810" w14:textId="77777777">
      <w:pPr>
        <w:spacing w:after="180"/>
      </w:pPr>
      <w:r>
        <w:t xml:space="preserve">Met deze brief informeer ik u, mede namens de minister van Financiën, over de uitkomsten van de evaluatie van het convenant Ouderen en Toekomstbestendig Wonen. Daarbij ga ik in op de tijdelijke financiering bij verhuizing van ouderen en op de verdere uitwerking van de </w:t>
      </w:r>
      <w:r w:rsidR="001B0500">
        <w:t>doorstroomfinanciering</w:t>
      </w:r>
      <w:r>
        <w:t>. In mijn brief over het Platform Hypotheken 2025 heb ik toegezegd u rond de zomer van 2026 over deze evaluatie te informeren.</w:t>
      </w:r>
      <w:bookmarkStart w:name="_Hlk240277568" w:id="0"/>
      <w:bookmarkEnd w:id="0"/>
      <w:r>
        <w:rPr>
          <w:rStyle w:val="FootnoteReference"/>
        </w:rPr>
        <w:footnoteReference w:id="2"/>
      </w:r>
    </w:p>
    <w:p w:rsidR="00090B00" w:rsidP="00936BB1" w14:paraId="4178CF13" w14:textId="77777777">
      <w:pPr>
        <w:spacing w:before="240" w:after="80"/>
      </w:pPr>
      <w:r>
        <w:rPr>
          <w:b/>
        </w:rPr>
        <w:t>Achtergrond</w:t>
      </w:r>
      <w:r w:rsidR="00936BB1">
        <w:br/>
      </w:r>
      <w:r>
        <w:t>In 2024 is samen met de hypotheeksector het convenant Ouderen en Toekomstbestendig Wonen</w:t>
      </w:r>
      <w:r w:rsidR="00936BB1">
        <w:t xml:space="preserve"> </w:t>
      </w:r>
      <w:r>
        <w:t>ondertekend.</w:t>
      </w:r>
      <w:r>
        <w:rPr>
          <w:rStyle w:val="FootnoteReference"/>
        </w:rPr>
        <w:footnoteReference w:id="3"/>
      </w:r>
      <w:r>
        <w:t xml:space="preserve"> Het convenant heeft als doel ouderen te helpen om passend te blijven of te gaan wonen, door hen tijdig inzicht te geven in hun (financiële) mogelijkheden op het gebied van wonen, verhuizen en hypotheken</w:t>
      </w:r>
      <w:r w:rsidR="00936BB1">
        <w:t xml:space="preserve"> </w:t>
      </w:r>
      <w:r>
        <w:t>en door de hypotheekfinanciering voor ouderen naar een hoger niveau te tillen. De afspraken zijn ondergebracht in vier thema’s: de organisatie en rapportage van het convenant</w:t>
      </w:r>
      <w:r w:rsidR="00936BB1">
        <w:t>,</w:t>
      </w:r>
      <w:r>
        <w:t xml:space="preserve"> de informatievoorziening aan en bewustwording van ouderen</w:t>
      </w:r>
      <w:r w:rsidR="00936BB1">
        <w:t>,</w:t>
      </w:r>
      <w:r>
        <w:t xml:space="preserve"> de ondersteuning bij woonkeuzes en de hypotheekfinanciering voor ouderen. Afgesproken is dat de afspraken twee jaar na ondertekening worden geëvalueerd en dat de uitkomsten openbaar worden gedeeld.</w:t>
      </w:r>
      <w:r w:rsidR="00D21419">
        <w:t xml:space="preserve"> Ook is </w:t>
      </w:r>
      <w:r w:rsidR="00D21419">
        <w:t>middels</w:t>
      </w:r>
      <w:r w:rsidR="00D21419">
        <w:t xml:space="preserve"> halfjaarlijkse gesprekken de voortgang gemonitord en zijn relevante ontwikkelingen besproken.</w:t>
      </w:r>
    </w:p>
    <w:p w:rsidR="00514ABC" w:rsidP="002E23DD" w14:paraId="52ACEDC2" w14:textId="77777777">
      <w:pPr>
        <w:spacing w:before="240" w:after="80"/>
      </w:pPr>
      <w:r>
        <w:rPr>
          <w:b/>
        </w:rPr>
        <w:t>Evaluatie</w:t>
      </w:r>
      <w:r w:rsidR="001B245F">
        <w:br/>
      </w:r>
      <w:r>
        <w:t>Voor de evaluatie is aan de ondertekenaars gevraagd welke stappen zij hebben gezet, welke resultaten zij zien, welke knelpunten zij ervaren en welke aanbevelingen zij hebben voor het vervolg. De reacties komen uit verschillende delen van de hypotheekketen, waaronder kredietverstrekkers, advies- en bemiddelingsketens, brancheorganisaties, de Nationale Hypotheek Garantie (NHG) en Vereniging Eigen Huis.</w:t>
      </w:r>
      <w:r w:rsidR="002E23DD">
        <w:t xml:space="preserve"> </w:t>
      </w:r>
      <w:r w:rsidR="0007608C">
        <w:t xml:space="preserve">De belangrijkste bevindingen zijn hieronder opgenomen. </w:t>
      </w:r>
    </w:p>
    <w:p w:rsidR="00090B00" w:rsidP="001B245F" w14:paraId="4F2A0DDB" w14:textId="77777777">
      <w:pPr>
        <w:spacing w:before="240" w:after="80"/>
      </w:pPr>
      <w:r>
        <w:rPr>
          <w:b/>
        </w:rPr>
        <w:t>Bevindingen</w:t>
      </w:r>
      <w:r w:rsidR="001B245F">
        <w:br/>
      </w:r>
      <w:r>
        <w:rPr>
          <w:i/>
        </w:rPr>
        <w:t>Informatievoorziening en bewustwording</w:t>
      </w:r>
      <w:r w:rsidR="001B245F">
        <w:br/>
      </w:r>
      <w:r w:rsidR="00EC4A99">
        <w:t>Partijen besteden via hun eigen kanalen meer aandacht aan de woon- en financiële mogelijkheden van ouderen. Een deel heeft bijgedragen aan of aandacht besteed aan de VWS-publiekscampagne ‘Praat vandaag over morgen’, waaraan BZK</w:t>
      </w:r>
      <w:r w:rsidR="002E23DD">
        <w:t>/VRO</w:t>
      </w:r>
      <w:r w:rsidR="00EC4A99">
        <w:t xml:space="preserve"> in het kader van het convenant op het thema doorstroming invulling heeft gegeven. Andere partijen hebben in dezelfde periode via hun eigen kanalen </w:t>
      </w:r>
      <w:r w:rsidR="00EC4A99">
        <w:t>aandacht</w:t>
      </w:r>
      <w:r w:rsidR="00EC4A99">
        <w:t xml:space="preserve"> besteed aan wonen, doorstroming en de financiële mogelijkheden van ouderen. Daarnaast is een </w:t>
      </w:r>
      <w:r w:rsidR="00EC4A99">
        <w:t>overwaardetool</w:t>
      </w:r>
      <w:r w:rsidR="00EC4A99">
        <w:t xml:space="preserve"> doorontwikkeld en is in opleidingen, webinars en informatie voor financieel adviseurs meer aandacht gekomen voor de situatie van ouderen.</w:t>
      </w:r>
    </w:p>
    <w:p w:rsidR="002E23DD" w14:paraId="1B62775B" w14:textId="77777777">
      <w:pPr>
        <w:spacing w:before="160" w:after="40"/>
      </w:pPr>
      <w:r>
        <w:rPr>
          <w:i/>
        </w:rPr>
        <w:t>Ondersteuning bij woonkeuzes</w:t>
      </w:r>
      <w:r>
        <w:br/>
      </w:r>
      <w:r w:rsidR="006A3968">
        <w:t>Ondertekenaars ondersteunen ouderen op verschillende manieren bij financiële en woonvragen, bijvoorbeeld via informatiekanalen, doorverwijzing naar financieel adviseurs en dienstverlening gericht op ouderen. De aandacht voor levensloopbestendig wonen verschilt per partij. Tegelijk geven partijen aan dat financiering slechts één onderdeel van de verhuisbeslissing is: ook de beperkte beschikbaarheid van passende woningen kan doorstroming belemmeren.</w:t>
      </w:r>
    </w:p>
    <w:p w:rsidR="002E23DD" w:rsidP="002E23DD" w14:paraId="2B89AE02" w14:textId="77777777">
      <w:pPr>
        <w:spacing w:before="160" w:after="40"/>
      </w:pPr>
      <w:r>
        <w:rPr>
          <w:i/>
        </w:rPr>
        <w:t>Hypotheekfinanciering voor ouderen</w:t>
      </w:r>
      <w:r>
        <w:br/>
      </w:r>
      <w:r>
        <w:t xml:space="preserve">Op dit thema is de meeste voortgang zichtbaar. Verschillende kredietverstrekkers hebben hun beleid of aanbod verruimd, onder meer via maatwerk voor senioren, </w:t>
      </w:r>
      <w:r>
        <w:t>overwaardeproducten</w:t>
      </w:r>
      <w:r>
        <w:t xml:space="preserve"> en hypotheekvormen waarbij in passende situaties op de werkelijke maandlast kan worden getoetst. Ook in de Voorwaarden en Normen van NHG zijn stappen gezet die voor deze groep gunstig kunnen uitpakken: een bestaande lening met NHG op de oude woning kan tijdelijk volledig aflossingsvrij worden gemaakt om dubbele lasten tijdens een verhuizing te verlichten, het inkomen tussen de AOW-leeftijd en de </w:t>
      </w:r>
      <w:r>
        <w:t>pensioenrichtleeftijd</w:t>
      </w:r>
      <w:r>
        <w:t xml:space="preserve"> kan ruimer worden </w:t>
      </w:r>
      <w:r>
        <w:t>meegetoetst</w:t>
      </w:r>
      <w:r>
        <w:t xml:space="preserve"> en een inwonende erfgenaam kan na overlijden, met behoud van de garantie, aan de lening worden toegevoegd. Ook het delen van actuele hypotheekgegevens in de keten en het gebruik van brondata, waaronder voor pensioeninkomen, komen verder op gang. De ondersteuning van overwaarde- en verzilverproducten in adviessoftware blijft een aandachtspunt.</w:t>
      </w:r>
    </w:p>
    <w:p w:rsidR="002E23DD" w:rsidP="002E23DD" w14:paraId="5BE5554C" w14:textId="77777777">
      <w:pPr>
        <w:spacing w:before="160" w:after="40"/>
      </w:pPr>
      <w:r>
        <w:t>Ook na het ophalen van de input voor deze evaluatie blijft het aanbod zich ontwikkelen. Zo heeft een van de ondertekenaars per 1 september 2026 een hypotheekvorm geïntroduceerd voor klanten die de AOW-leeftijd hebben bereikt. Deze kan onder meer worden gebruikt voor de aankoop van een passende woning of het levensloopbestendig maken van de huidige woning. Daarbij wordt onder voorwaarden getoetst op de werkelijke maandlast en wordt de rente voor de gehele looptijd vastgezet. Dit is een recent voorbeeld van productontwikkeling die specifiek aansluit op de financiële en woonbehoeften van ouderen.</w:t>
      </w:r>
    </w:p>
    <w:p w:rsidR="001C58E1" w:rsidP="002E23DD" w14:paraId="080624E5" w14:textId="77777777">
      <w:pPr>
        <w:spacing w:before="160" w:after="40"/>
      </w:pPr>
      <w:r>
        <w:rPr>
          <w:i/>
        </w:rPr>
        <w:t>Overbruggingshypotheek</w:t>
      </w:r>
      <w:r w:rsidR="002E23DD">
        <w:br/>
      </w:r>
      <w:r>
        <w:t xml:space="preserve">Bij een verhuizing van koop naar koop kan een overbruggingshypotheek nodig zijn wanneer de nieuwe woning wordt gekocht voordat de huidige woning is verkocht. De verwachte overwaarde op de oude woning kan dan tijdelijk worden gebruikt voor de aankoop van de nieuwe woning. In veel gevallen kan deze tijdelijke financiering binnen een reguliere hypotheekaanvraag worden geregeld. Een specifieker knelpunt kan ontstaan bij ouderen met veel overwaarde die na verkoop van hun huidige woning geen of slechts een kleine reguliere hypotheek nodig hebben. Dit is mede besproken naar aanleiding van vragen uit uw Kamer, die ik </w:t>
      </w:r>
      <w:r>
        <w:t>reeds</w:t>
      </w:r>
      <w:r>
        <w:t xml:space="preserve"> heb beantwoord.</w:t>
      </w:r>
      <w:bookmarkStart w:name="_Hlk240281589" w:id="1"/>
      <w:bookmarkEnd w:id="1"/>
      <w:r>
        <w:rPr>
          <w:rStyle w:val="FootnoteReference"/>
        </w:rPr>
        <w:footnoteReference w:id="4"/>
      </w:r>
      <w:bookmarkStart w:name="_Hlk240283126" w:id="2"/>
    </w:p>
    <w:bookmarkEnd w:id="2"/>
    <w:p w:rsidR="00584C71" w:rsidP="001C58E1" w14:paraId="6EC22853" w14:textId="77777777">
      <w:pPr>
        <w:spacing w:after="180"/>
      </w:pPr>
      <w:r>
        <w:t>In het kader van deze verkenning is met marktpartijen en belangenorganisaties gesproken over de knelpunten die ouderen ervaren bij tijdelijke financiering rond een verhuizing. Met de sector is onderzocht</w:t>
      </w:r>
      <w:r w:rsidR="002E23DD">
        <w:t xml:space="preserve"> </w:t>
      </w:r>
      <w:r>
        <w:t>in hoeverre voor deze groep een losse overbruggingshypotheek breder kan worden aangeboden, zonder dat daarnaast een reguliere hypotheek nodig is.</w:t>
      </w:r>
      <w:r w:rsidR="001B0500">
        <w:t xml:space="preserve"> </w:t>
      </w:r>
      <w:r>
        <w:t>Een dergelijke lening blijkt voor kredietverstrekkers relatief kostbaar om als zelfstandig product aan te bieden. Voor een relatief beperkte doelgroep vraagt dit om een afzonderlijk product en bijbehorende systeem- en procesinrichting, terwijl de lening slechts kort loopt. Daardoor moeten vaste kosten over relatief weinig leningen en in korte tijd worden terugverdiend.</w:t>
      </w:r>
      <w:r w:rsidR="001B0500">
        <w:t xml:space="preserve"> </w:t>
      </w:r>
      <w:r>
        <w:t>Voor de consument blijven bovendien de gebruikelijke eenmalige kosten voor advies, taxatie en notaris gelden.</w:t>
      </w:r>
    </w:p>
    <w:p w:rsidR="004907AD" w:rsidP="004907AD" w14:paraId="2991EEC4" w14:textId="77777777">
      <w:pPr>
        <w:spacing w:after="180"/>
      </w:pPr>
      <w:r>
        <w:t>In de praktijk bestaan binnen het huidige aanbod mogelijkheden om deze groep van tijdelijke financiering te voorzien.</w:t>
      </w:r>
      <w:r w:rsidR="001B0500">
        <w:t xml:space="preserve"> </w:t>
      </w:r>
      <w:r>
        <w:t>Zo kan een overbruggingslening worden gecombineerd met een beperkte reguliere hypotheek. Deze combinatie kan binnen bestaande hypotheekproducten, systemen en acceptatiekaders worden aangeboden. Doordat wordt aangesloten bij bestaande hypotheekprocessen, hoeft voor de tijdelijke financiering geen afzonderlijk product met eigen systeem- en procesinrichting te worden ontwikkeld. Voor ouderen met veel overwaarde maakt dit het mogelijk de periode te overbruggen waarin de overwaarde nog in de huidige woning vastzit. Na verkoop kan de reguliere hypotheek uit de verkoopopbrengst grotendeels of geheel worden afgelost of, indien gewenst, deels worden aangehouden, bijvoorbeeld wanneer de verkoopopbrengst lager uitvalt dan verwacht of aanvullende financiering nodig blijkt.</w:t>
      </w:r>
      <w:r w:rsidR="001B0500">
        <w:t xml:space="preserve"> </w:t>
      </w:r>
      <w:r>
        <w:t>Daarnaast bieden enkele kredietverstrekkers bestaande klanten een losse overbruggingshypotheek als maatwerk. Daarmee bestaan voor een belangrijk deel van de doelgroep al mogelijkheden binnen het huidige aanbod. Verdere verbetering ligt vooral in het beter zichtbaar en uitlegbaar maken van deze mogelijkheden en in het waar mogelijk vereenvoudigen van het proces en beperken van eenmalige kosten.</w:t>
      </w:r>
    </w:p>
    <w:p w:rsidR="001C58E1" w:rsidP="001C58E1" w14:paraId="5E819D5C" w14:textId="77777777">
      <w:pPr>
        <w:spacing w:after="180"/>
      </w:pPr>
      <w:r>
        <w:t xml:space="preserve">Ook is verkend of een afzonderlijke aanbieder of een publiek fonds voor deze tijdelijke financiering uitkomst kan bieden. Uit die verkenning blijkt dat een afzonderlijke financieringsroute niet vanzelfsprekend leidt tot een eenvoudiger of goedkoper proces voor de consument. Een kortlopende lening blijft relatief kostbaar om aan te bieden. Bij een publiek fonds zou dit kunnen leiden tot een hogere rente of tot inzet van publieke middelen om het tarief te verlagen. Op basis van deze verkenning zie ik op dit moment geen aanleiding om voor deze overbruggingsvraag een afzonderlijk publiek fonds verder uit te werken. De onderzochte varianten en de belangrijkste voor- en nadelen zijn opgenomen in bijlage </w:t>
      </w:r>
      <w:r w:rsidR="00204502">
        <w:t xml:space="preserve">1 </w:t>
      </w:r>
      <w:r>
        <w:t>bij deze brief.</w:t>
      </w:r>
    </w:p>
    <w:p w:rsidR="001C58E1" w:rsidP="001C58E1" w14:paraId="2D7EA931" w14:textId="77777777">
      <w:pPr>
        <w:spacing w:after="180"/>
      </w:pPr>
      <w:r>
        <w:t xml:space="preserve">Mijn </w:t>
      </w:r>
      <w:r>
        <w:t xml:space="preserve">inzet richt zich daarom op het beter benutten van de bestaande mogelijkheden. Met de sector bespreek ik hoe deze mogelijkheden beter zichtbaar kunnen worden gemaakt voor consumenten en adviseurs, of het proces waar mogelijk eenvoudiger kan en of eenmalige kosten kunnen worden beperkt. </w:t>
      </w:r>
    </w:p>
    <w:p w:rsidR="00307B87" w:rsidP="001C58E1" w14:paraId="6F2D7D50" w14:textId="77777777">
      <w:pPr>
        <w:spacing w:after="180"/>
      </w:pPr>
      <w:r>
        <w:rPr>
          <w:b/>
        </w:rPr>
        <w:t xml:space="preserve">Overige </w:t>
      </w:r>
      <w:r w:rsidR="00C364B9">
        <w:rPr>
          <w:b/>
        </w:rPr>
        <w:t>knelpunten/</w:t>
      </w:r>
      <w:r w:rsidR="00694BBC">
        <w:rPr>
          <w:b/>
        </w:rPr>
        <w:t>ontwikkelingen</w:t>
      </w:r>
      <w:r>
        <w:br/>
        <w:t xml:space="preserve">Naast de tijdelijke overbruggingsfinanciering komen uit de evaluatie andere knelpunten in de woningfinanciering voor ouderen naar voren. Partijen noemen onder meer situaties waarin de toetsing niet goed aansluit op de combinatie van pensioeninkomen en vermogen in de woning, beperktere mogelijkheden voor aflossingsvrije financiering, verschillen tussen producten en voorwaarden en beperkte ondersteuning van sommige overwaarde- en verzilverproducten in adviessoftware. De evaluatie geeft geen aanleiding voor de conclusie dat regelgeving als geheel belemmerend is. Per knelpunt moet worden bezien of de oorzaak ligt in regelgeving, de toepassing daarvan, productvoorwaarden, uitvoering of informatievoorziening. </w:t>
      </w:r>
      <w:bookmarkStart w:name="_Hlk240280959" w:id="3"/>
      <w:r w:rsidR="00694BBC">
        <w:t>Naast de genoemde knelpunten</w:t>
      </w:r>
      <w:r w:rsidRPr="0084741E" w:rsidR="0084741E">
        <w:t xml:space="preserve"> zijn er ontwikkelingen in het </w:t>
      </w:r>
      <w:r w:rsidRPr="0084741E" w:rsidR="0084741E">
        <w:t>prudentieel</w:t>
      </w:r>
      <w:r w:rsidRPr="0084741E" w:rsidR="0084741E">
        <w:t xml:space="preserve"> toezicht die relevant kunnen zijn voor de hypotheekfinanciering van ouderen. D</w:t>
      </w:r>
      <w:r w:rsidR="003A326C">
        <w:t xml:space="preserve">e </w:t>
      </w:r>
      <w:r w:rsidRPr="0084741E" w:rsidR="0084741E">
        <w:t>N</w:t>
      </w:r>
      <w:r w:rsidR="003A326C">
        <w:t xml:space="preserve">ederlandsche </w:t>
      </w:r>
      <w:r w:rsidRPr="0084741E" w:rsidR="0084741E">
        <w:t>B</w:t>
      </w:r>
      <w:r w:rsidR="003A326C">
        <w:t>ank</w:t>
      </w:r>
      <w:r w:rsidRPr="0084741E" w:rsidR="0084741E">
        <w:t xml:space="preserve"> </w:t>
      </w:r>
      <w:r w:rsidR="00887695">
        <w:t xml:space="preserve">is recent nader ingegaan op het betrekken van het verwachte pensioeninkomen en de levensverwachting van de </w:t>
      </w:r>
      <w:r w:rsidR="00887695">
        <w:t>leningnemer</w:t>
      </w:r>
      <w:r w:rsidR="00887695">
        <w:t xml:space="preserve"> bij de kredietbeoordeling in het kader van adequaat kredietrisicobeheer door de onder haar directe toezicht vallende banken</w:t>
      </w:r>
      <w:r w:rsidRPr="0084741E" w:rsidR="0084741E">
        <w:t>.</w:t>
      </w:r>
      <w:r>
        <w:rPr>
          <w:rStyle w:val="FootnoteReference"/>
        </w:rPr>
        <w:footnoteReference w:id="5"/>
      </w:r>
      <w:r w:rsidRPr="00FF774E" w:rsidR="00C575DB">
        <w:t xml:space="preserve"> </w:t>
      </w:r>
      <w:r w:rsidRPr="0084741E" w:rsidR="0084741E">
        <w:t xml:space="preserve">Ik blijf de uitwerking hiervan in de praktijk </w:t>
      </w:r>
      <w:r w:rsidR="00887695">
        <w:t>volgen</w:t>
      </w:r>
      <w:r w:rsidRPr="00FF774E" w:rsidR="00FF774E">
        <w:t xml:space="preserve">. </w:t>
      </w:r>
    </w:p>
    <w:bookmarkEnd w:id="3"/>
    <w:p w:rsidR="00090B00" w:rsidP="001C58E1" w14:paraId="3F2D4EF6" w14:textId="77777777">
      <w:pPr>
        <w:spacing w:after="180"/>
      </w:pPr>
      <w:r>
        <w:rPr>
          <w:b/>
        </w:rPr>
        <w:t>Doorstroomfinanciering</w:t>
      </w:r>
      <w:r w:rsidR="00D429AA">
        <w:br/>
      </w:r>
      <w:r w:rsidRPr="00204502" w:rsidR="00204502">
        <w:t xml:space="preserve">Hoewel beide vormen zien op tijdelijke financiering rond een verhuizing, gaat het bij de </w:t>
      </w:r>
      <w:r>
        <w:t>doorstroomfinanciering</w:t>
      </w:r>
      <w:r w:rsidRPr="00204502" w:rsidR="00204502">
        <w:t xml:space="preserve"> om een </w:t>
      </w:r>
      <w:r w:rsidR="00F01FC1">
        <w:t xml:space="preserve">bredere </w:t>
      </w:r>
      <w:r w:rsidRPr="00204502" w:rsidR="00204502">
        <w:t>financieringsvraag dan bij de hiervoor beschreven overbruggingshypotheek.</w:t>
      </w:r>
      <w:r w:rsidR="00204502">
        <w:t xml:space="preserve"> </w:t>
      </w:r>
      <w:r w:rsidR="00D429AA">
        <w:t xml:space="preserve">Bij een overbruggingshypotheek wordt de verwachte verkoopopbrengst van de huidige woning tijdelijk voorgefinancierd voor de aankoop van de volgende koopwoning. Bij de </w:t>
      </w:r>
      <w:r>
        <w:t>doorstroomfinanciering</w:t>
      </w:r>
      <w:r w:rsidR="00D429AA">
        <w:t xml:space="preserve"> wordt breder onderzocht of aanvullende financiering kan helpen waar het bestaande aanbod onvoldoende aansluit op de financieringsbehoefte van ouderen. In het coalitieakkoord is opgenomen dat een doorstroombank of aantrekkelijk hypotheekproduct voor ouderen moet helpen om stenen makkelijker in geld om te zetten. Ook heeft uw Kamer met de motie-Steen c.s. verzocht de introductie van een </w:t>
      </w:r>
      <w:r>
        <w:t>doorstroom</w:t>
      </w:r>
      <w:r w:rsidR="00F86B61">
        <w:t>hypotheek</w:t>
      </w:r>
      <w:r w:rsidR="00D429AA">
        <w:t xml:space="preserve"> mogelijk te maken.</w:t>
      </w:r>
      <w:bookmarkStart w:name="_Hlk240281539" w:id="4"/>
      <w:bookmarkEnd w:id="4"/>
    </w:p>
    <w:p w:rsidR="005F35D7" w:rsidP="00285AE4" w14:paraId="483B1898" w14:textId="77777777">
      <w:pPr>
        <w:spacing w:before="240" w:after="80"/>
      </w:pPr>
      <w:r>
        <w:t xml:space="preserve">Op basis van de eerste analyse </w:t>
      </w:r>
      <w:r w:rsidR="00386479">
        <w:t xml:space="preserve">verken ik </w:t>
      </w:r>
      <w:r>
        <w:t>twee richtingen. De eerste ziet op ouderen die van koop naar koop verhuizen en op basis van de verwachte overwaarde tijdelijk financiering nodig hebben, bijvoorbeeld voor kosten rond het aanpassen van de nieuwe woning. De tweede ziet op ouderen die van koop naar huur verhuizen en vóór verkoop van hun huidige woning tijdelijk toegang nodig hebben tot een deel van de overwaarde, bijvoorbeeld voor verhuiskosten, aanpassingen of tijdelijk hogere woonlasten. Voor beide richtingen moet nog duidelijker worden welke doelgroep hiermee wordt geholpen, hoe groot die groep is en onder welke voorwaarden een product verantwoord en uitvoerbaar kan worden aangeboden. Omdat veel ouderen al over aanzienlijke overwaarde beschikken en voor een deel financieringsmogelijkheden bestaan, staat in de verdere uitwerking centraal waar aanvullende doorstroomfinanciering daadwerkelijk een knelpunt oplost en toegevoegde waarde heeft. Dit bespreek ik in het Platform Hypotheken met de sector. De uitkomsten ontvangt uw Kamer in het voorjaar van 2027.</w:t>
      </w:r>
    </w:p>
    <w:p w:rsidR="00090B00" w:rsidP="00285AE4" w14:paraId="1E2B6845" w14:textId="77777777">
      <w:pPr>
        <w:spacing w:before="240" w:after="80"/>
      </w:pPr>
      <w:r>
        <w:rPr>
          <w:b/>
        </w:rPr>
        <w:t>Conclusie en vervolgstappen</w:t>
      </w:r>
      <w:r>
        <w:br/>
        <w:t xml:space="preserve">De evaluatie laat zien dat het convenant heeft bijgedragen aan meer aandacht voor de woon- en financieringssituatie van ouderen. </w:t>
      </w:r>
      <w:r w:rsidR="00386479">
        <w:t xml:space="preserve">Daarbij wordt breed onderkend dat financiering slechts één factor is die bepaalt of ouderen verhuizen. Belangrijk lijken </w:t>
      </w:r>
      <w:r w:rsidR="001B0500">
        <w:t xml:space="preserve">ook </w:t>
      </w:r>
      <w:r w:rsidR="00386479">
        <w:t xml:space="preserve">persoonlijke voorkeuren om in de eigen, vertrouwde omgeving te willen wonen en een passend aanbod. </w:t>
      </w:r>
      <w:r>
        <w:t xml:space="preserve">Binnen het convenant zijn concrete stappen gezet in informatievoorziening, ondersteuning van adviseurs, productontwikkeling en hypotheekvoorwaarden. </w:t>
      </w:r>
      <w:r w:rsidR="00386479">
        <w:t xml:space="preserve">Maar de evaluatie maakt duidelijk dat er ook nog stappen te zetten zijn. </w:t>
      </w:r>
      <w:r>
        <w:t xml:space="preserve">De komende periode ligt de focus daarom op twee concrete lijnen. Ten eerste werk ik met de sector aan het beter zichtbaar en waar mogelijk eenvoudiger maken van bestaande overbruggingsmogelijkheden en onderzoek ik of de eenmalige kosten kunnen worden beperkt. Ten tweede werk ik de </w:t>
      </w:r>
      <w:r w:rsidR="001B0500">
        <w:t>doorstroomfinanciering</w:t>
      </w:r>
      <w:r>
        <w:t xml:space="preserve"> verder uit door met de sector te onderzoeken in welke situaties aanvullende doorstroomfinanciering daadwerkelijk meerwaarde heeft en hoe deze verantwoord en uitvoerbaar kan worden vormgegeven. </w:t>
      </w:r>
      <w:r w:rsidRPr="001B0500" w:rsidR="001B0500">
        <w:t xml:space="preserve">De input van de sector is daarbij cruciaal om scherp te krijgen waar in de praktijk daadwerkelijk knelpunten worden ervaren, welke groepen ouderen hierdoor worden geraakt en in hoeverre bestaande financieringsmogelijkheden daarin al voorzien. </w:t>
      </w:r>
      <w:r>
        <w:t>Over de voortgang informeer ik uw Kamer in het voorjaar van 2027.</w:t>
      </w:r>
    </w:p>
    <w:p w:rsidR="00514ABC" w:rsidP="00285AE4" w14:paraId="024BEBDF" w14:textId="77777777">
      <w:pPr>
        <w:spacing w:before="240" w:after="80"/>
      </w:pPr>
    </w:p>
    <w:p w:rsidR="009077F7" w14:paraId="35A48475" w14:textId="77777777">
      <w:pPr>
        <w:rPr>
          <w:i/>
        </w:rPr>
      </w:pPr>
      <w:r>
        <w:t xml:space="preserve">De </w:t>
      </w:r>
      <w:r w:rsidR="001B245F">
        <w:t>m</w:t>
      </w:r>
      <w:r>
        <w:t>inister van Volkshuisvesting en Ruimtelijke Ordening</w:t>
      </w:r>
      <w:r>
        <w:rPr>
          <w:i/>
        </w:rPr>
        <w:t>,</w:t>
      </w:r>
    </w:p>
    <w:p w:rsidR="00BB5FDB" w14:paraId="037A4A10" w14:textId="77777777">
      <w:pPr>
        <w:rPr>
          <w:i/>
        </w:rPr>
      </w:pPr>
    </w:p>
    <w:p w:rsidR="00BB5FDB" w14:paraId="0577EBDB" w14:textId="77777777">
      <w:pPr>
        <w:rPr>
          <w:i/>
        </w:rPr>
      </w:pPr>
    </w:p>
    <w:p w:rsidR="00BB5FDB" w14:paraId="649FF232" w14:textId="77777777">
      <w:pPr>
        <w:rPr>
          <w:i/>
        </w:rPr>
      </w:pPr>
    </w:p>
    <w:p w:rsidR="00BB5FDB" w14:paraId="671B467F" w14:textId="77777777">
      <w:pPr>
        <w:rPr>
          <w:i/>
        </w:rPr>
      </w:pPr>
    </w:p>
    <w:p w:rsidR="00BB5FDB" w14:paraId="1C6C6A47" w14:textId="77777777">
      <w:pPr>
        <w:rPr>
          <w:i/>
        </w:rPr>
      </w:pPr>
    </w:p>
    <w:p w:rsidR="009077F7" w14:paraId="0635EE1A" w14:textId="77777777">
      <w:r>
        <w:t>Elanor</w:t>
      </w:r>
      <w:r>
        <w:t xml:space="preserve"> </w:t>
      </w:r>
      <w:r>
        <w:t>Boekholt-O'Sullivan</w:t>
      </w:r>
    </w:p>
    <w:p w:rsidR="009077F7" w14:paraId="5DFC19C9" w14:textId="77777777">
      <w:r>
        <w:t xml:space="preserve"> </w:t>
      </w:r>
    </w:p>
    <w:sectPr>
      <w:headerReference w:type="even" r:id="rId6"/>
      <w:headerReference w:type="default" r:id="rId7"/>
      <w:footerReference w:type="even" r:id="rId8"/>
      <w:footerReference w:type="default" r:id="rId9"/>
      <w:headerReference w:type="first" r:id="rId10"/>
      <w:footerReference w:type="first" r:id="rId11"/>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6317" w14:paraId="73E2AEF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77F7" w14:paraId="77DB477C"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6317" w14:paraId="7168C47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D3259" w14:paraId="527F539C" w14:textId="77777777">
      <w:pPr>
        <w:spacing w:line="240" w:lineRule="auto"/>
      </w:pPr>
      <w:r>
        <w:separator/>
      </w:r>
    </w:p>
  </w:footnote>
  <w:footnote w:type="continuationSeparator" w:id="1">
    <w:p w:rsidR="002D3259" w14:paraId="0D01DACC" w14:textId="77777777">
      <w:pPr>
        <w:spacing w:line="240" w:lineRule="auto"/>
      </w:pPr>
      <w:r>
        <w:continuationSeparator/>
      </w:r>
    </w:p>
  </w:footnote>
  <w:footnote w:id="2">
    <w:p w:rsidR="00584C71" w:rsidRPr="00584C71" w14:paraId="59EBBBD7" w14:textId="77777777">
      <w:pPr>
        <w:pStyle w:val="FootnoteText"/>
        <w:rPr>
          <w:sz w:val="16"/>
          <w:szCs w:val="16"/>
        </w:rPr>
      </w:pPr>
      <w:r w:rsidRPr="00584C71">
        <w:rPr>
          <w:rStyle w:val="FootnoteReference"/>
          <w:sz w:val="16"/>
          <w:szCs w:val="16"/>
        </w:rPr>
        <w:footnoteRef/>
      </w:r>
      <w:r w:rsidRPr="00584C71">
        <w:rPr>
          <w:sz w:val="16"/>
          <w:szCs w:val="16"/>
        </w:rPr>
        <w:t xml:space="preserve"> Kamerbrief van 14 oktober 2025, Platform Hypotheken 2025.</w:t>
      </w:r>
    </w:p>
  </w:footnote>
  <w:footnote w:id="3">
    <w:p w:rsidR="00584C71" w14:paraId="43921A1F" w14:textId="77777777">
      <w:pPr>
        <w:pStyle w:val="FootnoteText"/>
      </w:pPr>
      <w:r>
        <w:rPr>
          <w:rStyle w:val="FootnoteReference"/>
        </w:rPr>
        <w:footnoteRef/>
      </w:r>
      <w:r>
        <w:t xml:space="preserve"> </w:t>
      </w:r>
      <w:hyperlink r:id="rId1" w:history="1">
        <w:r w:rsidRPr="0051382C">
          <w:rPr>
            <w:rStyle w:val="Hyperlink"/>
            <w:sz w:val="16"/>
            <w:szCs w:val="16"/>
          </w:rPr>
          <w:t>Convenant Ouderen en toekomstbestendig wonen | Convenant | Rijksoverheid.nl</w:t>
        </w:r>
      </w:hyperlink>
    </w:p>
  </w:footnote>
  <w:footnote w:id="4">
    <w:p w:rsidR="001C58E1" w14:paraId="5700EA22" w14:textId="77777777">
      <w:pPr>
        <w:pStyle w:val="FootnoteText"/>
      </w:pPr>
      <w:r w:rsidRPr="001C58E1">
        <w:rPr>
          <w:rStyle w:val="FootnoteReference"/>
          <w:sz w:val="16"/>
          <w:szCs w:val="16"/>
        </w:rPr>
        <w:footnoteRef/>
      </w:r>
      <w:r w:rsidRPr="001C58E1">
        <w:rPr>
          <w:sz w:val="16"/>
          <w:szCs w:val="16"/>
        </w:rPr>
        <w:t xml:space="preserve"> Kamerstukken II 2025/26, beantwoording Kamervragen over doorstroming in relatie tot hypotheekverstrekking bij senioren, nr. 966.</w:t>
      </w:r>
    </w:p>
  </w:footnote>
  <w:footnote w:id="5">
    <w:p w:rsidR="00C575DB" w:rsidP="00C575DB" w14:paraId="5922F025" w14:textId="77777777">
      <w:pPr>
        <w:pStyle w:val="FootnoteText"/>
      </w:pPr>
      <w:r w:rsidRPr="00FF774E">
        <w:rPr>
          <w:rStyle w:val="FootnoteReference"/>
          <w:sz w:val="16"/>
          <w:szCs w:val="16"/>
        </w:rPr>
        <w:footnoteRef/>
      </w:r>
      <w:r w:rsidRPr="00FF774E">
        <w:rPr>
          <w:sz w:val="16"/>
          <w:szCs w:val="16"/>
        </w:rPr>
        <w:t xml:space="preserve"> De Nederlandsche Bank, Q&amp;A </w:t>
      </w:r>
      <w:hyperlink r:id="rId2" w:history="1">
        <w:r w:rsidRPr="00FF774E">
          <w:rPr>
            <w:rStyle w:val="Hyperlink"/>
            <w:sz w:val="16"/>
            <w:szCs w:val="16"/>
          </w:rPr>
          <w:t>De Nederlandsche Bank, Q&amp;A pensioeninkomen en levensverwachting, gepubliceerd 13 mei 2026.</w:t>
        </w:r>
      </w:hyperlink>
      <w:r w:rsidRPr="00FF774E">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6317" w14:paraId="55BCBB6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77F7" w14:paraId="3CF6508F"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090B00"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090B00" w14:paraId="03431E41"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9077F7" w14:textId="77777777">
                          <w:pPr>
                            <w:pStyle w:val="Referentiegegevensbold"/>
                          </w:pPr>
                          <w:r>
                            <w:t>DG Volkshuisvesting en Bouwen</w:t>
                          </w:r>
                        </w:p>
                        <w:p w:rsidR="009077F7" w14:textId="77777777">
                          <w:pPr>
                            <w:pStyle w:val="Referentiegegevens"/>
                          </w:pPr>
                          <w:r>
                            <w:t>DGVB-WN-Koop &amp; Kapitaalmarkt</w:t>
                          </w:r>
                        </w:p>
                        <w:p w:rsidR="009077F7" w14:textId="77777777">
                          <w:pPr>
                            <w:pStyle w:val="WitregelW2"/>
                          </w:pPr>
                        </w:p>
                        <w:p w:rsidR="009077F7" w14:textId="2810F844">
                          <w:pPr>
                            <w:pStyle w:val="Referentiegegevensbold"/>
                          </w:pPr>
                        </w:p>
                        <w:p w:rsidR="009077F7" w14:textId="77777777">
                          <w:pPr>
                            <w:pStyle w:val="WitregelW1"/>
                          </w:pPr>
                        </w:p>
                        <w:p w:rsidR="009077F7" w14:textId="77777777">
                          <w:pPr>
                            <w:pStyle w:val="Referentiegegevensbold"/>
                          </w:pPr>
                          <w:r>
                            <w:t>Onze referentie</w:t>
                          </w:r>
                        </w:p>
                        <w:p w:rsidR="00EA7799" w14:textId="77777777">
                          <w:pPr>
                            <w:pStyle w:val="Referentiegegevens"/>
                          </w:pPr>
                          <w:r>
                            <w:fldChar w:fldCharType="begin"/>
                          </w:r>
                          <w:r>
                            <w:instrText xml:space="preserve"> DOCPROPERTY  "Kenmerk"  \* MERGEFORMAT </w:instrText>
                          </w:r>
                          <w:r>
                            <w:fldChar w:fldCharType="separate"/>
                          </w:r>
                          <w:r w:rsidR="00286FC1">
                            <w:t>2026-0000493120</w:t>
                          </w:r>
                          <w:r w:rsidR="00286FC1">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9077F7" w14:paraId="46CFF3C7" w14:textId="77777777">
                    <w:pPr>
                      <w:pStyle w:val="Referentiegegevensbold"/>
                    </w:pPr>
                    <w:r>
                      <w:t>DG Volkshuisvesting en Bouwen</w:t>
                    </w:r>
                  </w:p>
                  <w:p w:rsidR="009077F7" w14:paraId="32C7FC6D" w14:textId="77777777">
                    <w:pPr>
                      <w:pStyle w:val="Referentiegegevens"/>
                    </w:pPr>
                    <w:r>
                      <w:t>DGVB-WN-Koop &amp; Kapitaalmarkt</w:t>
                    </w:r>
                  </w:p>
                  <w:p w:rsidR="009077F7" w14:paraId="3D2BA0FD" w14:textId="77777777">
                    <w:pPr>
                      <w:pStyle w:val="WitregelW2"/>
                    </w:pPr>
                  </w:p>
                  <w:p w:rsidR="009077F7" w14:paraId="4DCBD703" w14:textId="2810F844">
                    <w:pPr>
                      <w:pStyle w:val="Referentiegegevensbold"/>
                    </w:pPr>
                  </w:p>
                  <w:p w:rsidR="009077F7" w14:paraId="20046469" w14:textId="77777777">
                    <w:pPr>
                      <w:pStyle w:val="WitregelW1"/>
                    </w:pPr>
                  </w:p>
                  <w:p w:rsidR="009077F7" w14:paraId="638CCD36" w14:textId="77777777">
                    <w:pPr>
                      <w:pStyle w:val="Referentiegegevensbold"/>
                    </w:pPr>
                    <w:r>
                      <w:t>Onze referentie</w:t>
                    </w:r>
                  </w:p>
                  <w:p w:rsidR="00EA7799" w14:paraId="2BA96BE2" w14:textId="77777777">
                    <w:pPr>
                      <w:pStyle w:val="Referentiegegevens"/>
                    </w:pPr>
                    <w:r>
                      <w:fldChar w:fldCharType="begin"/>
                    </w:r>
                    <w:r>
                      <w:instrText xml:space="preserve"> DOCPROPERTY  "Kenmerk"  \* MERGEFORMAT </w:instrText>
                    </w:r>
                    <w:r>
                      <w:fldChar w:fldCharType="separate"/>
                    </w:r>
                    <w:r w:rsidR="00286FC1">
                      <w:t>2026-0000493120</w:t>
                    </w:r>
                    <w:r w:rsidR="00286FC1">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090B00"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090B00" w14:paraId="16F65FAA"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7A73D8"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7A73D8" w14:paraId="6E89473A"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77F7" w14:paraId="1B0742A9"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9077F7" w14:textId="77777777">
                          <w:pPr>
                            <w:spacing w:line="240" w:lineRule="auto"/>
                          </w:pPr>
                          <w:r>
                            <w:rPr>
                              <w:noProof/>
                            </w:rPr>
                            <w:drawing>
                              <wp:inline distT="0" distB="0" distL="0" distR="0">
                                <wp:extent cx="467995" cy="1583865"/>
                                <wp:effectExtent l="0" t="0" r="0" b="0"/>
                                <wp:docPr id="78113958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781139585"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9077F7" w14:paraId="4330C0AE"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9077F7" w14:textId="77777777">
                          <w:pPr>
                            <w:spacing w:line="240" w:lineRule="auto"/>
                          </w:pPr>
                          <w:r>
                            <w:rPr>
                              <w:noProof/>
                            </w:rPr>
                            <w:drawing>
                              <wp:inline distT="0" distB="0" distL="0" distR="0">
                                <wp:extent cx="2339975" cy="1582834"/>
                                <wp:effectExtent l="0" t="0" r="0" b="0"/>
                                <wp:docPr id="504296519"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504296519"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9077F7" w14:paraId="4041E80E"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077F7"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9077F7" w14:paraId="5D15764F"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9077F7" w14:textId="77777777">
                          <w:r>
                            <w:t>Aan de voorzitter van de Tweede Kamer der Staten-Generaal</w:t>
                          </w:r>
                        </w:p>
                        <w:p w:rsidR="009077F7" w14:textId="77777777">
                          <w:r>
                            <w:t>Postbus 20018</w:t>
                          </w:r>
                        </w:p>
                        <w:p w:rsidR="009077F7" w14:textId="77777777">
                          <w:r>
                            <w:t>2500EA  Den Haag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9077F7" w14:paraId="17FCD59B" w14:textId="77777777">
                    <w:r>
                      <w:t>Aan de voorzitter van de Tweede Kamer der Staten-Generaal</w:t>
                    </w:r>
                  </w:p>
                  <w:p w:rsidR="009077F7" w14:paraId="599B5800" w14:textId="77777777">
                    <w:r>
                      <w:t>Postbus 20018</w:t>
                    </w:r>
                  </w:p>
                  <w:p w:rsidR="009077F7" w14:paraId="378BD6C9" w14:textId="77777777">
                    <w:r>
                      <w:t>2500EA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margin">
                <wp:align>right</wp:align>
              </wp:positionH>
              <wp:positionV relativeFrom="paragraph">
                <wp:posOffset>3352165</wp:posOffset>
              </wp:positionV>
              <wp:extent cx="4787900" cy="581025"/>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581025"/>
                      </a:xfrm>
                      <a:prstGeom prst="rect">
                        <a:avLst/>
                      </a:prstGeom>
                      <a:noFill/>
                    </wps:spPr>
                    <wps:txbx>
                      <w:txbxContent>
                        <w:tbl>
                          <w:tblPr>
                            <w:tblW w:w="0" w:type="auto"/>
                            <w:tblInd w:w="-120" w:type="dxa"/>
                            <w:tblLayout w:type="fixed"/>
                            <w:tblLook w:val="07E0"/>
                          </w:tblPr>
                          <w:tblGrid>
                            <w:gridCol w:w="1140"/>
                            <w:gridCol w:w="5918"/>
                          </w:tblGrid>
                          <w:tr w14:paraId="3EBFA695" w14:textId="77777777">
                            <w:tblPrEx>
                              <w:tblW w:w="0" w:type="auto"/>
                              <w:tblInd w:w="-120" w:type="dxa"/>
                              <w:tblLayout w:type="fixed"/>
                              <w:tblLook w:val="07E0"/>
                            </w:tblPrEx>
                            <w:trPr>
                              <w:trHeight w:val="240"/>
                            </w:trPr>
                            <w:tc>
                              <w:tcPr>
                                <w:tcW w:w="1140" w:type="dxa"/>
                              </w:tcPr>
                              <w:p w:rsidR="009077F7" w14:textId="77777777">
                                <w:r>
                                  <w:t>Datum</w:t>
                                </w:r>
                              </w:p>
                            </w:tc>
                            <w:tc>
                              <w:tcPr>
                                <w:tcW w:w="5918" w:type="dxa"/>
                              </w:tcPr>
                              <w:p w:rsidR="009077F7" w14:textId="1F083CE4">
                                <w:r>
                                  <w:t>27 oktober 2026</w:t>
                                </w:r>
                              </w:p>
                            </w:tc>
                          </w:tr>
                          <w:tr w14:paraId="42B451F9" w14:textId="77777777">
                            <w:tblPrEx>
                              <w:tblW w:w="0" w:type="auto"/>
                              <w:tblInd w:w="-120" w:type="dxa"/>
                              <w:tblLayout w:type="fixed"/>
                              <w:tblLook w:val="07E0"/>
                            </w:tblPrEx>
                            <w:trPr>
                              <w:trHeight w:val="240"/>
                            </w:trPr>
                            <w:tc>
                              <w:tcPr>
                                <w:tcW w:w="1140" w:type="dxa"/>
                              </w:tcPr>
                              <w:p w:rsidR="009077F7" w14:textId="77777777">
                                <w:r>
                                  <w:t>Betreft</w:t>
                                </w:r>
                              </w:p>
                            </w:tc>
                            <w:tc>
                              <w:tcPr>
                                <w:tcW w:w="5918" w:type="dxa"/>
                              </w:tcPr>
                              <w:p w:rsidR="009077F7" w14:textId="77777777">
                                <w:r>
                                  <w:fldChar w:fldCharType="begin"/>
                                </w:r>
                                <w:r>
                                  <w:instrText xml:space="preserve"> DOCPROPERTY  "Onderwerp"  \* MERGEFORMAT </w:instrText>
                                </w:r>
                                <w:r>
                                  <w:fldChar w:fldCharType="separate"/>
                                </w:r>
                                <w:r w:rsidR="00286FC1">
                                  <w:t>Evaluatie Convenant Ouderen en Toekomstbestendig Wonen</w:t>
                                </w:r>
                                <w:r w:rsidR="00286FC1">
                                  <w:fldChar w:fldCharType="end"/>
                                </w:r>
                                <w:r w:rsidR="00AB1719">
                                  <w:t xml:space="preserve"> en doorstroomfinanciering ouderen</w:t>
                                </w:r>
                              </w:p>
                            </w:tc>
                          </w:tr>
                        </w:tbl>
                        <w:p w:rsidR="00090B00"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7" type="#_x0000_t202" style="width:377pt;height:45.75pt;margin-top:263.95pt;margin-left:325.8pt;mso-height-percent:0;mso-height-relative:margin;mso-position-horizontal:right;mso-position-horizontal-relative:margin;mso-wrap-distance-bottom:0;mso-wrap-distance-left:0;mso-wrap-distance-right:0;mso-wrap-distance-top:0;mso-wrap-style:square;position:absolute;v-text-anchor:top;visibility:visible;z-index:251675648" filled="f" stroked="f">
              <v:textbox inset="0,0,0,0">
                <w:txbxContent>
                  <w:tbl>
                    <w:tblPr>
                      <w:tblW w:w="0" w:type="auto"/>
                      <w:tblInd w:w="-120" w:type="dxa"/>
                      <w:tblLayout w:type="fixed"/>
                      <w:tblLook w:val="07E0"/>
                    </w:tblPr>
                    <w:tblGrid>
                      <w:gridCol w:w="1140"/>
                      <w:gridCol w:w="5918"/>
                    </w:tblGrid>
                    <w:tr w14:paraId="3EBFA694" w14:textId="77777777">
                      <w:tblPrEx>
                        <w:tblW w:w="0" w:type="auto"/>
                        <w:tblInd w:w="-120" w:type="dxa"/>
                        <w:tblLayout w:type="fixed"/>
                        <w:tblLook w:val="07E0"/>
                      </w:tblPrEx>
                      <w:trPr>
                        <w:trHeight w:val="240"/>
                      </w:trPr>
                      <w:tc>
                        <w:tcPr>
                          <w:tcW w:w="1140" w:type="dxa"/>
                        </w:tcPr>
                        <w:p w:rsidR="009077F7" w14:paraId="5D185677" w14:textId="77777777">
                          <w:r>
                            <w:t>Datum</w:t>
                          </w:r>
                        </w:p>
                      </w:tc>
                      <w:tc>
                        <w:tcPr>
                          <w:tcW w:w="5918" w:type="dxa"/>
                        </w:tcPr>
                        <w:p w:rsidR="009077F7" w14:paraId="09B9FA30" w14:textId="1F083CE4">
                          <w:r>
                            <w:t>27 oktober 2026</w:t>
                          </w:r>
                        </w:p>
                      </w:tc>
                    </w:tr>
                    <w:tr w14:paraId="42B451F8" w14:textId="77777777">
                      <w:tblPrEx>
                        <w:tblW w:w="0" w:type="auto"/>
                        <w:tblInd w:w="-120" w:type="dxa"/>
                        <w:tblLayout w:type="fixed"/>
                        <w:tblLook w:val="07E0"/>
                      </w:tblPrEx>
                      <w:trPr>
                        <w:trHeight w:val="240"/>
                      </w:trPr>
                      <w:tc>
                        <w:tcPr>
                          <w:tcW w:w="1140" w:type="dxa"/>
                        </w:tcPr>
                        <w:p w:rsidR="009077F7" w14:paraId="59665CDF" w14:textId="77777777">
                          <w:r>
                            <w:t>Betreft</w:t>
                          </w:r>
                        </w:p>
                      </w:tc>
                      <w:tc>
                        <w:tcPr>
                          <w:tcW w:w="5918" w:type="dxa"/>
                        </w:tcPr>
                        <w:p w:rsidR="009077F7" w14:paraId="4705C070" w14:textId="77777777">
                          <w:r>
                            <w:fldChar w:fldCharType="begin"/>
                          </w:r>
                          <w:r>
                            <w:instrText xml:space="preserve"> DOCPROPERTY  "Onderwerp"  \* MERGEFORMAT </w:instrText>
                          </w:r>
                          <w:r>
                            <w:fldChar w:fldCharType="separate"/>
                          </w:r>
                          <w:r w:rsidR="00286FC1">
                            <w:t>Evaluatie Convenant Ouderen en Toekomstbestendig Wonen</w:t>
                          </w:r>
                          <w:r w:rsidR="00286FC1">
                            <w:fldChar w:fldCharType="end"/>
                          </w:r>
                          <w:r w:rsidR="00AB1719">
                            <w:t xml:space="preserve"> en doorstroomfinanciering ouderen</w:t>
                          </w:r>
                        </w:p>
                      </w:tc>
                    </w:tr>
                  </w:tbl>
                  <w:p w:rsidR="00090B00" w14:paraId="1AB9634C" w14:textId="77777777"/>
                </w:txbxContent>
              </v:textbox>
              <w10:wrap anchorx="margin"/>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9077F7" w14:textId="77777777">
                          <w:pPr>
                            <w:pStyle w:val="Referentiegegevensbold"/>
                          </w:pPr>
                          <w:r>
                            <w:t>DG Volkshuisvesting en Bouwen</w:t>
                          </w:r>
                        </w:p>
                        <w:p w:rsidR="009077F7" w14:textId="77777777">
                          <w:pPr>
                            <w:pStyle w:val="Referentiegegevens"/>
                          </w:pPr>
                          <w:r>
                            <w:t>DGVB-WN-Koop &amp; Kapitaalmarkt</w:t>
                          </w:r>
                        </w:p>
                        <w:p w:rsidR="009077F7" w14:textId="77777777">
                          <w:pPr>
                            <w:pStyle w:val="WitregelW1"/>
                          </w:pPr>
                        </w:p>
                        <w:p w:rsidR="009077F7" w:rsidRPr="00B5797C" w14:textId="77777777">
                          <w:pPr>
                            <w:pStyle w:val="Referentiegegevens"/>
                            <w:rPr>
                              <w:lang w:val="de-DE"/>
                            </w:rPr>
                          </w:pPr>
                          <w:r w:rsidRPr="00B5797C">
                            <w:rPr>
                              <w:lang w:val="de-DE"/>
                            </w:rPr>
                            <w:t>Turfmarkt</w:t>
                          </w:r>
                          <w:r w:rsidRPr="00B5797C">
                            <w:rPr>
                              <w:lang w:val="de-DE"/>
                            </w:rPr>
                            <w:t xml:space="preserve"> 147</w:t>
                          </w:r>
                        </w:p>
                        <w:p w:rsidR="009077F7" w:rsidRPr="00B5797C" w14:textId="77777777">
                          <w:pPr>
                            <w:pStyle w:val="Referentiegegevens"/>
                            <w:rPr>
                              <w:lang w:val="de-DE"/>
                            </w:rPr>
                          </w:pPr>
                          <w:r w:rsidRPr="00B5797C">
                            <w:rPr>
                              <w:lang w:val="de-DE"/>
                            </w:rPr>
                            <w:t>2511 DP Den Haag</w:t>
                          </w:r>
                        </w:p>
                        <w:p w:rsidR="009077F7" w:rsidRPr="00B5797C" w14:textId="77777777">
                          <w:pPr>
                            <w:pStyle w:val="Referentiegegevens"/>
                            <w:rPr>
                              <w:lang w:val="de-DE"/>
                            </w:rPr>
                          </w:pPr>
                          <w:r w:rsidRPr="00B5797C">
                            <w:rPr>
                              <w:lang w:val="de-DE"/>
                            </w:rPr>
                            <w:t>Postbus 20011</w:t>
                          </w:r>
                        </w:p>
                        <w:p w:rsidR="009077F7" w14:textId="77777777">
                          <w:pPr>
                            <w:pStyle w:val="Referentiegegevens"/>
                          </w:pPr>
                          <w:r>
                            <w:t>2500 EA  Den Haag</w:t>
                          </w:r>
                        </w:p>
                        <w:p w:rsidR="009077F7" w14:textId="77777777">
                          <w:pPr>
                            <w:pStyle w:val="WitregelW1"/>
                          </w:pPr>
                        </w:p>
                        <w:p w:rsidR="009077F7" w14:textId="77777777">
                          <w:pPr>
                            <w:pStyle w:val="WitregelW2"/>
                          </w:pPr>
                        </w:p>
                        <w:p w:rsidR="009077F7" w14:textId="77777777">
                          <w:pPr>
                            <w:pStyle w:val="Referentiegegevensbold"/>
                          </w:pPr>
                          <w:r>
                            <w:t>Onze referentie</w:t>
                          </w:r>
                        </w:p>
                        <w:p w:rsidR="00EA7799" w14:textId="77777777">
                          <w:pPr>
                            <w:pStyle w:val="Referentiegegevens"/>
                          </w:pPr>
                          <w:r>
                            <w:fldChar w:fldCharType="begin"/>
                          </w:r>
                          <w:r>
                            <w:instrText xml:space="preserve"> DOCPROPERTY  "Kenmerk"  \* MERGEFORMAT </w:instrText>
                          </w:r>
                          <w:r>
                            <w:fldChar w:fldCharType="separate"/>
                          </w:r>
                          <w:r w:rsidR="00286FC1">
                            <w:t>2026-0000493120</w:t>
                          </w:r>
                          <w:r w:rsidR="00286FC1">
                            <w:fldChar w:fldCharType="end"/>
                          </w:r>
                        </w:p>
                        <w:p w:rsidR="009077F7" w14:textId="77777777">
                          <w:pPr>
                            <w:pStyle w:val="WitregelW1"/>
                          </w:pPr>
                        </w:p>
                        <w:p w:rsidR="009077F7" w14:textId="77777777"/>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9077F7" w14:paraId="4110636D" w14:textId="77777777">
                    <w:pPr>
                      <w:pStyle w:val="Referentiegegevensbold"/>
                    </w:pPr>
                    <w:r>
                      <w:t>DG Volkshuisvesting en Bouwen</w:t>
                    </w:r>
                  </w:p>
                  <w:p w:rsidR="009077F7" w14:paraId="2CC3235E" w14:textId="77777777">
                    <w:pPr>
                      <w:pStyle w:val="Referentiegegevens"/>
                    </w:pPr>
                    <w:r>
                      <w:t>DGVB-WN-Koop &amp; Kapitaalmarkt</w:t>
                    </w:r>
                  </w:p>
                  <w:p w:rsidR="009077F7" w14:paraId="55308DA9" w14:textId="77777777">
                    <w:pPr>
                      <w:pStyle w:val="WitregelW1"/>
                    </w:pPr>
                  </w:p>
                  <w:p w:rsidR="009077F7" w:rsidRPr="00B5797C" w14:paraId="42B7754B" w14:textId="77777777">
                    <w:pPr>
                      <w:pStyle w:val="Referentiegegevens"/>
                      <w:rPr>
                        <w:lang w:val="de-DE"/>
                      </w:rPr>
                    </w:pPr>
                    <w:r w:rsidRPr="00B5797C">
                      <w:rPr>
                        <w:lang w:val="de-DE"/>
                      </w:rPr>
                      <w:t>Turfmarkt</w:t>
                    </w:r>
                    <w:r w:rsidRPr="00B5797C">
                      <w:rPr>
                        <w:lang w:val="de-DE"/>
                      </w:rPr>
                      <w:t xml:space="preserve"> 147</w:t>
                    </w:r>
                  </w:p>
                  <w:p w:rsidR="009077F7" w:rsidRPr="00B5797C" w14:paraId="131BA37A" w14:textId="77777777">
                    <w:pPr>
                      <w:pStyle w:val="Referentiegegevens"/>
                      <w:rPr>
                        <w:lang w:val="de-DE"/>
                      </w:rPr>
                    </w:pPr>
                    <w:r w:rsidRPr="00B5797C">
                      <w:rPr>
                        <w:lang w:val="de-DE"/>
                      </w:rPr>
                      <w:t>2511 DP Den Haag</w:t>
                    </w:r>
                  </w:p>
                  <w:p w:rsidR="009077F7" w:rsidRPr="00B5797C" w14:paraId="265B4202" w14:textId="77777777">
                    <w:pPr>
                      <w:pStyle w:val="Referentiegegevens"/>
                      <w:rPr>
                        <w:lang w:val="de-DE"/>
                      </w:rPr>
                    </w:pPr>
                    <w:r w:rsidRPr="00B5797C">
                      <w:rPr>
                        <w:lang w:val="de-DE"/>
                      </w:rPr>
                      <w:t>Postbus 20011</w:t>
                    </w:r>
                  </w:p>
                  <w:p w:rsidR="009077F7" w14:paraId="16001388" w14:textId="77777777">
                    <w:pPr>
                      <w:pStyle w:val="Referentiegegevens"/>
                    </w:pPr>
                    <w:r>
                      <w:t>2500 EA  Den Haag</w:t>
                    </w:r>
                  </w:p>
                  <w:p w:rsidR="009077F7" w14:paraId="1BFA02DA" w14:textId="77777777">
                    <w:pPr>
                      <w:pStyle w:val="WitregelW1"/>
                    </w:pPr>
                  </w:p>
                  <w:p w:rsidR="009077F7" w14:paraId="31DE66CB" w14:textId="77777777">
                    <w:pPr>
                      <w:pStyle w:val="WitregelW2"/>
                    </w:pPr>
                  </w:p>
                  <w:p w:rsidR="009077F7" w14:paraId="3C1A58C1" w14:textId="77777777">
                    <w:pPr>
                      <w:pStyle w:val="Referentiegegevensbold"/>
                    </w:pPr>
                    <w:r>
                      <w:t>Onze referentie</w:t>
                    </w:r>
                  </w:p>
                  <w:p w:rsidR="00EA7799" w14:paraId="59CBCA3D" w14:textId="77777777">
                    <w:pPr>
                      <w:pStyle w:val="Referentiegegevens"/>
                    </w:pPr>
                    <w:r>
                      <w:fldChar w:fldCharType="begin"/>
                    </w:r>
                    <w:r>
                      <w:instrText xml:space="preserve"> DOCPROPERTY  "Kenmerk"  \* MERGEFORMAT </w:instrText>
                    </w:r>
                    <w:r>
                      <w:fldChar w:fldCharType="separate"/>
                    </w:r>
                    <w:r w:rsidR="00286FC1">
                      <w:t>2026-0000493120</w:t>
                    </w:r>
                    <w:r w:rsidR="00286FC1">
                      <w:fldChar w:fldCharType="end"/>
                    </w:r>
                  </w:p>
                  <w:p w:rsidR="009077F7" w14:paraId="7A1A761A" w14:textId="77777777">
                    <w:pPr>
                      <w:pStyle w:val="WitregelW1"/>
                    </w:pPr>
                  </w:p>
                  <w:p w:rsidR="009077F7" w14:paraId="6431AB85" w14:textId="77777777"/>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7A73D8"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7A73D8" w14:paraId="40A4674A"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090B00"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090B00" w14:paraId="776A3E9B"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E21BEFC"/>
    <w:multiLevelType w:val="multilevel"/>
    <w:tmpl w:val="93121ED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B4377872"/>
    <w:multiLevelType w:val="multilevel"/>
    <w:tmpl w:val="214D2C03"/>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2BCA5DFC"/>
    <w:multiLevelType w:val="multilevel"/>
    <w:tmpl w:val="2F6BF0E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42A1EE6A"/>
    <w:multiLevelType w:val="multilevel"/>
    <w:tmpl w:val="F195B6D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nsid w:val="50B90693"/>
    <w:multiLevelType w:val="hybridMultilevel"/>
    <w:tmpl w:val="D9A8B24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num w:numId="1" w16cid:durableId="1205369433">
    <w:abstractNumId w:val="2"/>
  </w:num>
  <w:num w:numId="2" w16cid:durableId="1526560564">
    <w:abstractNumId w:val="3"/>
  </w:num>
  <w:num w:numId="3" w16cid:durableId="1110780411">
    <w:abstractNumId w:val="0"/>
  </w:num>
  <w:num w:numId="4" w16cid:durableId="244581061">
    <w:abstractNumId w:val="1"/>
  </w:num>
  <w:num w:numId="5" w16cid:durableId="15440980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97C"/>
    <w:rsid w:val="00003223"/>
    <w:rsid w:val="00007AD3"/>
    <w:rsid w:val="000159D6"/>
    <w:rsid w:val="00021673"/>
    <w:rsid w:val="000273C2"/>
    <w:rsid w:val="00031FC8"/>
    <w:rsid w:val="00042102"/>
    <w:rsid w:val="00046900"/>
    <w:rsid w:val="00062DA7"/>
    <w:rsid w:val="000705DB"/>
    <w:rsid w:val="00073485"/>
    <w:rsid w:val="0007608C"/>
    <w:rsid w:val="000767F7"/>
    <w:rsid w:val="00082E99"/>
    <w:rsid w:val="0008731D"/>
    <w:rsid w:val="00090B00"/>
    <w:rsid w:val="000A6E87"/>
    <w:rsid w:val="000B09EF"/>
    <w:rsid w:val="000B1057"/>
    <w:rsid w:val="000B6146"/>
    <w:rsid w:val="000E6E57"/>
    <w:rsid w:val="0010068C"/>
    <w:rsid w:val="001211D9"/>
    <w:rsid w:val="001256F3"/>
    <w:rsid w:val="00137250"/>
    <w:rsid w:val="001407ED"/>
    <w:rsid w:val="00142E8E"/>
    <w:rsid w:val="00145BC1"/>
    <w:rsid w:val="001807DD"/>
    <w:rsid w:val="0018229B"/>
    <w:rsid w:val="00187387"/>
    <w:rsid w:val="001B0500"/>
    <w:rsid w:val="001B245F"/>
    <w:rsid w:val="001B76AF"/>
    <w:rsid w:val="001C4537"/>
    <w:rsid w:val="001C58E1"/>
    <w:rsid w:val="001F3DFD"/>
    <w:rsid w:val="00204502"/>
    <w:rsid w:val="00213F0D"/>
    <w:rsid w:val="00223995"/>
    <w:rsid w:val="00234459"/>
    <w:rsid w:val="00241722"/>
    <w:rsid w:val="00242D03"/>
    <w:rsid w:val="002470F2"/>
    <w:rsid w:val="002507CE"/>
    <w:rsid w:val="002538CB"/>
    <w:rsid w:val="00285AE4"/>
    <w:rsid w:val="00286FC1"/>
    <w:rsid w:val="00287860"/>
    <w:rsid w:val="002906B9"/>
    <w:rsid w:val="00297A9B"/>
    <w:rsid w:val="002A0241"/>
    <w:rsid w:val="002B2073"/>
    <w:rsid w:val="002B3516"/>
    <w:rsid w:val="002D3259"/>
    <w:rsid w:val="002E23DD"/>
    <w:rsid w:val="002F3F76"/>
    <w:rsid w:val="002F5670"/>
    <w:rsid w:val="00302FFC"/>
    <w:rsid w:val="00307B87"/>
    <w:rsid w:val="0031289F"/>
    <w:rsid w:val="00330C59"/>
    <w:rsid w:val="00386479"/>
    <w:rsid w:val="003920BA"/>
    <w:rsid w:val="003A326C"/>
    <w:rsid w:val="003B2F17"/>
    <w:rsid w:val="003E531F"/>
    <w:rsid w:val="00433A0A"/>
    <w:rsid w:val="00462160"/>
    <w:rsid w:val="00473288"/>
    <w:rsid w:val="00484842"/>
    <w:rsid w:val="00485B30"/>
    <w:rsid w:val="004907AD"/>
    <w:rsid w:val="00490A0C"/>
    <w:rsid w:val="0049224F"/>
    <w:rsid w:val="004A12AB"/>
    <w:rsid w:val="004A7961"/>
    <w:rsid w:val="004A7DF8"/>
    <w:rsid w:val="004C3E7E"/>
    <w:rsid w:val="004F2BC1"/>
    <w:rsid w:val="00502768"/>
    <w:rsid w:val="0051382C"/>
    <w:rsid w:val="00514ABC"/>
    <w:rsid w:val="00515199"/>
    <w:rsid w:val="00516257"/>
    <w:rsid w:val="005206AD"/>
    <w:rsid w:val="00532525"/>
    <w:rsid w:val="0053323F"/>
    <w:rsid w:val="00536566"/>
    <w:rsid w:val="00542675"/>
    <w:rsid w:val="00584C71"/>
    <w:rsid w:val="005A606E"/>
    <w:rsid w:val="005C002C"/>
    <w:rsid w:val="005C2CDC"/>
    <w:rsid w:val="005C6E4E"/>
    <w:rsid w:val="005D33FE"/>
    <w:rsid w:val="005F35D7"/>
    <w:rsid w:val="005F5912"/>
    <w:rsid w:val="00620506"/>
    <w:rsid w:val="0062549F"/>
    <w:rsid w:val="00671DB2"/>
    <w:rsid w:val="00693694"/>
    <w:rsid w:val="00694BBC"/>
    <w:rsid w:val="006A3968"/>
    <w:rsid w:val="006A4F26"/>
    <w:rsid w:val="006C49EF"/>
    <w:rsid w:val="006C4FBB"/>
    <w:rsid w:val="007303DE"/>
    <w:rsid w:val="00735D3C"/>
    <w:rsid w:val="00756E59"/>
    <w:rsid w:val="0076025C"/>
    <w:rsid w:val="00780EA7"/>
    <w:rsid w:val="0078319F"/>
    <w:rsid w:val="00793E95"/>
    <w:rsid w:val="007A73D8"/>
    <w:rsid w:val="007E7D5C"/>
    <w:rsid w:val="00810E97"/>
    <w:rsid w:val="00812720"/>
    <w:rsid w:val="0084741E"/>
    <w:rsid w:val="00874FC4"/>
    <w:rsid w:val="00880BDE"/>
    <w:rsid w:val="00885BB2"/>
    <w:rsid w:val="00887695"/>
    <w:rsid w:val="00892D44"/>
    <w:rsid w:val="008A532E"/>
    <w:rsid w:val="008B6DD6"/>
    <w:rsid w:val="008E0A9C"/>
    <w:rsid w:val="008E46ED"/>
    <w:rsid w:val="009077F7"/>
    <w:rsid w:val="00916078"/>
    <w:rsid w:val="00936BB1"/>
    <w:rsid w:val="00951B61"/>
    <w:rsid w:val="00961053"/>
    <w:rsid w:val="00972998"/>
    <w:rsid w:val="009831DD"/>
    <w:rsid w:val="0098397B"/>
    <w:rsid w:val="009B45EE"/>
    <w:rsid w:val="009D0DCF"/>
    <w:rsid w:val="009D2F77"/>
    <w:rsid w:val="009F13CB"/>
    <w:rsid w:val="009F4833"/>
    <w:rsid w:val="00A111B1"/>
    <w:rsid w:val="00A16317"/>
    <w:rsid w:val="00A238AE"/>
    <w:rsid w:val="00A265FD"/>
    <w:rsid w:val="00A5780A"/>
    <w:rsid w:val="00A763CD"/>
    <w:rsid w:val="00A765BB"/>
    <w:rsid w:val="00A9086E"/>
    <w:rsid w:val="00A94C79"/>
    <w:rsid w:val="00A960DE"/>
    <w:rsid w:val="00AB1719"/>
    <w:rsid w:val="00AD7CC9"/>
    <w:rsid w:val="00AE0AFA"/>
    <w:rsid w:val="00AE539A"/>
    <w:rsid w:val="00AE6BB2"/>
    <w:rsid w:val="00AF0643"/>
    <w:rsid w:val="00AF11B2"/>
    <w:rsid w:val="00B5797C"/>
    <w:rsid w:val="00B84DC0"/>
    <w:rsid w:val="00B871E0"/>
    <w:rsid w:val="00BA03B9"/>
    <w:rsid w:val="00BB5FDB"/>
    <w:rsid w:val="00BF4A59"/>
    <w:rsid w:val="00C07CDC"/>
    <w:rsid w:val="00C107EE"/>
    <w:rsid w:val="00C318E9"/>
    <w:rsid w:val="00C364B9"/>
    <w:rsid w:val="00C575DB"/>
    <w:rsid w:val="00C7438E"/>
    <w:rsid w:val="00C75D57"/>
    <w:rsid w:val="00C938CB"/>
    <w:rsid w:val="00CB454E"/>
    <w:rsid w:val="00CE7E1B"/>
    <w:rsid w:val="00CF1C81"/>
    <w:rsid w:val="00D16655"/>
    <w:rsid w:val="00D21419"/>
    <w:rsid w:val="00D429AA"/>
    <w:rsid w:val="00D80B99"/>
    <w:rsid w:val="00DC3CA1"/>
    <w:rsid w:val="00DD731B"/>
    <w:rsid w:val="00DE70AF"/>
    <w:rsid w:val="00DF40C1"/>
    <w:rsid w:val="00E25302"/>
    <w:rsid w:val="00E43AA6"/>
    <w:rsid w:val="00E63907"/>
    <w:rsid w:val="00EA7799"/>
    <w:rsid w:val="00EC4A99"/>
    <w:rsid w:val="00ED649B"/>
    <w:rsid w:val="00F01FC1"/>
    <w:rsid w:val="00F03772"/>
    <w:rsid w:val="00F1557F"/>
    <w:rsid w:val="00F31666"/>
    <w:rsid w:val="00F4087D"/>
    <w:rsid w:val="00F5079C"/>
    <w:rsid w:val="00F76EA3"/>
    <w:rsid w:val="00F84F06"/>
    <w:rsid w:val="00F86B61"/>
    <w:rsid w:val="00F9040C"/>
    <w:rsid w:val="00F9042B"/>
    <w:rsid w:val="00F96380"/>
    <w:rsid w:val="00FA5C2E"/>
    <w:rsid w:val="00FB49A7"/>
    <w:rsid w:val="00FB5B94"/>
    <w:rsid w:val="00FC0D0E"/>
    <w:rsid w:val="00FD750F"/>
    <w:rsid w:val="00FF774E"/>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3EF85C84"/>
  <w15:docId w15:val="{2E76FFC1-E415-4FBF-9B8F-916C5E35D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tabs>
        <w:tab w:val="num" w:pos="360"/>
      </w:tabs>
      <w:spacing w:before="360"/>
      <w:ind w:left="0" w:firstLine="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B5797C"/>
    <w:pPr>
      <w:tabs>
        <w:tab w:val="center" w:pos="4536"/>
        <w:tab w:val="right" w:pos="9072"/>
      </w:tabs>
      <w:spacing w:line="240" w:lineRule="auto"/>
    </w:pPr>
  </w:style>
  <w:style w:type="character" w:customStyle="1" w:styleId="KoptekstChar">
    <w:name w:val="Koptekst Char"/>
    <w:basedOn w:val="DefaultParagraphFont"/>
    <w:link w:val="Header"/>
    <w:uiPriority w:val="99"/>
    <w:rsid w:val="00B5797C"/>
    <w:rPr>
      <w:rFonts w:ascii="Verdana" w:hAnsi="Verdana"/>
      <w:color w:val="000000"/>
      <w:sz w:val="18"/>
      <w:szCs w:val="18"/>
    </w:rPr>
  </w:style>
  <w:style w:type="paragraph" w:styleId="Footer">
    <w:name w:val="footer"/>
    <w:basedOn w:val="Normal"/>
    <w:link w:val="VoettekstChar"/>
    <w:uiPriority w:val="99"/>
    <w:unhideWhenUsed/>
    <w:rsid w:val="00B5797C"/>
    <w:pPr>
      <w:tabs>
        <w:tab w:val="center" w:pos="4536"/>
        <w:tab w:val="right" w:pos="9072"/>
      </w:tabs>
      <w:spacing w:line="240" w:lineRule="auto"/>
    </w:pPr>
  </w:style>
  <w:style w:type="character" w:customStyle="1" w:styleId="VoettekstChar">
    <w:name w:val="Voettekst Char"/>
    <w:basedOn w:val="DefaultParagraphFont"/>
    <w:link w:val="Footer"/>
    <w:uiPriority w:val="99"/>
    <w:rsid w:val="00B5797C"/>
    <w:rPr>
      <w:rFonts w:ascii="Verdana" w:hAnsi="Verdana"/>
      <w:color w:val="000000"/>
      <w:sz w:val="18"/>
      <w:szCs w:val="18"/>
    </w:rPr>
  </w:style>
  <w:style w:type="paragraph" w:styleId="Revision">
    <w:name w:val="Revision"/>
    <w:hidden/>
    <w:uiPriority w:val="99"/>
    <w:semiHidden/>
    <w:rsid w:val="004A12AB"/>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4A12AB"/>
    <w:rPr>
      <w:sz w:val="16"/>
      <w:szCs w:val="16"/>
    </w:rPr>
  </w:style>
  <w:style w:type="paragraph" w:styleId="CommentText">
    <w:name w:val="annotation text"/>
    <w:basedOn w:val="Normal"/>
    <w:link w:val="TekstopmerkingChar"/>
    <w:uiPriority w:val="99"/>
    <w:unhideWhenUsed/>
    <w:rsid w:val="004A12AB"/>
    <w:pPr>
      <w:spacing w:line="240" w:lineRule="auto"/>
    </w:pPr>
    <w:rPr>
      <w:sz w:val="20"/>
      <w:szCs w:val="20"/>
    </w:rPr>
  </w:style>
  <w:style w:type="character" w:customStyle="1" w:styleId="TekstopmerkingChar">
    <w:name w:val="Tekst opmerking Char"/>
    <w:basedOn w:val="DefaultParagraphFont"/>
    <w:link w:val="CommentText"/>
    <w:uiPriority w:val="99"/>
    <w:rsid w:val="004A12AB"/>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4A12AB"/>
    <w:rPr>
      <w:b/>
      <w:bCs/>
    </w:rPr>
  </w:style>
  <w:style w:type="character" w:customStyle="1" w:styleId="OnderwerpvanopmerkingChar">
    <w:name w:val="Onderwerp van opmerking Char"/>
    <w:basedOn w:val="TekstopmerkingChar"/>
    <w:link w:val="CommentSubject"/>
    <w:uiPriority w:val="99"/>
    <w:semiHidden/>
    <w:rsid w:val="004A12AB"/>
    <w:rPr>
      <w:rFonts w:ascii="Verdana" w:hAnsi="Verdana"/>
      <w:b/>
      <w:bCs/>
      <w:color w:val="000000"/>
    </w:rPr>
  </w:style>
  <w:style w:type="paragraph" w:styleId="FootnoteText">
    <w:name w:val="footnote text"/>
    <w:basedOn w:val="Normal"/>
    <w:link w:val="VoetnoottekstChar"/>
    <w:uiPriority w:val="99"/>
    <w:semiHidden/>
    <w:unhideWhenUsed/>
    <w:rsid w:val="00FA5C2E"/>
    <w:pPr>
      <w:spacing w:line="240" w:lineRule="auto"/>
    </w:pPr>
    <w:rPr>
      <w:sz w:val="20"/>
      <w:szCs w:val="20"/>
    </w:rPr>
  </w:style>
  <w:style w:type="character" w:customStyle="1" w:styleId="VoetnoottekstChar">
    <w:name w:val="Voetnoottekst Char"/>
    <w:basedOn w:val="DefaultParagraphFont"/>
    <w:link w:val="FootnoteText"/>
    <w:uiPriority w:val="99"/>
    <w:semiHidden/>
    <w:rsid w:val="00FA5C2E"/>
    <w:rPr>
      <w:rFonts w:ascii="Verdana" w:hAnsi="Verdana"/>
      <w:color w:val="000000"/>
    </w:rPr>
  </w:style>
  <w:style w:type="character" w:styleId="FootnoteReference">
    <w:name w:val="footnote reference"/>
    <w:basedOn w:val="DefaultParagraphFont"/>
    <w:uiPriority w:val="99"/>
    <w:semiHidden/>
    <w:unhideWhenUsed/>
    <w:rsid w:val="00FA5C2E"/>
    <w:rPr>
      <w:vertAlign w:val="superscript"/>
    </w:rPr>
  </w:style>
  <w:style w:type="character" w:styleId="FollowedHyperlink">
    <w:name w:val="FollowedHyperlink"/>
    <w:basedOn w:val="DefaultParagraphFont"/>
    <w:uiPriority w:val="99"/>
    <w:semiHidden/>
    <w:unhideWhenUsed/>
    <w:rsid w:val="00584C71"/>
    <w:rPr>
      <w:color w:val="96607D" w:themeColor="followedHyperlink"/>
      <w:u w:val="single"/>
    </w:rPr>
  </w:style>
  <w:style w:type="character" w:styleId="UnresolvedMention">
    <w:name w:val="Unresolved Mention"/>
    <w:basedOn w:val="DefaultParagraphFont"/>
    <w:uiPriority w:val="99"/>
    <w:semiHidden/>
    <w:unhideWhenUsed/>
    <w:rsid w:val="00FF77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3.xml" Id="rId10" /><Relationship Type="http://schemas.openxmlformats.org/officeDocument/2006/relationships/footer" Target="footer3.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6" /><Relationship Type="http://schemas.openxmlformats.org/officeDocument/2006/relationships/header" Target="header2.xml" Id="rId7" /><Relationship Type="http://schemas.openxmlformats.org/officeDocument/2006/relationships/footer" Target="footer1.xml" Id="rId8" /><Relationship Type="http://schemas.openxmlformats.org/officeDocument/2006/relationships/footer" Target="footer2.xm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rijksoverheid.nl/documenten/convenanten/2024/04/17/convenant-ouderen-en-toekomstbestendig-wonen" TargetMode="External" /><Relationship Id="rId2" Type="http://schemas.openxmlformats.org/officeDocument/2006/relationships/hyperlink" Target="https://www.dnb.nl/voor-de-sector/open-boek-toezicht/sectoren/banken/prudentieel-toezicht/qa/qa-pensioeninkomen-en-levensverwachti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1993</ap:Words>
  <ap:Characters>10967</ap:Characters>
  <ap:DocSecurity>0</ap:DocSecurity>
  <ap:Lines>91</ap:Lines>
  <ap:Paragraphs>25</ap:Paragraphs>
  <ap:ScaleCrop>false</ap:ScaleCrop>
  <ap:HeadingPairs>
    <vt:vector baseType="variant" size="2">
      <vt:variant>
        <vt:lpstr>Titel</vt:lpstr>
      </vt:variant>
      <vt:variant>
        <vt:i4>1</vt:i4>
      </vt:variant>
    </vt:vector>
  </ap:HeadingPairs>
  <ap:TitlesOfParts>
    <vt:vector baseType="lpstr" size="1">
      <vt:lpstr>Brief - Evaluatie Convenant Ouderen en Toekomstbestendig Wonen</vt:lpstr>
    </vt:vector>
  </ap:TitlesOfParts>
  <ap:LinksUpToDate>false</ap:LinksUpToDate>
  <ap:CharactersWithSpaces>12935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lastPrinted>2026-09-23T08:00:00.0000000Z</lastPrinted>
  <dcterms:created xsi:type="dcterms:W3CDTF">2026-10-01T06:10:00.0000000Z</dcterms:created>
  <dcterms:modified xsi:type="dcterms:W3CDTF">2026-10-27T13:29:00.0000000Z</dcterms:modified>
  <dc:creator/>
  <lastModifiedBy/>
  <dc:description>------------------------</dc:description>
  <dc:subject/>
  <keywords/>
  <version/>
  <category/>
</coreProperties>
</file>