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2026Z23118</w:t>
        <w:br/>
      </w:r>
      <w:proofErr w:type="spellEnd"/>
    </w:p>
    <w:p>
      <w:pPr>
        <w:pStyle w:val="Normal"/>
        <w:rPr>
          <w:b w:val="1"/>
          <w:bCs w:val="1"/>
        </w:rPr>
      </w:pPr>
      <w:r w:rsidR="250AE766">
        <w:rPr>
          <w:b w:val="0"/>
          <w:bCs w:val="0"/>
        </w:rPr>
        <w:t>(ingezonden 27 oktober 2026)</w:t>
        <w:br/>
      </w:r>
    </w:p>
    <w:p>
      <w:r>
        <w:t xml:space="preserve">Vragen van het lid Mohandis (PRO) aan de minister en staatssecretaris van Binnenlandse Zaken en Koninkrijksrelaties over de berichtgeving inzake de kabinetsplannen met betrekking tot de bezuiniging op de ambtelijke organisatie</w:t>
      </w:r>
      <w:r>
        <w:br/>
      </w:r>
    </w:p>
    <w:p>
      <w:r>
        <w:t xml:space="preserve"> </w:t>
      </w:r>
      <w:r>
        <w:br/>
      </w:r>
    </w:p>
    <w:p>
      <w:pPr>
        <w:pStyle w:val="ListParagraph"/>
        <w:numPr>
          <w:ilvl w:val="0"/>
          <w:numId w:val="100523350"/>
        </w:numPr>
        <w:ind w:left="360"/>
      </w:pPr>
      <w:r>
        <w:t xml:space="preserve">Wat is de reden dat op maandagochtend 26 oktober in diverse media, onder andere door middel van een interview in het Algemeen Dagblad, te lezen was over de kabinetsplannen met betrekking tot de bezuiniging op de ambtelijke organisatie, terwijl de Kamer de brief pas ruim na die berichtgeving in de media ontving?</w:t>
      </w:r>
      <w:r>
        <w:br/>
      </w:r>
    </w:p>
    <w:p>
      <w:pPr>
        <w:pStyle w:val="ListParagraph"/>
        <w:numPr>
          <w:ilvl w:val="0"/>
          <w:numId w:val="100523350"/>
        </w:numPr>
        <w:ind w:left="360"/>
      </w:pPr>
      <w:r>
        <w:t xml:space="preserve">Deelt u nog steeds de mening dat het in het belang van goede staatsrechtelijke verhoudingen is dat de Kamer altijd eerst wordt geïnformeerd? Zo nee, waarom niet?</w:t>
      </w:r>
      <w:r>
        <w:br/>
      </w:r>
    </w:p>
    <w:p>
      <w:pPr>
        <w:pStyle w:val="ListParagraph"/>
        <w:numPr>
          <w:ilvl w:val="0"/>
          <w:numId w:val="100523350"/>
        </w:numPr>
        <w:ind w:left="360"/>
      </w:pPr>
      <w:r>
        <w:t xml:space="preserve">Wat is de reden dat u ervoor kiest om met name in de uitvoering fors te gaan snijden? Wat zijn de gevolgen hiervan voor de uitvoering van belangrijke overheidstaken? En hoe voorkomt u hiermee dat de uitvoering verder vastloopt?</w:t>
      </w:r>
      <w:r>
        <w:br/>
      </w:r>
    </w:p>
    <w:p>
      <w:pPr>
        <w:pStyle w:val="ListParagraph"/>
        <w:numPr>
          <w:ilvl w:val="0"/>
          <w:numId w:val="100523350"/>
        </w:numPr>
        <w:ind w:left="360"/>
      </w:pPr>
      <w:r>
        <w:t xml:space="preserve">Klopt het dat er bij de Belastingdienst nu juist een tekort aan capaciteit is, waardoor vele miljarden euro’s aan belastingen niet kunnen worden geïnd? Vindt u het uitlegbaar dat de kans aanwezig is dat door het snijden in de uitvoering er nog meer belastingen niet geïnd kunnen worden?</w:t>
      </w:r>
      <w:r>
        <w:br/>
      </w:r>
    </w:p>
    <w:p>
      <w:pPr>
        <w:pStyle w:val="ListParagraph"/>
        <w:numPr>
          <w:ilvl w:val="0"/>
          <w:numId w:val="100523350"/>
        </w:numPr>
        <w:ind w:left="360"/>
      </w:pPr>
      <w:r>
        <w:t xml:space="preserve">Klopt het dat door fors te snijden in bijvoorbeeld het toezicht in de zorg, de zorgfraude minder goed kan worden opgespoord, terwijl het juist de bedoeling is dat de vele miljarden euro’s aan zorgfraude wel worden opgespoord? Hoe legt u deze inconsistentie uit?</w:t>
      </w:r>
      <w:r>
        <w:br/>
      </w:r>
    </w:p>
    <w:p>
      <w:pPr>
        <w:pStyle w:val="ListParagraph"/>
        <w:numPr>
          <w:ilvl w:val="0"/>
          <w:numId w:val="100523350"/>
        </w:numPr>
        <w:ind w:left="360"/>
      </w:pPr>
      <w:r>
        <w:t xml:space="preserve">Kunt u een overzicht geven van de toezichthouders waarop bezuinigd zal gaan worden en of deze toezichthouders nu al juist kampen met capaciteitstekorten om hun toezichthoudende taken goed uit te kunnen voeren?</w:t>
      </w:r>
      <w:r>
        <w:br/>
      </w:r>
    </w:p>
    <w:p>
      <w:pPr>
        <w:pStyle w:val="ListParagraph"/>
        <w:numPr>
          <w:ilvl w:val="0"/>
          <w:numId w:val="100523350"/>
        </w:numPr>
        <w:ind w:left="360"/>
      </w:pPr>
      <w:r>
        <w:t xml:space="preserve">Klopt het dat door het fraudebeleid van de overheid er nu heel veel voltijds-equivalent (fte) nodig is om het toeslagenschandaal op te lossen?</w:t>
      </w:r>
      <w:r>
        <w:br/>
      </w:r>
    </w:p>
    <w:p>
      <w:pPr>
        <w:pStyle w:val="ListParagraph"/>
        <w:numPr>
          <w:ilvl w:val="0"/>
          <w:numId w:val="100523350"/>
        </w:numPr>
        <w:ind w:left="360"/>
      </w:pPr>
      <w:r>
        <w:t xml:space="preserve">Kunt u specifiek uitleggen hoe precies tot de optelsom van de taakstelling is gekomen? Welke concrete cijfers en onderbouwingen liggen hieraan ten grondslag? Of is de optelsom het resultaat van het sluitend willen maken van de begroting?</w:t>
      </w:r>
      <w:r>
        <w:br/>
      </w:r>
    </w:p>
    <w:p>
      <w:pPr>
        <w:pStyle w:val="ListParagraph"/>
        <w:numPr>
          <w:ilvl w:val="0"/>
          <w:numId w:val="100523350"/>
        </w:numPr>
        <w:ind w:left="360"/>
      </w:pPr>
      <w:r>
        <w:t xml:space="preserve">Welke risico’s ziet u ten aanzien van het feit dat er in de toekomst juist veel nieuwe externe inhuur nodig is, omdat cruciale kennis niet meer aanwezig is bij de departementen zelf? En hoe voorkomt u dat de overheid hiermee nog meer afhankelijk wordt van externe bureaus?</w:t>
      </w:r>
      <w:r>
        <w:br/>
      </w:r>
    </w:p>
    <w:p>
      <w:pPr>
        <w:pStyle w:val="ListParagraph"/>
        <w:numPr>
          <w:ilvl w:val="0"/>
          <w:numId w:val="100523350"/>
        </w:numPr>
        <w:ind w:left="360"/>
      </w:pPr>
      <w:r>
        <w:t xml:space="preserve">Welke risico’s ziet u ten aanzien van het gebruik van artificiële intelligentie (AI), zolang Nederland en Europa vooral afhankelijk zijn van grote AI-bedrijven van buiten de EU? Hoe weegt u deze ongewenste afhankelijkheid mee bij uw plannen om overheidsdienstverlening en overheidstaken uit te voeren?</w:t>
      </w:r>
      <w:r>
        <w:br/>
      </w:r>
    </w:p>
    <w:p>
      <w:pPr>
        <w:pStyle w:val="ListParagraph"/>
        <w:numPr>
          <w:ilvl w:val="0"/>
          <w:numId w:val="100523350"/>
        </w:numPr>
        <w:ind w:left="360"/>
      </w:pPr>
      <w:r>
        <w:t xml:space="preserve">Klopt het dat een groot deel van de kosten die gemaakt worden in Wet open overheid (Woo)-procedures komen, doordat overheden stelselmatig te weinig hebben gedaan om de achterstallige informatiehuishouding te verbeteren? Zo nee, hoe zit dit dan volgens u wel?</w:t>
      </w:r>
      <w:r>
        <w:br/>
      </w:r>
    </w:p>
    <w:p>
      <w:pPr>
        <w:pStyle w:val="ListParagraph"/>
        <w:numPr>
          <w:ilvl w:val="0"/>
          <w:numId w:val="100523350"/>
        </w:numPr>
        <w:ind w:left="360"/>
      </w:pPr>
      <w:r>
        <w:t xml:space="preserve">Wat is er de afgelopen jaren concreet gedaan om de informatiehuishouding te verbeteren? Welke stappen die eerder zijn afgesproken, onder andere tijdens de behandeling van de Woo in beide Kamers, zijn er concreet uitgevoerd? En waarom is dit tot op heden nog niet substantieel verbeterd?</w:t>
      </w:r>
      <w:r>
        <w:br/>
      </w:r>
    </w:p>
    <w:p>
      <w:pPr>
        <w:pStyle w:val="ListParagraph"/>
        <w:numPr>
          <w:ilvl w:val="0"/>
          <w:numId w:val="100523350"/>
        </w:numPr>
        <w:ind w:left="360"/>
      </w:pPr>
      <w:r>
        <w:t xml:space="preserve">Waarom wil het kabinet de openbaarheid van burgers en journalisten inperken, terwijl het de overheid zelf is die haar informatiehuishouding niet op orde heeft? Hoe legt u dit aan de samenleving uit?  </w:t>
      </w:r>
      <w:r>
        <w:br/>
      </w:r>
    </w:p>
    <w:p>
      <w:pPr>
        <w:pStyle w:val="ListParagraph"/>
        <w:numPr>
          <w:ilvl w:val="0"/>
          <w:numId w:val="100523350"/>
        </w:numPr>
        <w:ind w:left="360"/>
      </w:pPr>
      <w:r>
        <w:t xml:space="preserve">Kunnen alle relevante beslisnota’s, dus niet alleen de beknopte nota die nu is meegestuurd, die ten grondslag liggen aan de samenstelling van deze brief, dus ook die over de inhoud van de brief gaan en die afkomstig zijn van andere departementen, met de Kamer worden gedeeld?</w:t>
      </w:r>
      <w:r>
        <w:br/>
      </w:r>
    </w:p>
    <w:p>
      <w:pPr>
        <w:pStyle w:val="ListParagraph"/>
        <w:numPr>
          <w:ilvl w:val="0"/>
          <w:numId w:val="100523350"/>
        </w:numPr>
        <w:ind w:left="360"/>
      </w:pPr>
      <w:r>
        <w:t xml:space="preserve">Kunt u deze vragen ruim voorafgaand aan de relevante commissiedebatten over de informatie- en werkafspraken tussen Kamer en kabinet en over de slagvaardige overheid afzonderlijk van elkaar beantwoorden?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