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641EB" w:rsidP="1A0B344F" w:rsidRDefault="1A0B344F" w14:paraId="7958EDBA" w14:textId="77777777">
      <w:pPr>
        <w:spacing w:after="0" w:line="240" w:lineRule="atLeast"/>
        <w:rPr>
          <w:b/>
          <w:bCs/>
          <w:u w:val="single"/>
          <w:lang w:val="nl-NL"/>
        </w:rPr>
      </w:pPr>
      <w:r w:rsidRPr="1A0B344F">
        <w:rPr>
          <w:b/>
          <w:bCs/>
          <w:u w:val="single"/>
          <w:lang w:val="nl-NL"/>
        </w:rPr>
        <w:t xml:space="preserve">Eurogroep in reguliere samenstelling </w:t>
      </w:r>
    </w:p>
    <w:p w:rsidRPr="001B2C74" w:rsidR="009641EB" w:rsidP="009641EB" w:rsidRDefault="009641EB" w14:paraId="63A4E9B6" w14:textId="77777777">
      <w:pPr>
        <w:spacing w:after="0" w:line="240" w:lineRule="atLeast"/>
        <w:rPr>
          <w:b/>
          <w:bCs/>
          <w:u w:val="single"/>
          <w:lang w:val="nl-NL"/>
        </w:rPr>
      </w:pPr>
    </w:p>
    <w:p w:rsidR="009641EB" w:rsidP="1A0B344F" w:rsidRDefault="009641EB" w14:paraId="48A6CFBF" w14:textId="12D00EC1">
      <w:pPr>
        <w:spacing w:after="0" w:line="240" w:lineRule="atLeast"/>
        <w:rPr>
          <w:rFonts w:cs="Arial"/>
          <w:lang w:val="nl-NL"/>
        </w:rPr>
      </w:pPr>
      <w:r w:rsidRPr="001B2C74">
        <w:rPr>
          <w:b/>
          <w:bCs/>
          <w:lang w:val="nl-NL"/>
        </w:rPr>
        <w:t xml:space="preserve">Internationale vergaderingen </w:t>
      </w:r>
      <w:r>
        <w:rPr>
          <w:b/>
          <w:bCs/>
          <w:lang w:val="nl-NL"/>
        </w:rPr>
        <w:br/>
      </w:r>
      <w:r>
        <w:rPr>
          <w:lang w:val="nl-NL"/>
        </w:rPr>
        <w:t xml:space="preserve">De Eurogroep blikte vooruit op de Jaarvergadering van het IMF en de Wereldbank en de G20-bijeenkomst van de ministers van Financiën en de </w:t>
      </w:r>
      <w:proofErr w:type="gramStart"/>
      <w:r>
        <w:rPr>
          <w:lang w:val="nl-NL"/>
        </w:rPr>
        <w:t>centrale bank presidenten</w:t>
      </w:r>
      <w:proofErr w:type="gramEnd"/>
      <w:r>
        <w:rPr>
          <w:lang w:val="nl-NL"/>
        </w:rPr>
        <w:t xml:space="preserve"> op 13 t/m 18 oktober 2026.</w:t>
      </w:r>
      <w:r>
        <w:rPr>
          <w:rStyle w:val="Voetnootmarkering"/>
          <w:lang w:val="nl-NL"/>
        </w:rPr>
        <w:footnoteReference w:id="1"/>
      </w:r>
      <w:r>
        <w:rPr>
          <w:lang w:val="nl-NL"/>
        </w:rPr>
        <w:t xml:space="preserve"> De </w:t>
      </w:r>
      <w:proofErr w:type="spellStart"/>
      <w:r>
        <w:rPr>
          <w:lang w:val="nl-NL"/>
        </w:rPr>
        <w:t>gedachte</w:t>
      </w:r>
      <w:r w:rsidR="00694344">
        <w:rPr>
          <w:lang w:val="nl-NL"/>
        </w:rPr>
        <w:t>n</w:t>
      </w:r>
      <w:r>
        <w:rPr>
          <w:lang w:val="nl-NL"/>
        </w:rPr>
        <w:t>wisseling</w:t>
      </w:r>
      <w:proofErr w:type="spellEnd"/>
      <w:r>
        <w:rPr>
          <w:lang w:val="nl-NL"/>
        </w:rPr>
        <w:t xml:space="preserve"> met de Europese Commissie en de Europese Centrale Bank richtte zich op wisselkoersontwikkelingen. </w:t>
      </w:r>
      <w:r w:rsidRPr="000D423E">
        <w:rPr>
          <w:lang w:val="nl-NL"/>
        </w:rPr>
        <w:t xml:space="preserve">De Commissie wees op een matige verzwakking van de euro, een versterking van de Chinese renminbi en stabiliteit van de Amerikaanse dollar. De </w:t>
      </w:r>
      <w:r>
        <w:rPr>
          <w:lang w:val="nl-NL"/>
        </w:rPr>
        <w:t xml:space="preserve">Japanse </w:t>
      </w:r>
      <w:r w:rsidRPr="000D423E">
        <w:rPr>
          <w:lang w:val="nl-NL"/>
        </w:rPr>
        <w:t xml:space="preserve">yen vertoonde na interventies door Japanse autoriteiten en gecoördineerde actie met de VS </w:t>
      </w:r>
      <w:r>
        <w:rPr>
          <w:lang w:val="nl-NL"/>
        </w:rPr>
        <w:t xml:space="preserve">van juli 2026 </w:t>
      </w:r>
      <w:r w:rsidRPr="000D423E">
        <w:rPr>
          <w:lang w:val="nl-NL"/>
        </w:rPr>
        <w:t xml:space="preserve">een tijdelijke versterking, maar dit effect ebde eind augustus alweer weg. </w:t>
      </w:r>
      <w:r>
        <w:rPr>
          <w:lang w:val="nl-NL"/>
        </w:rPr>
        <w:t xml:space="preserve">De depreciatie van de euro ten opzichte van de dollar kan gedeeltelijk worden verklaard door het verschil in rendement tussen Europees en Amerikaans schuldpapier en de asymmetrische effecten van de energieschok. </w:t>
      </w:r>
      <w:r w:rsidRPr="000D423E">
        <w:rPr>
          <w:rFonts w:cs="Arial"/>
          <w:lang w:val="nl-NL"/>
        </w:rPr>
        <w:t>De renminbi is in de afgelopen zes maanden geapprecieerd t</w:t>
      </w:r>
      <w:r>
        <w:rPr>
          <w:rFonts w:cs="Arial"/>
          <w:lang w:val="nl-NL"/>
        </w:rPr>
        <w:t xml:space="preserve">en opzichte van </w:t>
      </w:r>
      <w:r w:rsidRPr="000D423E">
        <w:rPr>
          <w:rFonts w:cs="Arial"/>
          <w:lang w:val="nl-NL"/>
        </w:rPr>
        <w:t>andere valuta, waaronder de euro</w:t>
      </w:r>
      <w:r>
        <w:rPr>
          <w:rFonts w:cs="Arial"/>
          <w:lang w:val="nl-NL"/>
        </w:rPr>
        <w:t xml:space="preserve"> en de dollar. Enkele lidstaten benadrukte het belang van verdere analyse en monitoring van de wisselkoersen. </w:t>
      </w:r>
    </w:p>
    <w:p w:rsidR="009641EB" w:rsidP="009641EB" w:rsidRDefault="009641EB" w14:paraId="427CAA0E" w14:textId="77777777">
      <w:pPr>
        <w:spacing w:after="0" w:line="240" w:lineRule="atLeast"/>
        <w:rPr>
          <w:rFonts w:cs="Arial"/>
          <w:lang w:val="nl-NL"/>
        </w:rPr>
      </w:pPr>
    </w:p>
    <w:p w:rsidR="009641EB" w:rsidP="1A0B344F" w:rsidRDefault="009641EB" w14:paraId="4394A27E" w14:textId="77777777">
      <w:pPr>
        <w:spacing w:after="0" w:line="240" w:lineRule="atLeast"/>
        <w:rPr>
          <w:lang w:val="nl-NL"/>
        </w:rPr>
      </w:pPr>
      <w:r>
        <w:rPr>
          <w:b/>
          <w:bCs/>
          <w:lang w:val="nl-NL"/>
        </w:rPr>
        <w:t>Overig</w:t>
      </w:r>
      <w:r>
        <w:rPr>
          <w:b/>
          <w:bCs/>
          <w:lang w:val="nl-NL"/>
        </w:rPr>
        <w:br/>
      </w:r>
      <w:r w:rsidRPr="000A2A6F">
        <w:rPr>
          <w:lang w:val="nl-NL"/>
        </w:rPr>
        <w:t xml:space="preserve">De </w:t>
      </w:r>
      <w:r>
        <w:rPr>
          <w:lang w:val="nl-NL"/>
        </w:rPr>
        <w:t xml:space="preserve">voorzitter van de </w:t>
      </w:r>
      <w:r w:rsidRPr="000A2A6F">
        <w:rPr>
          <w:lang w:val="nl-NL"/>
        </w:rPr>
        <w:t xml:space="preserve">Eurogroep </w:t>
      </w:r>
      <w:r>
        <w:rPr>
          <w:lang w:val="nl-NL"/>
        </w:rPr>
        <w:t xml:space="preserve">gaf een korte toelichting op de </w:t>
      </w:r>
      <w:r w:rsidRPr="000A2A6F">
        <w:rPr>
          <w:lang w:val="nl-NL"/>
        </w:rPr>
        <w:t xml:space="preserve">procedure voor de benoeming van een opvolger van Isabel </w:t>
      </w:r>
      <w:proofErr w:type="spellStart"/>
      <w:r w:rsidRPr="000A2A6F">
        <w:rPr>
          <w:lang w:val="nl-NL"/>
        </w:rPr>
        <w:t>Schnabel</w:t>
      </w:r>
      <w:proofErr w:type="spellEnd"/>
      <w:r w:rsidRPr="000A2A6F">
        <w:rPr>
          <w:lang w:val="nl-NL"/>
        </w:rPr>
        <w:t>, lid van de directie van de ECB.</w:t>
      </w:r>
      <w:r>
        <w:rPr>
          <w:rStyle w:val="Voetnootmarkering"/>
          <w:lang w:val="nl-NL"/>
        </w:rPr>
        <w:footnoteReference w:id="2"/>
      </w:r>
      <w:r w:rsidRPr="000A2A6F">
        <w:rPr>
          <w:lang w:val="nl-NL"/>
        </w:rPr>
        <w:t xml:space="preserve"> Ze treedt op 3 januari 2027 af.</w:t>
      </w:r>
      <w:r>
        <w:rPr>
          <w:lang w:val="nl-NL"/>
        </w:rPr>
        <w:t xml:space="preserve"> Het streven is om tijdens de Eurogroep van 9 november aanstaande een nieuw bestuurslid aan te wijzen. </w:t>
      </w:r>
    </w:p>
    <w:p w:rsidRPr="001B2C74" w:rsidR="009641EB" w:rsidP="009641EB" w:rsidRDefault="009641EB" w14:paraId="382A9996" w14:textId="77777777">
      <w:pPr>
        <w:spacing w:after="0" w:line="240" w:lineRule="atLeast"/>
        <w:rPr>
          <w:lang w:val="nl-NL"/>
        </w:rPr>
      </w:pPr>
    </w:p>
    <w:p w:rsidR="009641EB" w:rsidP="1A0B344F" w:rsidRDefault="1A0B344F" w14:paraId="5552D2DA" w14:textId="77777777">
      <w:pPr>
        <w:spacing w:after="0" w:line="240" w:lineRule="atLeast"/>
        <w:rPr>
          <w:b/>
          <w:bCs/>
          <w:u w:val="single"/>
          <w:lang w:val="nl-NL"/>
        </w:rPr>
      </w:pPr>
      <w:r w:rsidRPr="1A0B344F">
        <w:rPr>
          <w:b/>
          <w:bCs/>
          <w:u w:val="single"/>
          <w:lang w:val="nl-NL"/>
        </w:rPr>
        <w:t>Eurogroep in inclusieve samenstelling</w:t>
      </w:r>
    </w:p>
    <w:p w:rsidR="009641EB" w:rsidP="1A0B344F" w:rsidRDefault="009641EB" w14:paraId="656FDA59" w14:textId="0FE75310">
      <w:pPr>
        <w:spacing w:after="0" w:line="240" w:lineRule="atLeast"/>
        <w:rPr>
          <w:rFonts w:cs="Arial"/>
          <w:lang w:val="nl-NL"/>
        </w:rPr>
      </w:pPr>
      <w:r>
        <w:rPr>
          <w:b/>
          <w:bCs/>
          <w:lang w:val="nl-NL"/>
        </w:rPr>
        <w:t>Spaar- en investeringsunie: jaarlijkse monitor voortgang kapitaalmarktunie</w:t>
      </w:r>
      <w:r>
        <w:rPr>
          <w:b/>
          <w:bCs/>
          <w:lang w:val="nl-NL"/>
        </w:rPr>
        <w:br/>
      </w:r>
      <w:r>
        <w:rPr>
          <w:lang w:val="nl-NL"/>
        </w:rPr>
        <w:t>De Commissie lichtte de uitkomsten van de jaarlijkse monitoring van voortgang ten aanzien van de kapitaalmarktunie toe.</w:t>
      </w:r>
      <w:r>
        <w:rPr>
          <w:rStyle w:val="Voetnootmarkering"/>
          <w:lang w:val="nl-NL"/>
        </w:rPr>
        <w:footnoteReference w:id="3"/>
      </w:r>
      <w:r>
        <w:rPr>
          <w:lang w:val="nl-NL"/>
        </w:rPr>
        <w:t xml:space="preserve"> De nadruk van het rapport ligt dit jaar op de thema’s pensioenen en spaar- en beleggingsrekeningen. Nog geen 10% van de Europese bevolking bezit of handelt in beleggingen. </w:t>
      </w:r>
      <w:r w:rsidRPr="1A0B344F">
        <w:rPr>
          <w:rFonts w:cs="Arial"/>
          <w:lang w:val="nl-NL"/>
        </w:rPr>
        <w:t xml:space="preserve">Hoewel de inwoners van de EU veel sparen, resulteert dat onvoldoende in productieve marktinvesteringen, aldus het rapport. De Commissie benadrukte dat open, goed functionerende en geïntegreerde kapitaalmarkten essentieel zijn voor het verbeteren van het concurrentievermogen van de EU. Daarbij werd ook het belang van financiële geletterdheid </w:t>
      </w:r>
      <w:proofErr w:type="gramStart"/>
      <w:r w:rsidRPr="1A0B344F">
        <w:rPr>
          <w:rFonts w:cs="Arial"/>
          <w:lang w:val="nl-NL"/>
        </w:rPr>
        <w:t>onderstreept</w:t>
      </w:r>
      <w:proofErr w:type="gramEnd"/>
      <w:r w:rsidRPr="1A0B344F">
        <w:rPr>
          <w:rFonts w:cs="Arial"/>
          <w:lang w:val="nl-NL"/>
        </w:rPr>
        <w:t>.</w:t>
      </w:r>
    </w:p>
    <w:p w:rsidRPr="007A41EF" w:rsidR="009641EB" w:rsidP="009641EB" w:rsidRDefault="009641EB" w14:paraId="0F186A6B" w14:textId="77777777">
      <w:pPr>
        <w:spacing w:after="0" w:line="240" w:lineRule="atLeast"/>
        <w:rPr>
          <w:b/>
          <w:bCs/>
          <w:lang w:val="nl-NL"/>
        </w:rPr>
      </w:pPr>
    </w:p>
    <w:p w:rsidR="009641EB" w:rsidP="1A0B344F" w:rsidRDefault="009641EB" w14:paraId="36B7356E" w14:textId="52D2C09A">
      <w:pPr>
        <w:spacing w:after="0" w:line="240" w:lineRule="atLeast"/>
        <w:rPr>
          <w:lang w:val="nl-NL"/>
        </w:rPr>
      </w:pPr>
      <w:bookmarkStart w:name="_Hlk242785637" w:id="0"/>
      <w:r w:rsidRPr="007A41EF">
        <w:rPr>
          <w:b/>
          <w:bCs/>
          <w:lang w:val="nl-NL"/>
        </w:rPr>
        <w:t>Effectieve en doelmatige overheidsfinanciën</w:t>
      </w:r>
      <w:r>
        <w:rPr>
          <w:lang w:val="nl-NL"/>
        </w:rPr>
        <w:t xml:space="preserve"> </w:t>
      </w:r>
      <w:r>
        <w:rPr>
          <w:lang w:val="nl-NL"/>
        </w:rPr>
        <w:br/>
        <w:t xml:space="preserve">De Eurogroep had een </w:t>
      </w:r>
      <w:proofErr w:type="spellStart"/>
      <w:r>
        <w:rPr>
          <w:lang w:val="nl-NL"/>
        </w:rPr>
        <w:t>gedachte</w:t>
      </w:r>
      <w:r w:rsidR="00694344">
        <w:rPr>
          <w:lang w:val="nl-NL"/>
        </w:rPr>
        <w:t>n</w:t>
      </w:r>
      <w:r>
        <w:rPr>
          <w:lang w:val="nl-NL"/>
        </w:rPr>
        <w:t>wisseling</w:t>
      </w:r>
      <w:proofErr w:type="spellEnd"/>
      <w:r>
        <w:rPr>
          <w:lang w:val="nl-NL"/>
        </w:rPr>
        <w:t xml:space="preserve"> over doeltreffende en doelmatige overheidsfinanciën.</w:t>
      </w:r>
      <w:r>
        <w:rPr>
          <w:rStyle w:val="Voetnootmarkering"/>
          <w:lang w:val="nl-NL"/>
        </w:rPr>
        <w:footnoteReference w:id="4"/>
      </w:r>
      <w:r>
        <w:rPr>
          <w:lang w:val="nl-NL"/>
        </w:rPr>
        <w:t xml:space="preserve"> De Commissie gaf daarbij aan dat lidstaten te maken hebben met verschillende prioriteiten voor overheidsuitgaven, oplopende vergrijzing en stijgende rentelasten. Verschillende lidstaten, waaronder Nederland, verwelkomde de discussie en vroeg aandacht voor schuldhoudbaarheid. Nederland wees op het belang van het inpassen van uitgaven i</w:t>
      </w:r>
      <w:r w:rsidRPr="1A0B344F">
        <w:rPr>
          <w:lang w:val="nl-NL"/>
        </w:rPr>
        <w:t xml:space="preserve">n nationale begrotingen </w:t>
      </w:r>
      <w:r w:rsidRPr="001B399D">
        <w:rPr>
          <w:lang w:val="nl-NL"/>
        </w:rPr>
        <w:t>na 2028 voor die lidstaten die gebruik hebben gemaakt van de vrijgekomen begrotingsruimte onder de nationale ontsnappingsclausule</w:t>
      </w:r>
      <w:r>
        <w:rPr>
          <w:lang w:val="nl-NL"/>
        </w:rPr>
        <w:t xml:space="preserve">. Mede op basis van de Nederlandse inbreng zal de Eurogroep vaker over effectieve en doelmatige overheidsfinanciën spreken. </w:t>
      </w:r>
    </w:p>
    <w:p w:rsidR="009641EB" w:rsidP="009641EB" w:rsidRDefault="009641EB" w14:paraId="2D899D65" w14:textId="77777777">
      <w:pPr>
        <w:spacing w:after="0" w:line="240" w:lineRule="atLeast"/>
        <w:rPr>
          <w:lang w:val="nl-NL"/>
        </w:rPr>
      </w:pPr>
    </w:p>
    <w:p w:rsidR="009641EB" w:rsidP="1A0B344F" w:rsidRDefault="009641EB" w14:paraId="1367FCC4" w14:textId="0C1A9858">
      <w:pPr>
        <w:spacing w:after="0" w:line="240" w:lineRule="atLeast"/>
        <w:rPr>
          <w:lang w:val="nl-NL"/>
        </w:rPr>
      </w:pPr>
      <w:r w:rsidRPr="1A0B344F">
        <w:rPr>
          <w:b/>
          <w:bCs/>
          <w:lang w:val="nl-NL"/>
        </w:rPr>
        <w:t xml:space="preserve">Ontwikkelingen op de energiemarkt en gevolgen daarvan voor de economie </w:t>
      </w:r>
      <w:r>
        <w:rPr>
          <w:b/>
          <w:bCs/>
          <w:szCs w:val="18"/>
          <w:lang w:val="nl-NL"/>
        </w:rPr>
        <w:br/>
      </w:r>
      <w:r w:rsidRPr="1A0B344F">
        <w:rPr>
          <w:lang w:val="nl-NL"/>
        </w:rPr>
        <w:t>De Eurogroep sprak over de ontwikkelingen op de energiemarkt en de economische gevolgen daarvan.</w:t>
      </w:r>
      <w:r w:rsidRPr="1A0B344F">
        <w:rPr>
          <w:rStyle w:val="Voetnootmarkering"/>
          <w:lang w:val="nl-NL"/>
        </w:rPr>
        <w:footnoteReference w:id="5"/>
      </w:r>
      <w:r w:rsidRPr="1A0B344F">
        <w:rPr>
          <w:lang w:val="nl-NL"/>
        </w:rPr>
        <w:t xml:space="preserve"> De Commissie gaf in haar toelichting aan dat oliemarkten relatief veerkrachtig blijken, ondanks het aanhoudende conflict in het Midden-Oosten. De elektriciteitsprijzen zijn aanzienlijk gestegen als gevolg van de hogere gasprijzen, maar de prijzen bevinden zich nog onder het piekniveau van 2022. Dat is gedeeltelijk te danken aan de huidige diversificatie in energietoevoer. In het verlengde daarvan benadrukte de Commissie de noodzaak van structurele en versnelde elektrificatie van de Europese economie. </w:t>
      </w:r>
    </w:p>
    <w:p w:rsidRPr="00F700A5" w:rsidR="009641EB" w:rsidP="009641EB" w:rsidRDefault="009641EB" w14:paraId="1758B336" w14:textId="77777777">
      <w:pPr>
        <w:spacing w:after="0" w:line="240" w:lineRule="atLeast"/>
        <w:rPr>
          <w:b/>
          <w:bCs/>
          <w:szCs w:val="18"/>
          <w:lang w:val="nl-NL"/>
        </w:rPr>
      </w:pPr>
    </w:p>
    <w:p w:rsidRPr="00F700A5" w:rsidR="009641EB" w:rsidP="1A0B344F" w:rsidRDefault="1A0B344F" w14:paraId="40DFE773" w14:textId="44944706">
      <w:pPr>
        <w:spacing w:after="0" w:line="240" w:lineRule="atLeast"/>
        <w:rPr>
          <w:lang w:val="nl-NL"/>
        </w:rPr>
      </w:pPr>
      <w:r w:rsidRPr="1A0B344F">
        <w:rPr>
          <w:lang w:val="nl-NL"/>
        </w:rPr>
        <w:t>De Eurogroep richtte zich vervolgens op de beperkte begrotingsruimte bij lidstaten tegen de achtergrond van hoge staatsschuld en oplopende rentes, gecombineerd met de financieringsbehoefte voor mitigatie van de hoge energieprijzen. Enkele lidstaten verzochten om meer flexibiliteit in de (toepassing van) Europese begrotingsregels, waaronder door rekening te houden met inflatie bij de beoordeling van de conceptbegrotingen voor volgend jaar (</w:t>
      </w:r>
      <w:r w:rsidRPr="1A0B344F">
        <w:rPr>
          <w:i/>
          <w:iCs/>
          <w:lang w:val="nl-NL"/>
        </w:rPr>
        <w:t xml:space="preserve">draft </w:t>
      </w:r>
      <w:proofErr w:type="spellStart"/>
      <w:r w:rsidRPr="1A0B344F">
        <w:rPr>
          <w:i/>
          <w:iCs/>
          <w:lang w:val="nl-NL"/>
        </w:rPr>
        <w:t>budgetary</w:t>
      </w:r>
      <w:proofErr w:type="spellEnd"/>
      <w:r w:rsidRPr="1A0B344F">
        <w:rPr>
          <w:i/>
          <w:iCs/>
          <w:lang w:val="nl-NL"/>
        </w:rPr>
        <w:t xml:space="preserve"> </w:t>
      </w:r>
      <w:proofErr w:type="spellStart"/>
      <w:r w:rsidRPr="1A0B344F">
        <w:rPr>
          <w:i/>
          <w:iCs/>
          <w:lang w:val="nl-NL"/>
        </w:rPr>
        <w:t>plans</w:t>
      </w:r>
      <w:proofErr w:type="spellEnd"/>
      <w:r w:rsidRPr="1A0B344F">
        <w:rPr>
          <w:lang w:val="nl-NL"/>
        </w:rPr>
        <w:t>). Meerdere lidstaten, waaronder Nederland, gaven aan tegen verdere flexibilisering van de begrotingsregels te zijn en benadrukten het belang van schuldhoudbaarheid. Verdere flexibilisering ondermijnt ook de geloofwaardigheid van de begrotingsregels. Het is van belang om maatregelen te nemen die zorgen voor structurele oplossingen, zoals het afbouwen van energieafhankelijkheid en het terugbrengen van fossiele energiegebruik.</w:t>
      </w:r>
    </w:p>
    <w:bookmarkEnd w:id="0"/>
    <w:p w:rsidRPr="001B399D" w:rsidR="009641EB" w:rsidP="009641EB" w:rsidRDefault="009641EB" w14:paraId="68BEEF88" w14:textId="77777777">
      <w:pPr>
        <w:spacing w:after="0" w:line="240" w:lineRule="atLeast"/>
        <w:rPr>
          <w:b/>
          <w:bCs/>
          <w:i/>
          <w:iCs/>
          <w:szCs w:val="18"/>
          <w:lang w:val="nl-NL"/>
        </w:rPr>
      </w:pPr>
    </w:p>
    <w:p w:rsidR="009641EB" w:rsidP="1A0B344F" w:rsidRDefault="1A0B344F" w14:paraId="7FF81C8E" w14:textId="77777777">
      <w:pPr>
        <w:spacing w:after="0" w:line="240" w:lineRule="atLeast"/>
        <w:rPr>
          <w:b/>
          <w:bCs/>
          <w:u w:val="single"/>
          <w:lang w:val="nl-NL"/>
        </w:rPr>
      </w:pPr>
      <w:proofErr w:type="spellStart"/>
      <w:r w:rsidRPr="1A0B344F">
        <w:rPr>
          <w:b/>
          <w:bCs/>
          <w:u w:val="single"/>
          <w:lang w:val="nl-NL"/>
        </w:rPr>
        <w:t>Ecofinraad</w:t>
      </w:r>
      <w:proofErr w:type="spellEnd"/>
    </w:p>
    <w:p w:rsidR="009641EB" w:rsidP="009641EB" w:rsidRDefault="009641EB" w14:paraId="6C6C5FDB" w14:textId="77777777">
      <w:pPr>
        <w:spacing w:after="0" w:line="240" w:lineRule="atLeast"/>
        <w:rPr>
          <w:b/>
          <w:bCs/>
          <w:szCs w:val="18"/>
          <w:u w:val="single"/>
          <w:lang w:val="nl-NL"/>
        </w:rPr>
      </w:pPr>
    </w:p>
    <w:p w:rsidR="009641EB" w:rsidP="1A0B344F" w:rsidRDefault="1A0B344F" w14:paraId="14A64089" w14:textId="77777777">
      <w:pPr>
        <w:spacing w:after="0" w:line="240" w:lineRule="atLeast"/>
        <w:rPr>
          <w:lang w:val="nl-NL"/>
        </w:rPr>
      </w:pPr>
      <w:r w:rsidRPr="1A0B344F">
        <w:rPr>
          <w:b/>
          <w:bCs/>
          <w:lang w:val="nl-NL"/>
        </w:rPr>
        <w:t xml:space="preserve">Overwinstbelasting energiebedrijven </w:t>
      </w:r>
      <w:r w:rsidRPr="00694344" w:rsidR="009641EB">
        <w:rPr>
          <w:lang w:val="nl-NL"/>
        </w:rPr>
        <w:br/>
      </w:r>
      <w:r w:rsidRPr="1A0B344F">
        <w:rPr>
          <w:lang w:val="nl-NL"/>
        </w:rPr>
        <w:t xml:space="preserve">Tijdens een ontbijtsessie werd stilgestaan bij ontwikkelingen op de energiemarkt en een mogelijke overwinstbelasting voor energiebedrijven. De Commissie gaf aan alle mogelijke opties te onderzoeken en zich te buigen over de juridische vraagstukken. Daarbij noemde de Commissie dat er zeven rechtszaken tegen de Commissie lopen volgend op de maatregelen uit 2022. Ook merkte de Commissie op dat het heffen van een overwinstbelasting een bevoegdheid is van lidstaten die daartoe ook de nodige informatiepositie hebben. Een aantal lidstaten pleitte voor een EU-breed initiatief op een belasting van overwinsten van energiebedrijven. Daarbij werd door een aantal lidstaten gewezen op de overwinsten van Europese raffinaderijen en riepen lidstaten de Commissie op tot een analyse van de raffinaderijsector. </w:t>
      </w:r>
    </w:p>
    <w:p w:rsidR="009641EB" w:rsidP="009641EB" w:rsidRDefault="009641EB" w14:paraId="49067181" w14:textId="77777777">
      <w:pPr>
        <w:spacing w:after="0" w:line="240" w:lineRule="atLeast"/>
        <w:rPr>
          <w:szCs w:val="18"/>
          <w:lang w:val="nl-NL"/>
        </w:rPr>
      </w:pPr>
    </w:p>
    <w:p w:rsidR="009641EB" w:rsidP="1A0B344F" w:rsidRDefault="009641EB" w14:paraId="173D4260" w14:textId="77777777">
      <w:pPr>
        <w:spacing w:after="0" w:line="240" w:lineRule="atLeast"/>
        <w:rPr>
          <w:lang w:val="nl-NL"/>
        </w:rPr>
      </w:pPr>
      <w:r w:rsidRPr="1A0B344F">
        <w:rPr>
          <w:lang w:val="nl-NL"/>
        </w:rPr>
        <w:t>Nederland vroeg aandacht voor een solide juridische grondslag en vroeg, in lijn met de motie Klaver/</w:t>
      </w:r>
      <w:proofErr w:type="spellStart"/>
      <w:r w:rsidRPr="1A0B344F">
        <w:rPr>
          <w:lang w:val="nl-NL"/>
        </w:rPr>
        <w:t>Paternotte</w:t>
      </w:r>
      <w:proofErr w:type="spellEnd"/>
      <w:r w:rsidRPr="1A0B344F">
        <w:rPr>
          <w:rStyle w:val="Voetnootmarkering"/>
          <w:lang w:val="nl-NL"/>
        </w:rPr>
        <w:footnoteReference w:id="6"/>
      </w:r>
      <w:r w:rsidRPr="1A0B344F">
        <w:rPr>
          <w:lang w:val="nl-NL"/>
        </w:rPr>
        <w:t xml:space="preserve">, de Commissie om een economische en juridische analyse. Coördinatie op EU-niveau is daarbij van belang om fragmentatie te voorkomen. De Commissie kondigde aan een expertgroep met lidstaten en de Commissie in te stellen om prijzen, winstmarges, </w:t>
      </w:r>
      <w:r w:rsidRPr="1A0B344F">
        <w:rPr>
          <w:i/>
          <w:iCs/>
          <w:lang w:val="nl-NL"/>
        </w:rPr>
        <w:t xml:space="preserve">best </w:t>
      </w:r>
      <w:proofErr w:type="spellStart"/>
      <w:r w:rsidRPr="1A0B344F">
        <w:rPr>
          <w:i/>
          <w:iCs/>
          <w:lang w:val="nl-NL"/>
        </w:rPr>
        <w:t>practices</w:t>
      </w:r>
      <w:proofErr w:type="spellEnd"/>
      <w:r w:rsidRPr="1A0B344F">
        <w:rPr>
          <w:lang w:val="nl-NL"/>
        </w:rPr>
        <w:t xml:space="preserve"> en de voor- en nadelen van verdere maatregelen te onderzoeken. Het merendeel van de lidstaten heeft hier positief op gereageerd. </w:t>
      </w:r>
    </w:p>
    <w:p w:rsidR="009641EB" w:rsidP="009641EB" w:rsidRDefault="009641EB" w14:paraId="24280E8E" w14:textId="77777777">
      <w:pPr>
        <w:spacing w:after="0" w:line="240" w:lineRule="atLeast"/>
        <w:rPr>
          <w:szCs w:val="18"/>
          <w:lang w:val="nl-NL"/>
        </w:rPr>
      </w:pPr>
    </w:p>
    <w:p w:rsidR="009641EB" w:rsidP="1A0B344F" w:rsidRDefault="009641EB" w14:paraId="2FC32179" w14:textId="1188DE74">
      <w:pPr>
        <w:spacing w:after="0" w:line="240" w:lineRule="atLeast"/>
        <w:rPr>
          <w:lang w:val="nl-NL"/>
        </w:rPr>
      </w:pPr>
      <w:r w:rsidRPr="1A0B344F">
        <w:rPr>
          <w:b/>
          <w:bCs/>
          <w:lang w:val="nl-NL"/>
        </w:rPr>
        <w:t>Kapitaalmarktintegratie- en toezichtcentralisatiepakket</w:t>
      </w:r>
      <w:r>
        <w:rPr>
          <w:szCs w:val="18"/>
          <w:lang w:val="nl-NL"/>
        </w:rPr>
        <w:br/>
      </w:r>
      <w:r w:rsidRPr="1A0B344F">
        <w:rPr>
          <w:lang w:val="nl-NL"/>
        </w:rPr>
        <w:t xml:space="preserve">De </w:t>
      </w:r>
      <w:proofErr w:type="spellStart"/>
      <w:r w:rsidRPr="1A0B344F">
        <w:rPr>
          <w:lang w:val="nl-NL"/>
        </w:rPr>
        <w:t>Ecofinraad</w:t>
      </w:r>
      <w:proofErr w:type="spellEnd"/>
      <w:r w:rsidRPr="1A0B344F">
        <w:rPr>
          <w:lang w:val="nl-NL"/>
        </w:rPr>
        <w:t xml:space="preserve"> sprak over het kapitaalmarktintegratie- en toezichtcentralisatiepakket (</w:t>
      </w:r>
      <w:r w:rsidRPr="1A0B344F">
        <w:rPr>
          <w:i/>
          <w:iCs/>
          <w:lang w:val="nl-NL"/>
        </w:rPr>
        <w:t xml:space="preserve">Market Integration </w:t>
      </w:r>
      <w:proofErr w:type="spellStart"/>
      <w:r w:rsidRPr="1A0B344F">
        <w:rPr>
          <w:i/>
          <w:iCs/>
          <w:lang w:val="nl-NL"/>
        </w:rPr>
        <w:t>and</w:t>
      </w:r>
      <w:proofErr w:type="spellEnd"/>
      <w:r w:rsidRPr="1A0B344F">
        <w:rPr>
          <w:i/>
          <w:iCs/>
          <w:lang w:val="nl-NL"/>
        </w:rPr>
        <w:t xml:space="preserve"> </w:t>
      </w:r>
      <w:proofErr w:type="spellStart"/>
      <w:r w:rsidRPr="1A0B344F">
        <w:rPr>
          <w:i/>
          <w:iCs/>
          <w:lang w:val="nl-NL"/>
        </w:rPr>
        <w:t>Supervision</w:t>
      </w:r>
      <w:proofErr w:type="spellEnd"/>
      <w:r w:rsidRPr="1A0B344F">
        <w:rPr>
          <w:i/>
          <w:iCs/>
          <w:lang w:val="nl-NL"/>
        </w:rPr>
        <w:t xml:space="preserve"> Package</w:t>
      </w:r>
      <w:r w:rsidRPr="1A0B344F">
        <w:rPr>
          <w:lang w:val="nl-NL"/>
        </w:rPr>
        <w:t xml:space="preserve">, </w:t>
      </w:r>
      <w:r w:rsidRPr="1A0B344F">
        <w:rPr>
          <w:i/>
          <w:iCs/>
          <w:lang w:val="nl-NL"/>
        </w:rPr>
        <w:t>MISP</w:t>
      </w:r>
      <w:r w:rsidRPr="1A0B344F">
        <w:rPr>
          <w:lang w:val="nl-NL"/>
        </w:rPr>
        <w:t xml:space="preserve">) en </w:t>
      </w:r>
      <w:r w:rsidRPr="1A0B344F" w:rsidR="00404A83">
        <w:rPr>
          <w:lang w:val="nl-NL"/>
        </w:rPr>
        <w:t>bereikte</w:t>
      </w:r>
      <w:r w:rsidRPr="1A0B344F">
        <w:rPr>
          <w:lang w:val="nl-NL"/>
        </w:rPr>
        <w:t xml:space="preserve"> een politiek akkoord over de raadsinzet voor de trilogen.</w:t>
      </w:r>
      <w:r w:rsidRPr="1A0B344F">
        <w:rPr>
          <w:rStyle w:val="Voetnootmarkering"/>
        </w:rPr>
        <w:footnoteReference w:id="7"/>
      </w:r>
      <w:r w:rsidRPr="1A0B344F">
        <w:rPr>
          <w:lang w:val="nl-NL"/>
        </w:rPr>
        <w:t xml:space="preserve"> </w:t>
      </w:r>
    </w:p>
    <w:p w:rsidR="009641EB" w:rsidP="009641EB" w:rsidRDefault="009641EB" w14:paraId="6BE7E829" w14:textId="77777777">
      <w:pPr>
        <w:spacing w:after="0" w:line="240" w:lineRule="atLeast"/>
        <w:rPr>
          <w:szCs w:val="18"/>
          <w:lang w:val="nl-NL"/>
        </w:rPr>
      </w:pPr>
    </w:p>
    <w:p w:rsidRPr="008D578C" w:rsidR="009641EB" w:rsidP="1A0B344F" w:rsidRDefault="009641EB" w14:paraId="3AC2587E" w14:textId="7A33C083">
      <w:pPr>
        <w:spacing w:after="0" w:line="240" w:lineRule="atLeast"/>
        <w:rPr>
          <w:lang w:val="nl-NL"/>
        </w:rPr>
      </w:pPr>
      <w:r w:rsidRPr="1A0B344F">
        <w:rPr>
          <w:lang w:val="nl-NL"/>
        </w:rPr>
        <w:t>Er was bijna unaniem steun onder de lidstaten voor de voorliggende compromistekst; één lidstaat onthield zich van stemming.</w:t>
      </w:r>
      <w:r w:rsidRPr="1A0B344F">
        <w:rPr>
          <w:rStyle w:val="Voetnootmarkering"/>
        </w:rPr>
        <w:footnoteReference w:id="8"/>
      </w:r>
      <w:r w:rsidRPr="1A0B344F">
        <w:rPr>
          <w:lang w:val="nl-NL"/>
        </w:rPr>
        <w:t xml:space="preserve"> Hiermee is een belangrijke stap gezet voor de ontwikkeling van de spaar- en investeringsunie en daarmee het concurrentievermogen van de EU. De Raad steunt het voorstel om het toezicht op de grootste handelsplatformen, tussenpersonen in de financiële keten (</w:t>
      </w:r>
      <w:r w:rsidRPr="1A0B344F">
        <w:rPr>
          <w:i/>
          <w:iCs/>
          <w:lang w:val="nl-NL"/>
        </w:rPr>
        <w:t>clearing</w:t>
      </w:r>
      <w:r w:rsidRPr="1A0B344F">
        <w:rPr>
          <w:lang w:val="nl-NL"/>
        </w:rPr>
        <w:t xml:space="preserve">- en </w:t>
      </w:r>
      <w:proofErr w:type="spellStart"/>
      <w:r w:rsidRPr="1A0B344F">
        <w:rPr>
          <w:i/>
          <w:iCs/>
          <w:lang w:val="nl-NL"/>
        </w:rPr>
        <w:t>settlement</w:t>
      </w:r>
      <w:proofErr w:type="spellEnd"/>
      <w:r w:rsidRPr="1A0B344F">
        <w:rPr>
          <w:lang w:val="nl-NL"/>
        </w:rPr>
        <w:t xml:space="preserve">-partijen) en </w:t>
      </w:r>
      <w:proofErr w:type="spellStart"/>
      <w:r w:rsidRPr="1A0B344F">
        <w:rPr>
          <w:lang w:val="nl-NL"/>
        </w:rPr>
        <w:t>cryptoactivadienstverleners</w:t>
      </w:r>
      <w:proofErr w:type="spellEnd"/>
      <w:r w:rsidRPr="1A0B344F">
        <w:rPr>
          <w:lang w:val="nl-NL"/>
        </w:rPr>
        <w:t xml:space="preserve"> te centraliseren bij ESMA. Zowel in de transitiefase als daarna worden nationale toezichthouders goed betrokken voor behoud en overdracht van kennis en expertise. De Raad wil dat de Europese Commissie twee jaar na inwerkingtreding de criteria evalueert waarmee wordt bepaald of een handelsplatform onder ESMA-toezicht valt. Parallel aan de centralisatie van het toezicht steunt de Raad ook dat de bestuursstructuur (</w:t>
      </w:r>
      <w:proofErr w:type="spellStart"/>
      <w:r w:rsidRPr="1A0B344F">
        <w:rPr>
          <w:i/>
          <w:iCs/>
          <w:lang w:val="nl-NL"/>
        </w:rPr>
        <w:t>governance</w:t>
      </w:r>
      <w:proofErr w:type="spellEnd"/>
      <w:r w:rsidRPr="1A0B344F">
        <w:rPr>
          <w:lang w:val="nl-NL"/>
        </w:rPr>
        <w:t>) van ESMA wordt versterkt door de oprichting van een onafhankelijk uitvoerend bestuur (</w:t>
      </w:r>
      <w:r w:rsidRPr="1A0B344F">
        <w:rPr>
          <w:i/>
          <w:iCs/>
          <w:lang w:val="nl-NL"/>
        </w:rPr>
        <w:t>Executive Board</w:t>
      </w:r>
      <w:r w:rsidRPr="1A0B344F">
        <w:rPr>
          <w:lang w:val="nl-NL"/>
        </w:rPr>
        <w:t>). Ook worden de instrumenten van ESMA om de consistente toepassing van EU-recht in de hele Unie te borgen versterkt. De besluitvorming hierover blijft wel bij de raad van toezichthouders (</w:t>
      </w:r>
      <w:r w:rsidRPr="1A0B344F">
        <w:rPr>
          <w:i/>
          <w:iCs/>
          <w:lang w:val="nl-NL"/>
        </w:rPr>
        <w:t>Board of Supervisors</w:t>
      </w:r>
      <w:r w:rsidRPr="1A0B344F">
        <w:rPr>
          <w:lang w:val="nl-NL"/>
        </w:rPr>
        <w:t xml:space="preserve">), waar de Commissie had voorgesteld dit bij de Executive Board te beleggen. Verder bevat het raadscompromis verbeteringen van het Commissievoorstel om de regelgeving voor vermogensbeheerders, </w:t>
      </w:r>
      <w:proofErr w:type="gramStart"/>
      <w:r w:rsidRPr="1A0B344F">
        <w:rPr>
          <w:lang w:val="nl-NL"/>
        </w:rPr>
        <w:lastRenderedPageBreak/>
        <w:t>beurshandel</w:t>
      </w:r>
      <w:proofErr w:type="gramEnd"/>
      <w:r w:rsidRPr="1A0B344F">
        <w:rPr>
          <w:lang w:val="nl-NL"/>
        </w:rPr>
        <w:t xml:space="preserve"> en toepassing van nieuwe technologie te vereenvoudigen en regeldruk te verminderen. Hiermee wordt het aanbieden van beleggingsfondsen binnen de EU gemakkelijker, de handel op beurzen transparanter, en de afwikkeling van beurstransacties efficiënter.</w:t>
      </w:r>
    </w:p>
    <w:p w:rsidRPr="008D578C" w:rsidR="009641EB" w:rsidP="009641EB" w:rsidRDefault="009641EB" w14:paraId="4CC9AD51" w14:textId="77777777">
      <w:pPr>
        <w:spacing w:after="0" w:line="240" w:lineRule="atLeast"/>
        <w:rPr>
          <w:szCs w:val="18"/>
          <w:lang w:val="nl-NL"/>
        </w:rPr>
      </w:pPr>
    </w:p>
    <w:p w:rsidRPr="008D578C" w:rsidR="009641EB" w:rsidP="1A0B344F" w:rsidRDefault="1A0B344F" w14:paraId="700AEA91" w14:textId="05A6A46F">
      <w:pPr>
        <w:spacing w:after="0" w:line="240" w:lineRule="atLeast"/>
        <w:rPr>
          <w:lang w:val="nl-NL"/>
        </w:rPr>
      </w:pPr>
      <w:r w:rsidRPr="1A0B344F">
        <w:rPr>
          <w:lang w:val="nl-NL"/>
        </w:rPr>
        <w:t xml:space="preserve">Na bespreking in </w:t>
      </w:r>
      <w:proofErr w:type="spellStart"/>
      <w:r w:rsidRPr="1A0B344F">
        <w:rPr>
          <w:lang w:val="nl-NL"/>
        </w:rPr>
        <w:t>Coreper</w:t>
      </w:r>
      <w:proofErr w:type="spellEnd"/>
      <w:r w:rsidRPr="1A0B344F">
        <w:rPr>
          <w:lang w:val="nl-NL"/>
        </w:rPr>
        <w:t xml:space="preserve"> stonden er nog een drietal punten open: de reikwijdte (</w:t>
      </w:r>
      <w:r w:rsidRPr="1A0B344F">
        <w:rPr>
          <w:i/>
          <w:iCs/>
          <w:lang w:val="nl-NL"/>
        </w:rPr>
        <w:t>scope</w:t>
      </w:r>
      <w:r w:rsidRPr="1A0B344F">
        <w:rPr>
          <w:lang w:val="nl-NL"/>
        </w:rPr>
        <w:t xml:space="preserve">) van het directe ESMA-toezicht op handelsplatformen, de herziening van de </w:t>
      </w:r>
      <w:proofErr w:type="spellStart"/>
      <w:r w:rsidRPr="1A0B344F">
        <w:rPr>
          <w:lang w:val="nl-NL"/>
        </w:rPr>
        <w:t>governance</w:t>
      </w:r>
      <w:proofErr w:type="spellEnd"/>
      <w:r w:rsidRPr="1A0B344F">
        <w:rPr>
          <w:lang w:val="nl-NL"/>
        </w:rPr>
        <w:t xml:space="preserve"> van ESMA en samenwerking met nationale toezichthouders, en de financiering van ESMA. De ministers spraken tijdens een diner voorafgaand aan de </w:t>
      </w:r>
      <w:proofErr w:type="spellStart"/>
      <w:r w:rsidRPr="1A0B344F">
        <w:rPr>
          <w:lang w:val="nl-NL"/>
        </w:rPr>
        <w:t>Ecofinraad</w:t>
      </w:r>
      <w:proofErr w:type="spellEnd"/>
      <w:r w:rsidRPr="1A0B344F">
        <w:rPr>
          <w:lang w:val="nl-NL"/>
        </w:rPr>
        <w:t xml:space="preserve"> informeel al over deze punten. Een deel van de lidstaten gaf opnieuw aan dat zij de scope van het toezicht, en in het bijzonder de uitzondering op ESMA-toezicht voor bepaalde beurzen waaronder Deutsche </w:t>
      </w:r>
      <w:proofErr w:type="spellStart"/>
      <w:r w:rsidRPr="1A0B344F">
        <w:rPr>
          <w:lang w:val="nl-NL"/>
        </w:rPr>
        <w:t>Börse</w:t>
      </w:r>
      <w:proofErr w:type="spellEnd"/>
      <w:r w:rsidRPr="1A0B344F">
        <w:rPr>
          <w:lang w:val="nl-NL"/>
        </w:rPr>
        <w:t>, onwenselijk vinden. Over de ESMA-</w:t>
      </w:r>
      <w:proofErr w:type="spellStart"/>
      <w:r w:rsidRPr="1A0B344F">
        <w:rPr>
          <w:lang w:val="nl-NL"/>
        </w:rPr>
        <w:t>governance</w:t>
      </w:r>
      <w:proofErr w:type="spellEnd"/>
      <w:r w:rsidRPr="1A0B344F">
        <w:rPr>
          <w:lang w:val="nl-NL"/>
        </w:rPr>
        <w:t xml:space="preserve"> was het krachtenveld onveranderd. Een deel van de lidstaten waaronder Nederland, betreurde de afzwakkingen van het Commissievoorstel, terwijl een grote groep landen liever meer bevoegdheden van het Executive Board naar de Board of Supervisors had willen overhevelen. Tot slot pleitte een deel van de lidstaten ervoor dat de nationale contributies aan het ESMA-budget minder ver stijgen en de verdeelsleutel wordt aangepast.</w:t>
      </w:r>
    </w:p>
    <w:p w:rsidRPr="008D578C" w:rsidR="009641EB" w:rsidP="009641EB" w:rsidRDefault="009641EB" w14:paraId="6DD5BD53" w14:textId="77777777">
      <w:pPr>
        <w:spacing w:after="0" w:line="240" w:lineRule="atLeast"/>
        <w:rPr>
          <w:szCs w:val="18"/>
          <w:lang w:val="nl-NL"/>
        </w:rPr>
      </w:pPr>
    </w:p>
    <w:p w:rsidRPr="008D578C" w:rsidR="009641EB" w:rsidP="1A0B344F" w:rsidRDefault="1A0B344F" w14:paraId="3BCD14B6" w14:textId="3B55C28D">
      <w:pPr>
        <w:spacing w:after="0" w:line="240" w:lineRule="atLeast"/>
        <w:rPr>
          <w:lang w:val="nl-NL"/>
        </w:rPr>
      </w:pPr>
      <w:r w:rsidRPr="1A0B344F">
        <w:rPr>
          <w:lang w:val="nl-NL"/>
        </w:rPr>
        <w:t xml:space="preserve">Voorafgaand aan de bespreking tijdens de Raad stelde het Iers voorzitterschap een beperkt aantal aanpassingen voor om </w:t>
      </w:r>
      <w:r w:rsidR="00694344">
        <w:rPr>
          <w:lang w:val="nl-NL"/>
        </w:rPr>
        <w:t>zowel</w:t>
      </w:r>
      <w:r w:rsidRPr="1A0B344F">
        <w:rPr>
          <w:lang w:val="nl-NL"/>
        </w:rPr>
        <w:t xml:space="preserve"> de </w:t>
      </w:r>
      <w:proofErr w:type="spellStart"/>
      <w:r w:rsidRPr="1A0B344F">
        <w:rPr>
          <w:lang w:val="nl-NL"/>
        </w:rPr>
        <w:t>governance</w:t>
      </w:r>
      <w:proofErr w:type="spellEnd"/>
      <w:r w:rsidRPr="1A0B344F">
        <w:rPr>
          <w:lang w:val="nl-NL"/>
        </w:rPr>
        <w:t xml:space="preserve"> op twee punten te versterken </w:t>
      </w:r>
      <w:r w:rsidR="00694344">
        <w:rPr>
          <w:lang w:val="nl-NL"/>
        </w:rPr>
        <w:t xml:space="preserve">als </w:t>
      </w:r>
      <w:r w:rsidRPr="1A0B344F">
        <w:rPr>
          <w:lang w:val="nl-NL"/>
        </w:rPr>
        <w:t xml:space="preserve">de bekostigingsstructuur enigszins aan te passen. ESMA wordt hiermee slagvaardiger doordat de mogelijkheden voor de Board of Supervisors om voorafgaand aan een besluit van de Executive Board een opinie te geven worden ingeperkt en doordat in eventuele toezichtteams enkel nationale toezichthouders uit de lidstaat van vestiging van de entiteit kunnen deelnemen. Ten aanzien van de bekostiging van ESMA is besloten dat de verhouding tussen nationale bijdrages (nu 60%) en het EU-budget (nu 40%) wordt omgedraaid en de Commissie wordt opgeroepen om binnen een jaar de verdeelsleutel tussen lidstaten (nu op basis van bevolkingsomvang) te evalueren en te beoordelen of de methodologie proportioneel, stabiel en voorspelbaar is. Nederland kon zich, net als bijna alle andere lidstaten, in deze aanpassingen vinden en stemde in met de voorliggende compromistekst. Daarbij benadrukte Nederland, net als andere lidstaten, dat het compromis niet perfect is, maar wel een enorme stap is in de goede richting op een onderwerp waarover al ruim een decennium wordt gesproken. Het Europees Parlement stemt waarschijnlijk in december over zijn inzet, waarna de </w:t>
      </w:r>
      <w:proofErr w:type="spellStart"/>
      <w:r w:rsidRPr="1A0B344F">
        <w:rPr>
          <w:lang w:val="nl-NL"/>
        </w:rPr>
        <w:t>triloogonderhandelingen</w:t>
      </w:r>
      <w:proofErr w:type="spellEnd"/>
      <w:r w:rsidRPr="1A0B344F">
        <w:rPr>
          <w:lang w:val="nl-NL"/>
        </w:rPr>
        <w:t xml:space="preserve"> kunnen beginnen. De Europese Raad heeft eerder de ambitie uitgesproken dat er dit jaar een akkoord wordt bereikt, maar dit is ambitieus. </w:t>
      </w:r>
    </w:p>
    <w:p w:rsidR="009641EB" w:rsidP="009641EB" w:rsidRDefault="009641EB" w14:paraId="45A051D3" w14:textId="77777777">
      <w:pPr>
        <w:spacing w:after="0" w:line="240" w:lineRule="atLeast"/>
        <w:rPr>
          <w:b/>
          <w:bCs/>
          <w:szCs w:val="18"/>
          <w:lang w:val="nl-NL"/>
        </w:rPr>
      </w:pPr>
    </w:p>
    <w:p w:rsidRPr="006E4EFA" w:rsidR="009641EB" w:rsidP="1A0B344F" w:rsidRDefault="009641EB" w14:paraId="326FDEF9" w14:textId="36E6EB9F">
      <w:pPr>
        <w:spacing w:after="0" w:line="240" w:lineRule="atLeast"/>
        <w:rPr>
          <w:lang w:val="nl-NL"/>
        </w:rPr>
      </w:pPr>
      <w:r w:rsidRPr="1A0B344F">
        <w:rPr>
          <w:b/>
          <w:bCs/>
          <w:lang w:val="nl-NL"/>
        </w:rPr>
        <w:t>Financiële diensten update van wetgevingstrajecten</w:t>
      </w:r>
      <w:r>
        <w:rPr>
          <w:b/>
          <w:bCs/>
          <w:szCs w:val="18"/>
          <w:lang w:val="nl-NL"/>
        </w:rPr>
        <w:br/>
      </w:r>
      <w:r w:rsidRPr="1A0B344F">
        <w:rPr>
          <w:lang w:val="nl-NL"/>
        </w:rPr>
        <w:t xml:space="preserve">De </w:t>
      </w:r>
      <w:proofErr w:type="spellStart"/>
      <w:r w:rsidRPr="1A0B344F">
        <w:rPr>
          <w:lang w:val="nl-NL"/>
        </w:rPr>
        <w:t>Ecofinraad</w:t>
      </w:r>
      <w:proofErr w:type="spellEnd"/>
      <w:r w:rsidRPr="1A0B344F">
        <w:rPr>
          <w:lang w:val="nl-NL"/>
        </w:rPr>
        <w:t xml:space="preserve"> besprak de voortgang op verschillende financiële dossiers. Voor de herziening van de </w:t>
      </w:r>
      <w:proofErr w:type="spellStart"/>
      <w:r w:rsidRPr="1A0B344F">
        <w:rPr>
          <w:lang w:val="nl-NL"/>
        </w:rPr>
        <w:t>securitisatieverordening</w:t>
      </w:r>
      <w:proofErr w:type="spellEnd"/>
      <w:r w:rsidRPr="1A0B344F">
        <w:rPr>
          <w:lang w:val="nl-NL"/>
        </w:rPr>
        <w:t xml:space="preserve"> hebben drie trilogen plaatsgevonden, met een volgende gepland aan het einde van oktober. Voor de digitale euro is het de ambitie om voor het einde van het jaar tot een finaal akkoord te komen. Voor de </w:t>
      </w:r>
      <w:proofErr w:type="spellStart"/>
      <w:r w:rsidRPr="1A0B344F">
        <w:rPr>
          <w:i/>
          <w:iCs/>
          <w:lang w:val="nl-NL"/>
        </w:rPr>
        <w:t>Sustainable</w:t>
      </w:r>
      <w:proofErr w:type="spellEnd"/>
      <w:r w:rsidRPr="1A0B344F">
        <w:rPr>
          <w:i/>
          <w:iCs/>
          <w:lang w:val="nl-NL"/>
        </w:rPr>
        <w:t xml:space="preserve"> Finance </w:t>
      </w:r>
      <w:proofErr w:type="spellStart"/>
      <w:r w:rsidRPr="1A0B344F">
        <w:rPr>
          <w:i/>
          <w:iCs/>
          <w:lang w:val="nl-NL"/>
        </w:rPr>
        <w:t>Disclosure</w:t>
      </w:r>
      <w:proofErr w:type="spellEnd"/>
      <w:r w:rsidRPr="1A0B344F">
        <w:rPr>
          <w:i/>
          <w:iCs/>
          <w:lang w:val="nl-NL"/>
        </w:rPr>
        <w:t xml:space="preserve"> </w:t>
      </w:r>
      <w:proofErr w:type="spellStart"/>
      <w:r w:rsidRPr="1A0B344F">
        <w:rPr>
          <w:i/>
          <w:iCs/>
          <w:lang w:val="nl-NL"/>
        </w:rPr>
        <w:t>Regulation</w:t>
      </w:r>
      <w:proofErr w:type="spellEnd"/>
      <w:r w:rsidRPr="1A0B344F">
        <w:rPr>
          <w:lang w:val="nl-NL"/>
        </w:rPr>
        <w:t xml:space="preserve"> (SFDR) vindt de eerste </w:t>
      </w:r>
      <w:proofErr w:type="spellStart"/>
      <w:r w:rsidRPr="1A0B344F">
        <w:rPr>
          <w:lang w:val="nl-NL"/>
        </w:rPr>
        <w:t>triloog</w:t>
      </w:r>
      <w:proofErr w:type="spellEnd"/>
      <w:r w:rsidRPr="1A0B344F">
        <w:rPr>
          <w:lang w:val="nl-NL"/>
        </w:rPr>
        <w:t xml:space="preserve"> op 22 oktober plaats en is de doelstelling om voor het einde van de termijn tot een akkoord te komen. Het pensioenenpakket wacht nog op de onderhandelingspositie van het </w:t>
      </w:r>
      <w:r w:rsidRPr="1A0B344F" w:rsidR="00404A83">
        <w:rPr>
          <w:lang w:val="nl-NL"/>
        </w:rPr>
        <w:t xml:space="preserve">Europees </w:t>
      </w:r>
      <w:r w:rsidRPr="1A0B344F">
        <w:rPr>
          <w:lang w:val="nl-NL"/>
        </w:rPr>
        <w:t xml:space="preserve">Parlement. De Europese Investeringsbank lichtte toe dat er vooruitgang is geboekt met de Europese Defensie Faciliteit. De Europese Centrale Bank gaf aan dat het </w:t>
      </w:r>
      <w:proofErr w:type="spellStart"/>
      <w:r w:rsidRPr="1A0B344F">
        <w:rPr>
          <w:lang w:val="nl-NL"/>
        </w:rPr>
        <w:t>Pontes</w:t>
      </w:r>
      <w:proofErr w:type="spellEnd"/>
      <w:r w:rsidRPr="1A0B344F">
        <w:rPr>
          <w:lang w:val="nl-NL"/>
        </w:rPr>
        <w:t xml:space="preserve"> systeem</w:t>
      </w:r>
      <w:r w:rsidRPr="1A0B344F">
        <w:rPr>
          <w:rStyle w:val="Voetnootmarkering"/>
          <w:lang w:val="nl-NL"/>
        </w:rPr>
        <w:footnoteReference w:id="9"/>
      </w:r>
      <w:r w:rsidRPr="1A0B344F">
        <w:rPr>
          <w:lang w:val="nl-NL"/>
        </w:rPr>
        <w:t xml:space="preserve"> op 21 september 2026 is gelanceerd. </w:t>
      </w:r>
    </w:p>
    <w:p w:rsidRPr="00AF4180" w:rsidR="009641EB" w:rsidP="009641EB" w:rsidRDefault="009641EB" w14:paraId="08C9CFB3" w14:textId="77777777">
      <w:pPr>
        <w:spacing w:after="0" w:line="240" w:lineRule="atLeast"/>
        <w:rPr>
          <w:b/>
          <w:bCs/>
          <w:lang w:val="nl-NL"/>
        </w:rPr>
      </w:pPr>
    </w:p>
    <w:p w:rsidR="009641EB" w:rsidP="1A0B344F" w:rsidRDefault="009641EB" w14:paraId="4131C651" w14:textId="35138377">
      <w:pPr>
        <w:spacing w:after="0" w:line="240" w:lineRule="atLeast"/>
        <w:rPr>
          <w:lang w:val="nl-NL"/>
        </w:rPr>
      </w:pPr>
      <w:r w:rsidRPr="000A54F4">
        <w:rPr>
          <w:b/>
          <w:bCs/>
          <w:lang w:val="nl-NL"/>
        </w:rPr>
        <w:t>Concurrentievermogen bankensector</w:t>
      </w:r>
      <w:r>
        <w:rPr>
          <w:b/>
          <w:bCs/>
          <w:lang w:val="nl-NL"/>
        </w:rPr>
        <w:br/>
      </w:r>
      <w:r w:rsidR="00404A83">
        <w:rPr>
          <w:lang w:val="nl-NL"/>
        </w:rPr>
        <w:t>T</w:t>
      </w:r>
      <w:r>
        <w:rPr>
          <w:lang w:val="nl-NL"/>
        </w:rPr>
        <w:t xml:space="preserve">ijdens de </w:t>
      </w:r>
      <w:proofErr w:type="spellStart"/>
      <w:r>
        <w:rPr>
          <w:lang w:val="nl-NL"/>
        </w:rPr>
        <w:t>Ecofinraad</w:t>
      </w:r>
      <w:proofErr w:type="spellEnd"/>
      <w:r>
        <w:rPr>
          <w:lang w:val="nl-NL"/>
        </w:rPr>
        <w:t xml:space="preserve"> </w:t>
      </w:r>
      <w:r w:rsidR="00404A83">
        <w:rPr>
          <w:lang w:val="nl-NL"/>
        </w:rPr>
        <w:t xml:space="preserve">werd </w:t>
      </w:r>
      <w:r>
        <w:rPr>
          <w:lang w:val="nl-NL"/>
        </w:rPr>
        <w:t>van gedachten gewisseld over het concurrentievermogen van de Europese bankensector naar aanleiding van de mededeling van de Commissie van juli jl.</w:t>
      </w:r>
      <w:r>
        <w:rPr>
          <w:rStyle w:val="Voetnootmarkering"/>
          <w:lang w:val="nl-NL"/>
        </w:rPr>
        <w:footnoteReference w:id="10"/>
      </w:r>
      <w:r>
        <w:rPr>
          <w:lang w:val="nl-NL"/>
        </w:rPr>
        <w:t xml:space="preserve"> De Commissie onderscheidt drie uitdagingen voor de Europese bankensector: fragmentatie, implementatie van internationale Bazel-standaarden en complexiteiten van het regelgevend kader. </w:t>
      </w:r>
    </w:p>
    <w:p w:rsidR="009641EB" w:rsidP="009641EB" w:rsidRDefault="009641EB" w14:paraId="2D91E56C" w14:textId="77777777">
      <w:pPr>
        <w:spacing w:after="0" w:line="240" w:lineRule="atLeast"/>
        <w:rPr>
          <w:lang w:val="nl-NL"/>
        </w:rPr>
      </w:pPr>
    </w:p>
    <w:p w:rsidRPr="00293CD5" w:rsidR="009641EB" w:rsidP="1A0B344F" w:rsidRDefault="1A0B344F" w14:paraId="511B2B76" w14:textId="2C51AF2B">
      <w:pPr>
        <w:spacing w:after="0" w:line="240" w:lineRule="atLeast"/>
        <w:rPr>
          <w:b/>
          <w:bCs/>
          <w:lang w:val="nl-NL"/>
        </w:rPr>
      </w:pPr>
      <w:r w:rsidRPr="1A0B344F">
        <w:rPr>
          <w:lang w:val="nl-NL"/>
        </w:rPr>
        <w:t xml:space="preserve">Nederland gaf aan voortgang te willen maken op de drie genoemde uitdagingen en spoorde de Raad aan tot ambitie en compromisbereidheid. Een aantal lidstaten, waaronder Nederland, sprak zich uit voor een pakketbenadering om de doelen zoals genoemd in de mededeling van de Commissie – harmonisatie, vereenvoudiging en integratie – gelijktijdig na te kunnen streven. </w:t>
      </w:r>
      <w:r w:rsidRPr="1A0B344F">
        <w:rPr>
          <w:lang w:val="nl-NL"/>
        </w:rPr>
        <w:lastRenderedPageBreak/>
        <w:t xml:space="preserve">Enkele andere lidstaten legden daarentegen de nadruk op het versneld aanpakken van afzonderlijke onderdelen, waaronder vereenvoudiging. Voorts legden diverse lidstaten verschillende accenten in de discussie. Enkele lidstaten vroegen aandacht voor de introductie en verbetering van mogelijkheden voor kapitaal- en </w:t>
      </w:r>
      <w:proofErr w:type="spellStart"/>
      <w:r w:rsidRPr="1A0B344F">
        <w:rPr>
          <w:lang w:val="nl-NL"/>
        </w:rPr>
        <w:t>liquiditeitswaivers</w:t>
      </w:r>
      <w:proofErr w:type="spellEnd"/>
      <w:r w:rsidRPr="1A0B344F">
        <w:rPr>
          <w:lang w:val="nl-NL"/>
        </w:rPr>
        <w:t xml:space="preserve">, waardoor banken hun kapitaal en liquiditeit efficiënter kunnen verdelen tussen de EU-lidstaten. Andere lidstaten wezen juist op risico’s hiervan. Enkele lidstaten vroegen aandacht voor huishoudens en (kleine) bedrijven en kleine banken. Weer andere lidstaten waarschuwden dat vereenvoudiging van het raamwerk niet ten koste van de weerbaarheid van banken mag gaan. De </w:t>
      </w:r>
      <w:proofErr w:type="spellStart"/>
      <w:r w:rsidRPr="1A0B344F">
        <w:rPr>
          <w:lang w:val="nl-NL"/>
        </w:rPr>
        <w:t>Ecofinraad</w:t>
      </w:r>
      <w:proofErr w:type="spellEnd"/>
      <w:r w:rsidRPr="1A0B344F">
        <w:rPr>
          <w:lang w:val="nl-NL"/>
        </w:rPr>
        <w:t xml:space="preserve"> vond consensus in steun voor integratie en een gelijker speelveld binnen de bankensector. </w:t>
      </w:r>
    </w:p>
    <w:p w:rsidR="009641EB" w:rsidP="009641EB" w:rsidRDefault="009641EB" w14:paraId="1A5F35CC" w14:textId="77777777">
      <w:pPr>
        <w:spacing w:after="0" w:line="240" w:lineRule="atLeast"/>
        <w:rPr>
          <w:szCs w:val="18"/>
          <w:lang w:val="nl-NL"/>
        </w:rPr>
      </w:pPr>
    </w:p>
    <w:p w:rsidR="009641EB" w:rsidP="1A0B344F" w:rsidRDefault="009641EB" w14:paraId="519F841D" w14:textId="7CF5CABF">
      <w:pPr>
        <w:spacing w:after="0" w:line="240" w:lineRule="atLeast"/>
        <w:rPr>
          <w:lang w:val="nl-NL"/>
        </w:rPr>
      </w:pPr>
      <w:bookmarkStart w:name="_Hlk242886030" w:id="1"/>
      <w:r w:rsidRPr="00AF4180">
        <w:rPr>
          <w:b/>
          <w:bCs/>
          <w:lang w:val="nl-NL"/>
        </w:rPr>
        <w:t xml:space="preserve">Economische en financiële impact van de Russische agressie tegen Oekraïne </w:t>
      </w:r>
      <w:r>
        <w:rPr>
          <w:b/>
          <w:bCs/>
          <w:lang w:val="nl-NL"/>
        </w:rPr>
        <w:br/>
      </w:r>
      <w:r>
        <w:rPr>
          <w:lang w:val="nl-NL"/>
        </w:rPr>
        <w:t xml:space="preserve">De Commissie voorzag de </w:t>
      </w:r>
      <w:proofErr w:type="spellStart"/>
      <w:r>
        <w:rPr>
          <w:lang w:val="nl-NL"/>
        </w:rPr>
        <w:t>Ecofinraad</w:t>
      </w:r>
      <w:proofErr w:type="spellEnd"/>
      <w:r>
        <w:rPr>
          <w:lang w:val="nl-NL"/>
        </w:rPr>
        <w:t xml:space="preserve"> van de reguliere update over de</w:t>
      </w:r>
      <w:r w:rsidRPr="00AF4180">
        <w:rPr>
          <w:lang w:val="nl-NL"/>
        </w:rPr>
        <w:t xml:space="preserve"> economische en financiële impact van de oorlog in Oekraïn</w:t>
      </w:r>
      <w:r>
        <w:rPr>
          <w:lang w:val="nl-NL"/>
        </w:rPr>
        <w:t>e.</w:t>
      </w:r>
      <w:r>
        <w:rPr>
          <w:rStyle w:val="Voetnootmarkering"/>
          <w:lang w:val="nl-NL"/>
        </w:rPr>
        <w:footnoteReference w:id="11"/>
      </w:r>
      <w:r>
        <w:rPr>
          <w:lang w:val="nl-NL"/>
        </w:rPr>
        <w:t xml:space="preserve"> Ook gaf de Commissie een update over uitbetalingen aan Oekraïne vanuit verschillende steunleningen, waarover u middels de geannoteerde agenda voor deze </w:t>
      </w:r>
      <w:proofErr w:type="spellStart"/>
      <w:r>
        <w:rPr>
          <w:lang w:val="nl-NL"/>
        </w:rPr>
        <w:t>Ecofinraad</w:t>
      </w:r>
      <w:proofErr w:type="spellEnd"/>
      <w:r>
        <w:rPr>
          <w:lang w:val="nl-NL"/>
        </w:rPr>
        <w:t xml:space="preserve"> bent geïnformeerd.</w:t>
      </w:r>
      <w:r>
        <w:rPr>
          <w:rStyle w:val="Voetnootmarkering"/>
          <w:lang w:val="nl-NL"/>
        </w:rPr>
        <w:footnoteReference w:id="12"/>
      </w:r>
      <w:r>
        <w:rPr>
          <w:lang w:val="nl-NL"/>
        </w:rPr>
        <w:t xml:space="preserve"> Het merendeel van de lidstaten, waaronder Nederland, sprak steun uit voor Oekraïne, benadrukte dat het belangrijk is om Oekraïne te blijven steunen en onderstreepte het belang van betrokkenheid van derde landen. Daarvoor is het nodig om tijdig inzicht te hebben in de financieringstekorten en moeten verschillende financieringsopties worden onderzocht. </w:t>
      </w:r>
    </w:p>
    <w:bookmarkEnd w:id="1"/>
    <w:p w:rsidR="009641EB" w:rsidP="009641EB" w:rsidRDefault="009641EB" w14:paraId="6F9C1E6E" w14:textId="77777777">
      <w:pPr>
        <w:spacing w:after="0" w:line="240" w:lineRule="atLeast"/>
        <w:rPr>
          <w:b/>
          <w:bCs/>
          <w:lang w:val="nl-NL"/>
        </w:rPr>
      </w:pPr>
    </w:p>
    <w:p w:rsidR="009641EB" w:rsidP="1A0B344F" w:rsidRDefault="009641EB" w14:paraId="53485041" w14:textId="5FB0D1C6">
      <w:pPr>
        <w:spacing w:after="0" w:line="240" w:lineRule="atLeast"/>
        <w:rPr>
          <w:lang w:val="nl-NL"/>
        </w:rPr>
      </w:pPr>
      <w:r w:rsidRPr="00701641">
        <w:rPr>
          <w:b/>
          <w:bCs/>
          <w:lang w:val="nl-NL"/>
        </w:rPr>
        <w:t>Herstel- en Veerkrachtfaciliteit</w:t>
      </w:r>
      <w:r>
        <w:rPr>
          <w:b/>
          <w:bCs/>
          <w:lang w:val="nl-NL"/>
        </w:rPr>
        <w:br/>
      </w:r>
      <w:r>
        <w:rPr>
          <w:lang w:val="nl-NL"/>
        </w:rPr>
        <w:t>De Commissie gaf een korte toelichting over de stand van zaken van de herstel- en veerkrachtfaciliteit (</w:t>
      </w:r>
      <w:r w:rsidRPr="1A0B344F">
        <w:rPr>
          <w:i/>
          <w:iCs/>
          <w:lang w:val="nl-NL"/>
        </w:rPr>
        <w:t xml:space="preserve">Recovery </w:t>
      </w:r>
      <w:proofErr w:type="spellStart"/>
      <w:r w:rsidRPr="1A0B344F">
        <w:rPr>
          <w:i/>
          <w:iCs/>
          <w:lang w:val="nl-NL"/>
        </w:rPr>
        <w:t>and</w:t>
      </w:r>
      <w:proofErr w:type="spellEnd"/>
      <w:r w:rsidRPr="1A0B344F">
        <w:rPr>
          <w:i/>
          <w:iCs/>
          <w:lang w:val="nl-NL"/>
        </w:rPr>
        <w:t xml:space="preserve"> </w:t>
      </w:r>
      <w:proofErr w:type="spellStart"/>
      <w:r w:rsidRPr="1A0B344F">
        <w:rPr>
          <w:i/>
          <w:iCs/>
          <w:lang w:val="nl-NL"/>
        </w:rPr>
        <w:t>Resilience</w:t>
      </w:r>
      <w:proofErr w:type="spellEnd"/>
      <w:r w:rsidRPr="1A0B344F">
        <w:rPr>
          <w:i/>
          <w:iCs/>
          <w:lang w:val="nl-NL"/>
        </w:rPr>
        <w:t xml:space="preserve"> Facility</w:t>
      </w:r>
      <w:r>
        <w:rPr>
          <w:lang w:val="nl-NL"/>
        </w:rPr>
        <w:t>; RRF).</w:t>
      </w:r>
      <w:r>
        <w:rPr>
          <w:rStyle w:val="Voetnootmarkering"/>
          <w:lang w:val="nl-NL"/>
        </w:rPr>
        <w:footnoteReference w:id="13"/>
      </w:r>
      <w:r>
        <w:rPr>
          <w:lang w:val="nl-NL"/>
        </w:rPr>
        <w:t xml:space="preserve"> Alle lidstaten hebben de laatste betaalverzoeken ingediend. De Commissie werkt aan de beoordeling en streeft ernaar eind november alle betaalverzoeken, inclusief het vijfde en laatste betaalverzoek van Nederland, te hebben beoordeeld. Het RRF</w:t>
      </w:r>
      <w:r w:rsidRPr="00FE7254">
        <w:rPr>
          <w:lang w:val="nl-NL"/>
        </w:rPr>
        <w:t xml:space="preserve"> loopt tot en met 31 december 2026, waarna er geen uitbetalingen uit de faciliteit meer kunnen plaatsvinden.</w:t>
      </w:r>
    </w:p>
    <w:p w:rsidR="009641EB" w:rsidP="009641EB" w:rsidRDefault="009641EB" w14:paraId="183BB5D7" w14:textId="77777777">
      <w:pPr>
        <w:spacing w:after="0" w:line="240" w:lineRule="atLeast"/>
        <w:rPr>
          <w:b/>
          <w:bCs/>
          <w:lang w:val="nl-NL"/>
        </w:rPr>
      </w:pPr>
    </w:p>
    <w:p w:rsidR="009641EB" w:rsidP="1A0B344F" w:rsidRDefault="009641EB" w14:paraId="45BBC5FB" w14:textId="77777777">
      <w:pPr>
        <w:spacing w:after="0" w:line="240" w:lineRule="atLeast"/>
        <w:rPr>
          <w:lang w:val="nl-NL"/>
        </w:rPr>
      </w:pPr>
      <w:r w:rsidRPr="00052B35">
        <w:rPr>
          <w:b/>
          <w:bCs/>
          <w:lang w:val="nl-NL"/>
        </w:rPr>
        <w:t>Europees Semester 2026</w:t>
      </w:r>
      <w:r w:rsidRPr="00052B35">
        <w:rPr>
          <w:b/>
          <w:bCs/>
          <w:lang w:val="nl-NL"/>
        </w:rPr>
        <w:br/>
      </w:r>
      <w:r w:rsidRPr="00052B35">
        <w:rPr>
          <w:lang w:val="nl-NL"/>
        </w:rPr>
        <w:t xml:space="preserve">De Commissie </w:t>
      </w:r>
      <w:r>
        <w:rPr>
          <w:lang w:val="nl-NL"/>
        </w:rPr>
        <w:t xml:space="preserve">gaf een korte toelichting op het aankomende Europees Semester. </w:t>
      </w:r>
      <w:r w:rsidRPr="00FE7254">
        <w:rPr>
          <w:lang w:val="nl-NL"/>
        </w:rPr>
        <w:t>Het Europees Semester is het jaarlijkse proces waarin EU-lidstaten hun economisch, arbeidsmarkt- en begrotingsbeleid coördineren.</w:t>
      </w:r>
      <w:r>
        <w:rPr>
          <w:rStyle w:val="Voetnootmarkering"/>
          <w:lang w:val="nl-NL"/>
        </w:rPr>
        <w:footnoteReference w:id="14"/>
      </w:r>
      <w:r w:rsidRPr="00FE7254">
        <w:rPr>
          <w:lang w:val="nl-NL"/>
        </w:rPr>
        <w:t xml:space="preserve"> De oorsprong hiervan ligt in het Verdrag </w:t>
      </w:r>
      <w:proofErr w:type="gramStart"/>
      <w:r w:rsidRPr="00FE7254">
        <w:rPr>
          <w:lang w:val="nl-NL"/>
        </w:rPr>
        <w:t>betreffende</w:t>
      </w:r>
      <w:proofErr w:type="gramEnd"/>
      <w:r w:rsidRPr="00FE7254">
        <w:rPr>
          <w:lang w:val="nl-NL"/>
        </w:rPr>
        <w:t xml:space="preserve"> de werking van de Europese Unie (VWEU), en de afspraken die daarin zijn gemaakt over het economisch beleid en het werkgelegenheidsbeleid. Het Semester combineert het toezicht op macro-economische onevenwichtigheden, overheidsfinanciën, arbeidsmarktbeleid en het bevorderen van economische groei in de EU. </w:t>
      </w:r>
      <w:r>
        <w:rPr>
          <w:lang w:val="nl-NL"/>
        </w:rPr>
        <w:t>In november wordt het jaarlijkse herfstpakket verwacht wat het startpunt is van het volgende semesterproces.</w:t>
      </w:r>
    </w:p>
    <w:p w:rsidR="009641EB" w:rsidP="009641EB" w:rsidRDefault="009641EB" w14:paraId="4FA715F5" w14:textId="77777777">
      <w:pPr>
        <w:spacing w:after="0" w:line="240" w:lineRule="atLeast"/>
        <w:rPr>
          <w:lang w:val="nl-NL"/>
        </w:rPr>
      </w:pPr>
    </w:p>
    <w:p w:rsidR="009641EB" w:rsidP="1A0B344F" w:rsidRDefault="009641EB" w14:paraId="1C67910A" w14:textId="5D538228">
      <w:pPr>
        <w:spacing w:after="0" w:line="240" w:lineRule="atLeast"/>
        <w:rPr>
          <w:lang w:val="nl-NL"/>
        </w:rPr>
      </w:pPr>
      <w:r w:rsidRPr="0053754B">
        <w:rPr>
          <w:b/>
          <w:bCs/>
          <w:lang w:val="nl-NL"/>
        </w:rPr>
        <w:t>Implementatie Europees begrotingsraamwerk</w:t>
      </w:r>
      <w:r>
        <w:rPr>
          <w:b/>
          <w:bCs/>
          <w:lang w:val="nl-NL"/>
        </w:rPr>
        <w:br/>
      </w:r>
      <w:r>
        <w:rPr>
          <w:lang w:val="nl-NL"/>
        </w:rPr>
        <w:t xml:space="preserve">De </w:t>
      </w:r>
      <w:proofErr w:type="spellStart"/>
      <w:r>
        <w:rPr>
          <w:lang w:val="nl-NL"/>
        </w:rPr>
        <w:t>Ecofinraad</w:t>
      </w:r>
      <w:proofErr w:type="spellEnd"/>
      <w:r>
        <w:rPr>
          <w:lang w:val="nl-NL"/>
        </w:rPr>
        <w:t xml:space="preserve"> sprak over de implementatie van het Europees begrotingsraamwerk. Allereerst werd het herziene budgettair-structureel plan van Tsjechië door de Raad goedgekeurd.</w:t>
      </w:r>
      <w:r>
        <w:rPr>
          <w:rStyle w:val="Voetnootmarkering"/>
          <w:lang w:val="nl-NL"/>
        </w:rPr>
        <w:footnoteReference w:id="15"/>
      </w:r>
      <w:r>
        <w:rPr>
          <w:lang w:val="nl-NL"/>
        </w:rPr>
        <w:t xml:space="preserve"> </w:t>
      </w:r>
      <w:r w:rsidRPr="00B54244">
        <w:rPr>
          <w:lang w:val="nl-NL"/>
        </w:rPr>
        <w:t xml:space="preserve">Tsjechië </w:t>
      </w:r>
      <w:r>
        <w:rPr>
          <w:lang w:val="nl-NL"/>
        </w:rPr>
        <w:t>had</w:t>
      </w:r>
      <w:r w:rsidRPr="00B54244">
        <w:rPr>
          <w:lang w:val="nl-NL"/>
        </w:rPr>
        <w:t xml:space="preserve"> wegens het aantreden van een nieuw kabinet een herzien plan ingediend.</w:t>
      </w:r>
      <w:r>
        <w:rPr>
          <w:lang w:val="nl-NL"/>
        </w:rPr>
        <w:t xml:space="preserve"> </w:t>
      </w:r>
    </w:p>
    <w:p w:rsidR="009641EB" w:rsidP="1A0B344F" w:rsidRDefault="009641EB" w14:paraId="580247CC" w14:textId="6DB21639">
      <w:pPr>
        <w:spacing w:after="0" w:line="240" w:lineRule="atLeast"/>
        <w:rPr>
          <w:lang w:val="nl-NL"/>
        </w:rPr>
      </w:pPr>
      <w:r>
        <w:rPr>
          <w:lang w:val="nl-NL"/>
        </w:rPr>
        <w:t xml:space="preserve">Binnen het Europees begrotingsraamwerk kan op verzoek van een lidstaat de nationale ontsnappingsclausule worden geactiveerd. De aanvraag van Griekenland werd goedgekeurd om de </w:t>
      </w:r>
      <w:proofErr w:type="gramStart"/>
      <w:r>
        <w:rPr>
          <w:lang w:val="nl-NL"/>
        </w:rPr>
        <w:t>reeds</w:t>
      </w:r>
      <w:proofErr w:type="gramEnd"/>
      <w:r>
        <w:rPr>
          <w:lang w:val="nl-NL"/>
        </w:rPr>
        <w:t xml:space="preserve"> geactiveerde nationale ontsnappingsclausule uit te breiden naar energiezekerheidsmaatregelen.</w:t>
      </w:r>
      <w:r>
        <w:rPr>
          <w:rStyle w:val="Voetnootmarkering"/>
          <w:lang w:val="nl-NL"/>
        </w:rPr>
        <w:footnoteReference w:id="16"/>
      </w:r>
    </w:p>
    <w:p w:rsidR="009641EB" w:rsidP="009641EB" w:rsidRDefault="009641EB" w14:paraId="6A89373F" w14:textId="77777777">
      <w:pPr>
        <w:spacing w:after="0" w:line="240" w:lineRule="atLeast"/>
        <w:rPr>
          <w:b/>
          <w:bCs/>
          <w:lang w:val="nl-NL"/>
        </w:rPr>
      </w:pPr>
    </w:p>
    <w:p w:rsidRPr="00B54244" w:rsidR="009641EB" w:rsidP="1A0B344F" w:rsidRDefault="1A0B344F" w14:paraId="2D19596F" w14:textId="35CA0893">
      <w:pPr>
        <w:spacing w:after="0" w:line="240" w:lineRule="atLeast"/>
        <w:rPr>
          <w:lang w:val="nl-NL"/>
        </w:rPr>
      </w:pPr>
      <w:r w:rsidRPr="1A0B344F">
        <w:rPr>
          <w:b/>
          <w:bCs/>
          <w:lang w:val="nl-NL"/>
        </w:rPr>
        <w:t xml:space="preserve">Internationale vergaderingen </w:t>
      </w:r>
      <w:r w:rsidRPr="00694344" w:rsidR="009641EB">
        <w:rPr>
          <w:lang w:val="nl-NL"/>
        </w:rPr>
        <w:br/>
      </w:r>
      <w:r w:rsidRPr="1A0B344F">
        <w:rPr>
          <w:lang w:val="nl-NL"/>
        </w:rPr>
        <w:t xml:space="preserve">De Commissie koppelde terug over de G20-bijeenkomst van ministers van Financiën en Centrale Bank presidenten van 31 augustus en 1 september in </w:t>
      </w:r>
      <w:proofErr w:type="spellStart"/>
      <w:r w:rsidRPr="1A0B344F">
        <w:rPr>
          <w:lang w:val="nl-NL"/>
        </w:rPr>
        <w:t>Asheville</w:t>
      </w:r>
      <w:proofErr w:type="spellEnd"/>
      <w:r w:rsidRPr="1A0B344F">
        <w:rPr>
          <w:lang w:val="nl-NL"/>
        </w:rPr>
        <w:t xml:space="preserve">, de Verenigde Staten. Ook blikte de Raad vooruit op de Jaarvergadering van het IMF en de Wereldbank en de G20 bijeenkomst in </w:t>
      </w:r>
      <w:r w:rsidRPr="1A0B344F">
        <w:rPr>
          <w:lang w:val="nl-NL"/>
        </w:rPr>
        <w:lastRenderedPageBreak/>
        <w:t xml:space="preserve">Bangkok, tevens de laatste bijeenkomst onder het voorzitterschap van de Verenigde Staten. Het Verenigd Konikrijk neemt daarna de rol van voorzitter over.  </w:t>
      </w:r>
    </w:p>
    <w:p w:rsidR="009641EB" w:rsidP="009641EB" w:rsidRDefault="009641EB" w14:paraId="4088C03B" w14:textId="77777777">
      <w:pPr>
        <w:spacing w:after="0" w:line="240" w:lineRule="atLeast"/>
        <w:rPr>
          <w:b/>
          <w:bCs/>
          <w:lang w:val="nl-NL"/>
        </w:rPr>
      </w:pPr>
    </w:p>
    <w:p w:rsidR="009641EB" w:rsidP="1A0B344F" w:rsidRDefault="1A0B344F" w14:paraId="59436728" w14:textId="77777777">
      <w:pPr>
        <w:spacing w:after="0" w:line="240" w:lineRule="atLeast"/>
        <w:rPr>
          <w:b/>
          <w:bCs/>
          <w:u w:val="single"/>
          <w:lang w:val="nl-NL"/>
        </w:rPr>
      </w:pPr>
      <w:r w:rsidRPr="1A0B344F">
        <w:rPr>
          <w:b/>
          <w:bCs/>
          <w:u w:val="single"/>
          <w:lang w:val="nl-NL"/>
        </w:rPr>
        <w:t>Overig</w:t>
      </w:r>
    </w:p>
    <w:p w:rsidR="009641EB" w:rsidP="009641EB" w:rsidRDefault="009641EB" w14:paraId="09D94D90" w14:textId="77777777">
      <w:pPr>
        <w:spacing w:after="0" w:line="240" w:lineRule="atLeast"/>
        <w:rPr>
          <w:b/>
          <w:bCs/>
          <w:u w:val="single"/>
          <w:lang w:val="nl-NL"/>
        </w:rPr>
      </w:pPr>
    </w:p>
    <w:p w:rsidRPr="00F80FD7" w:rsidR="009641EB" w:rsidP="1A0B344F" w:rsidRDefault="009641EB" w14:paraId="70815398" w14:textId="6D97267A">
      <w:pPr>
        <w:spacing w:after="0" w:line="240" w:lineRule="atLeast"/>
        <w:rPr>
          <w:lang w:val="nl-NL"/>
        </w:rPr>
      </w:pPr>
      <w:r w:rsidRPr="1A0B344F">
        <w:rPr>
          <w:b/>
          <w:bCs/>
          <w:lang w:val="nl-NL"/>
        </w:rPr>
        <w:t>Voortgang pakket voor gemeenschappelijke munt</w:t>
      </w:r>
      <w:r w:rsidRPr="00F80FD7">
        <w:rPr>
          <w:b/>
          <w:bCs/>
          <w:szCs w:val="18"/>
          <w:lang w:val="nl-NL"/>
        </w:rPr>
        <w:br/>
      </w:r>
      <w:proofErr w:type="gramStart"/>
      <w:r w:rsidRPr="1A0B344F">
        <w:rPr>
          <w:lang w:val="nl-NL"/>
        </w:rPr>
        <w:t>Conform</w:t>
      </w:r>
      <w:proofErr w:type="gramEnd"/>
      <w:r w:rsidRPr="1A0B344F">
        <w:rPr>
          <w:lang w:val="nl-NL"/>
        </w:rPr>
        <w:t xml:space="preserve"> de wens van </w:t>
      </w:r>
      <w:r w:rsidRPr="1A0B344F" w:rsidR="00386AE1">
        <w:rPr>
          <w:lang w:val="nl-NL"/>
        </w:rPr>
        <w:t>de</w:t>
      </w:r>
      <w:r w:rsidRPr="1A0B344F">
        <w:rPr>
          <w:lang w:val="nl-NL"/>
        </w:rPr>
        <w:t xml:space="preserve"> Kamer inzake de digitale euro en de toezegging ten aanzien van de verordening inzake contant geld (LTCR)</w:t>
      </w:r>
      <w:r w:rsidRPr="1A0B344F">
        <w:rPr>
          <w:rStyle w:val="Voetnootmarkering"/>
        </w:rPr>
        <w:footnoteReference w:id="17"/>
      </w:r>
      <w:r w:rsidRPr="1A0B344F">
        <w:rPr>
          <w:lang w:val="nl-NL"/>
        </w:rPr>
        <w:t xml:space="preserve">, wordt de Kamer maandelijks geïnformeerd over de laatste ontwikkelingen op deze onderwerpen. Beide onderwerpen vormen samen het pakket voor de gemeenschappelijke munt. </w:t>
      </w:r>
    </w:p>
    <w:p w:rsidRPr="00F80FD7" w:rsidR="009641EB" w:rsidP="009641EB" w:rsidRDefault="009641EB" w14:paraId="2C70D698" w14:textId="77777777">
      <w:pPr>
        <w:spacing w:after="0" w:line="240" w:lineRule="atLeast"/>
        <w:rPr>
          <w:lang w:val="nl-NL"/>
        </w:rPr>
      </w:pPr>
    </w:p>
    <w:p w:rsidRPr="00F80FD7" w:rsidR="009641EB" w:rsidP="1A0B344F" w:rsidRDefault="1A0B344F" w14:paraId="7FE5601A" w14:textId="0CBBE05F">
      <w:pPr>
        <w:spacing w:after="0" w:line="240" w:lineRule="atLeast"/>
        <w:rPr>
          <w:lang w:val="nl-NL"/>
        </w:rPr>
      </w:pPr>
      <w:r w:rsidRPr="1A0B344F">
        <w:rPr>
          <w:lang w:val="nl-NL"/>
        </w:rPr>
        <w:t xml:space="preserve">In het verslag van Eurogroep en </w:t>
      </w:r>
      <w:proofErr w:type="spellStart"/>
      <w:r w:rsidRPr="1A0B344F">
        <w:rPr>
          <w:lang w:val="nl-NL"/>
        </w:rPr>
        <w:t>Ecofinraad</w:t>
      </w:r>
      <w:proofErr w:type="spellEnd"/>
      <w:r w:rsidRPr="1A0B344F">
        <w:rPr>
          <w:lang w:val="nl-NL"/>
        </w:rPr>
        <w:t xml:space="preserve"> van september jl. is de Kamer geïnformeerd dat de eerste </w:t>
      </w:r>
      <w:proofErr w:type="spellStart"/>
      <w:r w:rsidRPr="1A0B344F">
        <w:rPr>
          <w:lang w:val="nl-NL"/>
        </w:rPr>
        <w:t>triloogonderhandelingen</w:t>
      </w:r>
      <w:proofErr w:type="spellEnd"/>
      <w:r w:rsidRPr="1A0B344F">
        <w:rPr>
          <w:lang w:val="nl-NL"/>
        </w:rPr>
        <w:t xml:space="preserve"> tussen het Europees Parlement en de Raad hebben plaatsgevonden. Ook deze maand vinden er onderhandelingen plaats en over veel van de onderwerpen wordt nog gesproken. Specifiek gaat het dan om het compensatiemodel, de uitrol van de digitale euro, de toegang tot en acceptatie van zowel contant geld als de digitale euro en mogelijke uitzonderingen. Nederland blijft zich inzetten dat de Nederlandse belangen op deze punten voldoende gewaarborgd blijven. Het Ierse voorzitterschap heeft de ambitie uitgesproken om dit jaar tot een akkoord te komen. </w:t>
      </w:r>
    </w:p>
    <w:p w:rsidR="009641EB" w:rsidP="009641EB" w:rsidRDefault="009641EB" w14:paraId="1DA4D250" w14:textId="77777777">
      <w:pPr>
        <w:spacing w:after="0" w:line="240" w:lineRule="atLeast"/>
        <w:rPr>
          <w:b/>
          <w:bCs/>
          <w:lang w:val="nl-NL"/>
        </w:rPr>
      </w:pPr>
    </w:p>
    <w:p w:rsidR="009641EB" w:rsidP="1A0B344F" w:rsidRDefault="009641EB" w14:paraId="57250D1F" w14:textId="70F4C9CC">
      <w:pPr>
        <w:spacing w:after="0" w:line="240" w:lineRule="atLeast"/>
        <w:rPr>
          <w:lang w:val="nl-NL"/>
        </w:rPr>
      </w:pPr>
      <w:r w:rsidRPr="006D703C">
        <w:rPr>
          <w:b/>
          <w:bCs/>
          <w:lang w:val="nl-NL"/>
        </w:rPr>
        <w:t xml:space="preserve">Herziening van de EU fiscale lijst van non-coöperatieve jurisdicties en coöperatieve jurisdicties </w:t>
      </w:r>
      <w:r>
        <w:rPr>
          <w:b/>
          <w:bCs/>
          <w:lang w:val="nl-NL"/>
        </w:rPr>
        <w:br/>
      </w:r>
      <w:r w:rsidRPr="00D10880">
        <w:rPr>
          <w:lang w:val="nl-NL"/>
        </w:rPr>
        <w:t xml:space="preserve">De herziening van de EU fiscale lijst van non-coöperatieve jurisdicties en coöperatieve jurisdicties </w:t>
      </w:r>
      <w:r>
        <w:rPr>
          <w:lang w:val="nl-NL"/>
        </w:rPr>
        <w:t xml:space="preserve">is </w:t>
      </w:r>
      <w:r w:rsidRPr="00D10880">
        <w:rPr>
          <w:lang w:val="nl-NL"/>
        </w:rPr>
        <w:t>als hamerpunt aangenomen</w:t>
      </w:r>
      <w:r>
        <w:rPr>
          <w:lang w:val="nl-NL"/>
        </w:rPr>
        <w:t xml:space="preserve"> tijdens de </w:t>
      </w:r>
      <w:proofErr w:type="spellStart"/>
      <w:r>
        <w:rPr>
          <w:lang w:val="nl-NL"/>
        </w:rPr>
        <w:t>Ecofinraad</w:t>
      </w:r>
      <w:proofErr w:type="spellEnd"/>
      <w:r>
        <w:rPr>
          <w:lang w:val="nl-NL"/>
        </w:rPr>
        <w:t xml:space="preserve"> van 9 oktober.</w:t>
      </w:r>
      <w:r>
        <w:rPr>
          <w:rStyle w:val="Voetnootmarkering"/>
          <w:lang w:val="nl-NL"/>
        </w:rPr>
        <w:footnoteReference w:id="18"/>
      </w:r>
      <w:r w:rsidRPr="00D10880">
        <w:rPr>
          <w:lang w:val="nl-NL"/>
        </w:rPr>
        <w:t xml:space="preserve"> Deze herziening is opgesteld door de Gedragscodegroep die beoordeelt of landen buiten de EU voldoen aan de Europese minimum fiscale standaard. Landen die daar niet aan voldoen komen te staan op de Europese lijst van non-coöperatieve jurisdicties (EU fisca</w:t>
      </w:r>
      <w:r>
        <w:rPr>
          <w:lang w:val="nl-NL"/>
        </w:rPr>
        <w:t>al</w:t>
      </w:r>
      <w:r w:rsidRPr="00D10880">
        <w:rPr>
          <w:lang w:val="nl-NL"/>
        </w:rPr>
        <w:t xml:space="preserve"> zwarte lijst). Daarnaast is er ook een grijze lijst van landen die niet voldoen aan de standaard maar die op hoog politiek niveau hebben toegezegd om binnen een bepaalde periode alsnog aan de standaard te voldoen. De lijst wordt periodiek herzien, doorgaans tijdens de </w:t>
      </w:r>
      <w:proofErr w:type="spellStart"/>
      <w:r w:rsidRPr="00D10880">
        <w:rPr>
          <w:lang w:val="nl-NL"/>
        </w:rPr>
        <w:t>Ecofinraad</w:t>
      </w:r>
      <w:proofErr w:type="spellEnd"/>
      <w:r w:rsidRPr="00D10880">
        <w:rPr>
          <w:lang w:val="nl-NL"/>
        </w:rPr>
        <w:t xml:space="preserve">-vergaderingen van februari en oktober. </w:t>
      </w:r>
    </w:p>
    <w:p w:rsidRPr="006D703C" w:rsidR="009641EB" w:rsidP="009641EB" w:rsidRDefault="009641EB" w14:paraId="437531BB" w14:textId="77777777">
      <w:pPr>
        <w:spacing w:after="0" w:line="240" w:lineRule="atLeast"/>
        <w:rPr>
          <w:b/>
          <w:bCs/>
          <w:u w:val="single"/>
          <w:lang w:val="nl-NL"/>
        </w:rPr>
      </w:pPr>
    </w:p>
    <w:p w:rsidR="009641EB" w:rsidP="1A0B344F" w:rsidRDefault="1A0B344F" w14:paraId="0201BA1D" w14:textId="40AAADD0">
      <w:pPr>
        <w:spacing w:after="0" w:line="240" w:lineRule="atLeast"/>
        <w:rPr>
          <w:lang w:val="nl-NL"/>
        </w:rPr>
      </w:pPr>
      <w:r w:rsidRPr="1A0B344F">
        <w:rPr>
          <w:lang w:val="nl-NL"/>
        </w:rPr>
        <w:t xml:space="preserve">De </w:t>
      </w:r>
      <w:proofErr w:type="spellStart"/>
      <w:r w:rsidRPr="1A0B344F">
        <w:rPr>
          <w:lang w:val="nl-NL"/>
        </w:rPr>
        <w:t>Ecofinraad</w:t>
      </w:r>
      <w:proofErr w:type="spellEnd"/>
      <w:r w:rsidRPr="1A0B344F">
        <w:rPr>
          <w:lang w:val="nl-NL"/>
        </w:rPr>
        <w:t xml:space="preserve"> heeft ermee ingestemd dat Panama en Vietnam van de EU fiscaal zwarte lijst worden gehaald. De aangepaste EU fiscaal zwarte lijst bestaat uit de volgende 8 jurisdicties: de Amerikaanse Maagdeneilanden, </w:t>
      </w:r>
      <w:proofErr w:type="gramStart"/>
      <w:r w:rsidRPr="1A0B344F">
        <w:rPr>
          <w:lang w:val="nl-NL"/>
        </w:rPr>
        <w:t>Amerikaans Samoa</w:t>
      </w:r>
      <w:proofErr w:type="gramEnd"/>
      <w:r w:rsidRPr="1A0B344F">
        <w:rPr>
          <w:lang w:val="nl-NL"/>
        </w:rPr>
        <w:t xml:space="preserve">, Anguilla, Guam, Palau, Russische Federatie, Turks &amp; Caicoseilanden en Vanuatu. Panama stond sinds februari 2020 op de EU fiscaal zwarte lijst vanwege een schadelijk fiscaal regime. Panama heeft dit regime dusdanig aangepast dat de Gedragscodegroep heeft geconcludeerd dat deze niet meer schadelijk is. Panama wordt verplaatst naar de EU fiscaal grijze lijst omdat Panama nog getoetst moet worden door het Globale Forum voor belastingtransparantie (hierna: het Globale Forum) op de naleving van het criterium uitwisseling van belastinginformatie op verzoek. Vietnam is afgelopen februari op de EU fiscaal zwarte lijst geplaatst nadat uit de evaluatie van het Global Forum was gebleken dat Vietnam niet voldeed aan het criterium uitwisseling van belastinginformatie op verzoek. Na diverse aanpassingen in de nationale wetgeving heeft Vietnam een nieuwe evaluatie bij het Globale Forum aangevraagd. In afwachting daarvan is Vietnam opgenomen op de grijze lijst. Verder is Belize van de EU fiscaal grijze lijst gehaald omdat Belize onlangs van het Globale Forum een positieve score heeft gekregen voor het criterium uitwisseling van belastinginformatie op verzoek. </w:t>
      </w:r>
    </w:p>
    <w:p w:rsidR="009641EB" w:rsidP="009641EB" w:rsidRDefault="009641EB" w14:paraId="174DA296" w14:textId="77777777">
      <w:pPr>
        <w:spacing w:after="0" w:line="240" w:lineRule="atLeast"/>
        <w:rPr>
          <w:lang w:val="nl-NL"/>
        </w:rPr>
      </w:pPr>
    </w:p>
    <w:p w:rsidRPr="003B0453" w:rsidR="009641EB" w:rsidP="1A0B344F" w:rsidRDefault="009641EB" w14:paraId="186302E1" w14:textId="77777777">
      <w:pPr>
        <w:spacing w:after="0" w:line="240" w:lineRule="atLeast"/>
        <w:rPr>
          <w:b/>
          <w:bCs/>
          <w:lang w:val="nl-NL"/>
        </w:rPr>
      </w:pPr>
      <w:r w:rsidRPr="00D10880">
        <w:rPr>
          <w:lang w:val="nl-NL"/>
        </w:rPr>
        <w:t>De landen op de</w:t>
      </w:r>
      <w:r>
        <w:rPr>
          <w:lang w:val="nl-NL"/>
        </w:rPr>
        <w:t xml:space="preserve"> EU</w:t>
      </w:r>
      <w:r w:rsidRPr="00D10880">
        <w:rPr>
          <w:lang w:val="nl-NL"/>
        </w:rPr>
        <w:t xml:space="preserve"> fisca</w:t>
      </w:r>
      <w:r>
        <w:rPr>
          <w:lang w:val="nl-NL"/>
        </w:rPr>
        <w:t>al</w:t>
      </w:r>
      <w:r w:rsidRPr="00D10880">
        <w:rPr>
          <w:lang w:val="nl-NL"/>
        </w:rPr>
        <w:t xml:space="preserve"> grijze lijst hebben toegezegd om binnen een overzichtelijke termijn alsnog te voldoen aan de fiscale standaard. Als dat niet lukt, dan worden de</w:t>
      </w:r>
      <w:r>
        <w:rPr>
          <w:lang w:val="nl-NL"/>
        </w:rPr>
        <w:t>ze</w:t>
      </w:r>
      <w:r w:rsidRPr="00D10880">
        <w:rPr>
          <w:lang w:val="nl-NL"/>
        </w:rPr>
        <w:t xml:space="preserve"> landen </w:t>
      </w:r>
      <w:r>
        <w:rPr>
          <w:lang w:val="nl-NL"/>
        </w:rPr>
        <w:t xml:space="preserve">alsnog </w:t>
      </w:r>
      <w:r w:rsidRPr="00D10880">
        <w:rPr>
          <w:lang w:val="nl-NL"/>
        </w:rPr>
        <w:t>op de EU fisca</w:t>
      </w:r>
      <w:r>
        <w:rPr>
          <w:lang w:val="nl-NL"/>
        </w:rPr>
        <w:t>al</w:t>
      </w:r>
      <w:r w:rsidRPr="00D10880">
        <w:rPr>
          <w:lang w:val="nl-NL"/>
        </w:rPr>
        <w:t xml:space="preserve"> zwarte lijst gezet.</w:t>
      </w:r>
      <w:r>
        <w:rPr>
          <w:lang w:val="nl-NL"/>
        </w:rPr>
        <w:t xml:space="preserve"> De volgende 10 jurisdicties staan op de grijze lijst: </w:t>
      </w:r>
      <w:r w:rsidRPr="00FB7B56">
        <w:rPr>
          <w:lang w:val="nl-NL"/>
        </w:rPr>
        <w:t>Britse Maagdeneilanden, Brunei Darussalam, Eswatini, Groenland, Jordanië, Marokko, Montenegro</w:t>
      </w:r>
      <w:r>
        <w:rPr>
          <w:lang w:val="nl-NL"/>
        </w:rPr>
        <w:t xml:space="preserve">, </w:t>
      </w:r>
      <w:r w:rsidRPr="00502AC0">
        <w:rPr>
          <w:lang w:val="nl-NL"/>
        </w:rPr>
        <w:t>Panama</w:t>
      </w:r>
      <w:r>
        <w:rPr>
          <w:lang w:val="nl-NL"/>
        </w:rPr>
        <w:t>,</w:t>
      </w:r>
      <w:r w:rsidRPr="00FB7B56">
        <w:rPr>
          <w:lang w:val="nl-NL"/>
        </w:rPr>
        <w:t xml:space="preserve"> Turkije</w:t>
      </w:r>
      <w:r>
        <w:rPr>
          <w:lang w:val="nl-NL"/>
        </w:rPr>
        <w:t xml:space="preserve"> en </w:t>
      </w:r>
      <w:r w:rsidRPr="00502AC0">
        <w:rPr>
          <w:lang w:val="nl-NL"/>
        </w:rPr>
        <w:t>Vietnam</w:t>
      </w:r>
      <w:r w:rsidRPr="00FB7B56">
        <w:rPr>
          <w:lang w:val="nl-NL"/>
        </w:rPr>
        <w:t xml:space="preserve">. </w:t>
      </w:r>
      <w:r w:rsidRPr="00D10880">
        <w:rPr>
          <w:lang w:val="nl-NL"/>
        </w:rPr>
        <w:t>Meer informatie over de EU fisca</w:t>
      </w:r>
      <w:r>
        <w:rPr>
          <w:lang w:val="nl-NL"/>
        </w:rPr>
        <w:t>le</w:t>
      </w:r>
      <w:r w:rsidRPr="00D10880">
        <w:rPr>
          <w:lang w:val="nl-NL"/>
        </w:rPr>
        <w:t xml:space="preserve"> lijst</w:t>
      </w:r>
      <w:r>
        <w:rPr>
          <w:lang w:val="nl-NL"/>
        </w:rPr>
        <w:t>en</w:t>
      </w:r>
      <w:r w:rsidRPr="00D10880">
        <w:rPr>
          <w:lang w:val="nl-NL"/>
        </w:rPr>
        <w:t xml:space="preserve"> is te vinden op de website van de Raad van de Europese Unie</w:t>
      </w:r>
      <w:r>
        <w:rPr>
          <w:lang w:val="nl-NL"/>
        </w:rPr>
        <w:t>.</w:t>
      </w:r>
      <w:r>
        <w:rPr>
          <w:rStyle w:val="Voetnootmarkering"/>
          <w:lang w:val="nl-NL"/>
        </w:rPr>
        <w:footnoteReference w:id="19"/>
      </w:r>
    </w:p>
    <w:p w:rsidRPr="00404A83" w:rsidR="003B0453" w:rsidP="009641EB" w:rsidRDefault="003B0453" w14:paraId="5200D5D2" w14:textId="77777777">
      <w:pPr>
        <w:rPr>
          <w:lang w:val="nl-NL"/>
        </w:rPr>
      </w:pPr>
    </w:p>
    <w:sectPr w:rsidRPr="00404A83" w:rsidR="003B0453" w:rsidSect="001E6A24">
      <w:headerReference w:type="default" r:id="rId7"/>
      <w:pgSz w:w="11907" w:h="16840" w:code="9"/>
      <w:pgMar w:top="1440" w:right="1440" w:bottom="1440"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FB26E" w14:textId="77777777" w:rsidR="003009F6" w:rsidRDefault="003009F6" w:rsidP="003D0C00">
      <w:pPr>
        <w:spacing w:after="0" w:line="240" w:lineRule="auto"/>
      </w:pPr>
      <w:r>
        <w:separator/>
      </w:r>
    </w:p>
  </w:endnote>
  <w:endnote w:type="continuationSeparator" w:id="0">
    <w:p w14:paraId="5DFD59BE" w14:textId="77777777" w:rsidR="003009F6" w:rsidRDefault="003009F6" w:rsidP="003D0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FD27E" w14:textId="77777777" w:rsidR="003009F6" w:rsidRDefault="003009F6" w:rsidP="003D0C00">
      <w:pPr>
        <w:spacing w:after="0" w:line="240" w:lineRule="auto"/>
      </w:pPr>
      <w:r>
        <w:separator/>
      </w:r>
    </w:p>
  </w:footnote>
  <w:footnote w:type="continuationSeparator" w:id="0">
    <w:p w14:paraId="3FBB31FC" w14:textId="77777777" w:rsidR="003009F6" w:rsidRDefault="003009F6" w:rsidP="003D0C00">
      <w:pPr>
        <w:spacing w:after="0" w:line="240" w:lineRule="auto"/>
      </w:pPr>
      <w:r>
        <w:continuationSeparator/>
      </w:r>
    </w:p>
  </w:footnote>
  <w:footnote w:id="1">
    <w:p w14:paraId="29722690" w14:textId="77777777" w:rsidR="009641EB" w:rsidRPr="00E76FA3" w:rsidRDefault="009641EB" w:rsidP="009641EB">
      <w:pPr>
        <w:pStyle w:val="Voetnoottekst"/>
        <w:rPr>
          <w:sz w:val="16"/>
          <w:szCs w:val="16"/>
          <w:lang w:val="nl-NL"/>
        </w:rPr>
      </w:pPr>
      <w:r w:rsidRPr="00E76FA3">
        <w:rPr>
          <w:rStyle w:val="Voetnootmarkering"/>
          <w:sz w:val="16"/>
          <w:szCs w:val="16"/>
        </w:rPr>
        <w:footnoteRef/>
      </w:r>
      <w:r w:rsidRPr="00E76FA3">
        <w:rPr>
          <w:sz w:val="16"/>
          <w:szCs w:val="16"/>
        </w:rPr>
        <w:t xml:space="preserve"> </w:t>
      </w:r>
      <w:hyperlink r:id="rId1" w:history="1">
        <w:r w:rsidRPr="00E76FA3">
          <w:rPr>
            <w:rStyle w:val="Hyperlink"/>
            <w:sz w:val="16"/>
            <w:szCs w:val="16"/>
          </w:rPr>
          <w:t>https://www.worldbank.org/en/meetings/splash/annual</w:t>
        </w:r>
      </w:hyperlink>
      <w:r w:rsidRPr="00E76FA3">
        <w:rPr>
          <w:sz w:val="16"/>
          <w:szCs w:val="16"/>
        </w:rPr>
        <w:t xml:space="preserve"> </w:t>
      </w:r>
    </w:p>
  </w:footnote>
  <w:footnote w:id="2">
    <w:p w14:paraId="1B3E3E54" w14:textId="77777777" w:rsidR="009641EB" w:rsidRPr="00E76FA3" w:rsidRDefault="009641EB" w:rsidP="009641EB">
      <w:pPr>
        <w:pStyle w:val="Voetnoottekst"/>
        <w:rPr>
          <w:sz w:val="16"/>
          <w:szCs w:val="16"/>
          <w:lang w:val="nl-NL"/>
        </w:rPr>
      </w:pPr>
      <w:r w:rsidRPr="00E76FA3">
        <w:rPr>
          <w:rStyle w:val="Voetnootmarkering"/>
          <w:sz w:val="16"/>
          <w:szCs w:val="16"/>
        </w:rPr>
        <w:footnoteRef/>
      </w:r>
      <w:r w:rsidRPr="00404A83">
        <w:rPr>
          <w:sz w:val="16"/>
          <w:szCs w:val="16"/>
          <w:lang w:val="nl-NL"/>
        </w:rPr>
        <w:t xml:space="preserve"> </w:t>
      </w:r>
      <w:hyperlink r:id="rId2" w:history="1">
        <w:r w:rsidRPr="00404A83">
          <w:rPr>
            <w:rStyle w:val="Hyperlink"/>
            <w:sz w:val="16"/>
            <w:szCs w:val="16"/>
            <w:lang w:val="nl-NL"/>
          </w:rPr>
          <w:t>https://www.consilium.europa.eu/nl/policies/appointment-of-the-european-central-bank-executive-board/</w:t>
        </w:r>
      </w:hyperlink>
      <w:r w:rsidRPr="00404A83">
        <w:rPr>
          <w:sz w:val="16"/>
          <w:szCs w:val="16"/>
          <w:lang w:val="nl-NL"/>
        </w:rPr>
        <w:t xml:space="preserve"> </w:t>
      </w:r>
    </w:p>
  </w:footnote>
  <w:footnote w:id="3">
    <w:p w14:paraId="3DE9D217" w14:textId="77777777" w:rsidR="009641EB" w:rsidRPr="00E76FA3" w:rsidRDefault="009641EB" w:rsidP="009641EB">
      <w:pPr>
        <w:pStyle w:val="Voetnoottekst"/>
        <w:rPr>
          <w:sz w:val="16"/>
          <w:szCs w:val="16"/>
          <w:lang w:val="nl-NL"/>
        </w:rPr>
      </w:pPr>
      <w:r w:rsidRPr="00E76FA3">
        <w:rPr>
          <w:rStyle w:val="Voetnootmarkering"/>
          <w:sz w:val="16"/>
          <w:szCs w:val="16"/>
        </w:rPr>
        <w:footnoteRef/>
      </w:r>
      <w:r w:rsidRPr="00404A83">
        <w:rPr>
          <w:sz w:val="16"/>
          <w:szCs w:val="16"/>
          <w:lang w:val="nl-NL"/>
        </w:rPr>
        <w:t xml:space="preserve"> </w:t>
      </w:r>
      <w:hyperlink r:id="rId3" w:history="1">
        <w:r w:rsidRPr="00404A83">
          <w:rPr>
            <w:rStyle w:val="Hyperlink"/>
            <w:sz w:val="16"/>
            <w:szCs w:val="16"/>
            <w:lang w:val="nl-NL"/>
          </w:rPr>
          <w:t>https://data.consilium.europa.eu/doc/document/ST-14098-2026-INIT/en/pdf</w:t>
        </w:r>
      </w:hyperlink>
      <w:r w:rsidRPr="00404A83">
        <w:rPr>
          <w:sz w:val="16"/>
          <w:szCs w:val="16"/>
          <w:lang w:val="nl-NL"/>
        </w:rPr>
        <w:t xml:space="preserve"> </w:t>
      </w:r>
    </w:p>
  </w:footnote>
  <w:footnote w:id="4">
    <w:p w14:paraId="4E2D9153" w14:textId="77777777" w:rsidR="009641EB" w:rsidRPr="00E76FA3" w:rsidRDefault="009641EB" w:rsidP="009641EB">
      <w:pPr>
        <w:pStyle w:val="Voetnoottekst"/>
        <w:rPr>
          <w:sz w:val="16"/>
          <w:szCs w:val="16"/>
          <w:lang w:val="nl-NL"/>
        </w:rPr>
      </w:pPr>
      <w:r w:rsidRPr="00E76FA3">
        <w:rPr>
          <w:rStyle w:val="Voetnootmarkering"/>
          <w:sz w:val="16"/>
          <w:szCs w:val="16"/>
        </w:rPr>
        <w:footnoteRef/>
      </w:r>
      <w:r w:rsidRPr="00404A83">
        <w:rPr>
          <w:sz w:val="16"/>
          <w:szCs w:val="16"/>
          <w:lang w:val="nl-NL"/>
        </w:rPr>
        <w:t xml:space="preserve"> </w:t>
      </w:r>
      <w:hyperlink r:id="rId4" w:history="1">
        <w:r w:rsidRPr="00404A83">
          <w:rPr>
            <w:rStyle w:val="Hyperlink"/>
            <w:sz w:val="16"/>
            <w:szCs w:val="16"/>
            <w:lang w:val="nl-NL"/>
          </w:rPr>
          <w:t>https://www.consilium.europa.eu/media/wuwnl3oa/2026-10-8-note-for-eg-on-effectiveness-and-efficiency-of-public-finances.pdf</w:t>
        </w:r>
      </w:hyperlink>
      <w:r w:rsidRPr="00404A83">
        <w:rPr>
          <w:sz w:val="16"/>
          <w:szCs w:val="16"/>
          <w:lang w:val="nl-NL"/>
        </w:rPr>
        <w:t xml:space="preserve"> </w:t>
      </w:r>
    </w:p>
  </w:footnote>
  <w:footnote w:id="5">
    <w:p w14:paraId="452CF63E" w14:textId="77777777" w:rsidR="009641EB" w:rsidRPr="00E76FA3" w:rsidRDefault="009641EB" w:rsidP="009641EB">
      <w:pPr>
        <w:pStyle w:val="Voetnoottekst"/>
        <w:rPr>
          <w:sz w:val="16"/>
          <w:szCs w:val="16"/>
          <w:lang w:val="nl-NL"/>
        </w:rPr>
      </w:pPr>
      <w:r w:rsidRPr="00E76FA3">
        <w:rPr>
          <w:rStyle w:val="Voetnootmarkering"/>
          <w:sz w:val="16"/>
          <w:szCs w:val="16"/>
        </w:rPr>
        <w:footnoteRef/>
      </w:r>
      <w:r w:rsidRPr="00404A83">
        <w:rPr>
          <w:sz w:val="16"/>
          <w:szCs w:val="16"/>
          <w:lang w:val="nl-NL"/>
        </w:rPr>
        <w:t xml:space="preserve"> </w:t>
      </w:r>
      <w:hyperlink r:id="rId5" w:history="1">
        <w:r w:rsidRPr="00404A83">
          <w:rPr>
            <w:rStyle w:val="Hyperlink"/>
            <w:sz w:val="16"/>
            <w:szCs w:val="16"/>
            <w:lang w:val="nl-NL"/>
          </w:rPr>
          <w:t>https://www.consilium.europa.eu/media/04kbnbok/note-on-the-impact-of-energy-markets-on-the-euro-area-economy.pdf</w:t>
        </w:r>
      </w:hyperlink>
      <w:r w:rsidRPr="00404A83">
        <w:rPr>
          <w:sz w:val="16"/>
          <w:szCs w:val="16"/>
          <w:lang w:val="nl-NL"/>
        </w:rPr>
        <w:t xml:space="preserve"> </w:t>
      </w:r>
    </w:p>
  </w:footnote>
  <w:footnote w:id="6">
    <w:p w14:paraId="68EF813D" w14:textId="77777777" w:rsidR="009641EB" w:rsidRPr="00E76FA3" w:rsidRDefault="009641EB" w:rsidP="1A0B344F">
      <w:pPr>
        <w:pStyle w:val="Voetnoottekst"/>
        <w:rPr>
          <w:sz w:val="16"/>
          <w:szCs w:val="16"/>
          <w:lang w:val="nl-NL"/>
        </w:rPr>
      </w:pPr>
      <w:r w:rsidRPr="00E76FA3">
        <w:rPr>
          <w:rStyle w:val="Voetnootmarkering"/>
          <w:sz w:val="16"/>
          <w:szCs w:val="16"/>
        </w:rPr>
        <w:footnoteRef/>
      </w:r>
      <w:r w:rsidRPr="00E76FA3">
        <w:rPr>
          <w:sz w:val="16"/>
          <w:szCs w:val="16"/>
          <w:lang w:val="nl-NL"/>
        </w:rPr>
        <w:t xml:space="preserve"> Kamerstukken II, vergaderjaar 2025–2026, 36 933, nr. 9</w:t>
      </w:r>
    </w:p>
  </w:footnote>
  <w:footnote w:id="7">
    <w:p w14:paraId="473DDD66" w14:textId="77777777" w:rsidR="009641EB" w:rsidRPr="00E76FA3" w:rsidRDefault="009641EB" w:rsidP="1A0B344F">
      <w:pPr>
        <w:pStyle w:val="Voetnoottekst"/>
        <w:rPr>
          <w:sz w:val="16"/>
          <w:szCs w:val="16"/>
          <w:lang w:val="nl-NL"/>
        </w:rPr>
      </w:pPr>
      <w:r w:rsidRPr="00E76FA3">
        <w:rPr>
          <w:rStyle w:val="Voetnootmarkering"/>
          <w:sz w:val="16"/>
          <w:szCs w:val="16"/>
        </w:rPr>
        <w:footnoteRef/>
      </w:r>
      <w:r w:rsidRPr="00E76FA3">
        <w:rPr>
          <w:sz w:val="16"/>
          <w:szCs w:val="16"/>
          <w:lang w:val="nl-NL"/>
        </w:rPr>
        <w:t xml:space="preserve"> Het persbericht van de Raad over het akkoord is raadpleegbaar via: </w:t>
      </w:r>
      <w:hyperlink r:id="rId6" w:history="1">
        <w:r w:rsidRPr="00E76FA3">
          <w:rPr>
            <w:rStyle w:val="Hyperlink"/>
            <w:sz w:val="16"/>
            <w:szCs w:val="16"/>
            <w:lang w:val="nl-NL"/>
          </w:rPr>
          <w:t>https://www.consilium.europa.eu/nl/press/press-releases/2026/10/09/savings-and-investments-union-council-agrees-key-elements-of-crucial-measures-to-deepen-eu-capital-markets/</w:t>
        </w:r>
      </w:hyperlink>
      <w:r w:rsidRPr="00E76FA3">
        <w:rPr>
          <w:sz w:val="16"/>
          <w:szCs w:val="16"/>
          <w:lang w:val="nl-NL"/>
        </w:rPr>
        <w:t xml:space="preserve"> </w:t>
      </w:r>
    </w:p>
  </w:footnote>
  <w:footnote w:id="8">
    <w:p w14:paraId="2B635C89" w14:textId="77777777" w:rsidR="009641EB" w:rsidRPr="00E76FA3" w:rsidRDefault="009641EB" w:rsidP="1A0B344F">
      <w:pPr>
        <w:pStyle w:val="Voetnoottekst"/>
        <w:rPr>
          <w:sz w:val="16"/>
          <w:szCs w:val="16"/>
          <w:lang w:val="nl-NL"/>
        </w:rPr>
      </w:pPr>
      <w:r w:rsidRPr="00E76FA3">
        <w:rPr>
          <w:rStyle w:val="Voetnootmarkering"/>
          <w:sz w:val="16"/>
          <w:szCs w:val="16"/>
        </w:rPr>
        <w:footnoteRef/>
      </w:r>
      <w:r w:rsidRPr="00E76FA3">
        <w:rPr>
          <w:sz w:val="16"/>
          <w:szCs w:val="16"/>
          <w:lang w:val="nl-NL"/>
        </w:rPr>
        <w:t xml:space="preserve"> De voorliggende compromistekst is raadpleegbaar via: </w:t>
      </w:r>
      <w:hyperlink r:id="rId7" w:history="1">
        <w:r w:rsidRPr="00E76FA3">
          <w:rPr>
            <w:rStyle w:val="Hyperlink"/>
            <w:sz w:val="16"/>
            <w:szCs w:val="16"/>
            <w:lang w:val="nl-NL"/>
          </w:rPr>
          <w:t>https://data.consilium.europa.eu/doc/document/ST-13779-2026-INIT/en/pdf</w:t>
        </w:r>
      </w:hyperlink>
      <w:r w:rsidRPr="00E76FA3">
        <w:rPr>
          <w:sz w:val="16"/>
          <w:szCs w:val="16"/>
          <w:lang w:val="nl-NL"/>
        </w:rPr>
        <w:t xml:space="preserve"> </w:t>
      </w:r>
    </w:p>
  </w:footnote>
  <w:footnote w:id="9">
    <w:p w14:paraId="1DE1BC61" w14:textId="77777777" w:rsidR="009641EB" w:rsidRPr="00E76FA3" w:rsidRDefault="009641EB" w:rsidP="1A0B344F">
      <w:pPr>
        <w:pStyle w:val="Voetnoottekst"/>
        <w:rPr>
          <w:sz w:val="16"/>
          <w:szCs w:val="16"/>
          <w:lang w:val="nl-NL"/>
        </w:rPr>
      </w:pPr>
      <w:r w:rsidRPr="00E76FA3">
        <w:rPr>
          <w:rStyle w:val="Voetnootmarkering"/>
          <w:sz w:val="16"/>
          <w:szCs w:val="16"/>
        </w:rPr>
        <w:footnoteRef/>
      </w:r>
      <w:r w:rsidRPr="00E76FA3">
        <w:rPr>
          <w:sz w:val="16"/>
          <w:szCs w:val="16"/>
          <w:lang w:val="nl-NL"/>
        </w:rPr>
        <w:t xml:space="preserve"> </w:t>
      </w:r>
      <w:proofErr w:type="spellStart"/>
      <w:r w:rsidRPr="00E76FA3">
        <w:rPr>
          <w:sz w:val="16"/>
          <w:szCs w:val="16"/>
          <w:lang w:val="nl-NL"/>
        </w:rPr>
        <w:t>Pontes</w:t>
      </w:r>
      <w:proofErr w:type="spellEnd"/>
      <w:r w:rsidRPr="00E76FA3">
        <w:rPr>
          <w:sz w:val="16"/>
          <w:szCs w:val="16"/>
          <w:lang w:val="nl-NL"/>
        </w:rPr>
        <w:t xml:space="preserve"> is de oplossing van het Eurosysteem op het gebied van </w:t>
      </w:r>
      <w:proofErr w:type="spellStart"/>
      <w:r w:rsidRPr="00E76FA3">
        <w:rPr>
          <w:sz w:val="16"/>
          <w:szCs w:val="16"/>
          <w:lang w:val="nl-NL"/>
        </w:rPr>
        <w:t>d</w:t>
      </w:r>
      <w:r w:rsidRPr="1A0B344F">
        <w:rPr>
          <w:i/>
          <w:iCs/>
          <w:sz w:val="16"/>
          <w:szCs w:val="16"/>
          <w:lang w:val="nl-NL"/>
        </w:rPr>
        <w:t>istributed</w:t>
      </w:r>
      <w:proofErr w:type="spellEnd"/>
      <w:r w:rsidRPr="1A0B344F">
        <w:rPr>
          <w:i/>
          <w:iCs/>
          <w:sz w:val="16"/>
          <w:szCs w:val="16"/>
          <w:lang w:val="nl-NL"/>
        </w:rPr>
        <w:t xml:space="preserve"> </w:t>
      </w:r>
      <w:proofErr w:type="spellStart"/>
      <w:r w:rsidRPr="1A0B344F">
        <w:rPr>
          <w:i/>
          <w:iCs/>
          <w:sz w:val="16"/>
          <w:szCs w:val="16"/>
          <w:lang w:val="nl-NL"/>
        </w:rPr>
        <w:t>ledger</w:t>
      </w:r>
      <w:proofErr w:type="spellEnd"/>
      <w:r w:rsidRPr="1A0B344F">
        <w:rPr>
          <w:i/>
          <w:iCs/>
          <w:sz w:val="16"/>
          <w:szCs w:val="16"/>
          <w:lang w:val="nl-NL"/>
        </w:rPr>
        <w:t xml:space="preserve"> </w:t>
      </w:r>
      <w:proofErr w:type="spellStart"/>
      <w:r w:rsidRPr="1A0B344F">
        <w:rPr>
          <w:i/>
          <w:iCs/>
          <w:sz w:val="16"/>
          <w:szCs w:val="16"/>
          <w:lang w:val="nl-NL"/>
        </w:rPr>
        <w:t>technology</w:t>
      </w:r>
      <w:proofErr w:type="spellEnd"/>
      <w:r w:rsidRPr="1A0B344F">
        <w:rPr>
          <w:i/>
          <w:iCs/>
          <w:sz w:val="16"/>
          <w:szCs w:val="16"/>
          <w:lang w:val="nl-NL"/>
        </w:rPr>
        <w:t xml:space="preserve"> </w:t>
      </w:r>
      <w:r w:rsidRPr="00E76FA3">
        <w:rPr>
          <w:sz w:val="16"/>
          <w:szCs w:val="16"/>
          <w:lang w:val="nl-NL"/>
        </w:rPr>
        <w:t>(DLT) die marktplatforms op basis van DLT en TARGET-diensten met elkaar verbindt om DLT-gebaseerde groothandelstransacties af te wikkelen in centraal bankgeld.</w:t>
      </w:r>
    </w:p>
  </w:footnote>
  <w:footnote w:id="10">
    <w:p w14:paraId="78048916" w14:textId="77777777" w:rsidR="009641EB" w:rsidRPr="00E76FA3" w:rsidRDefault="009641EB" w:rsidP="009641EB">
      <w:pPr>
        <w:pStyle w:val="Voetnoottekst"/>
        <w:rPr>
          <w:sz w:val="16"/>
          <w:szCs w:val="16"/>
          <w:lang w:val="nl-NL"/>
        </w:rPr>
      </w:pPr>
      <w:r w:rsidRPr="00E76FA3">
        <w:rPr>
          <w:rStyle w:val="Voetnootmarkering"/>
          <w:sz w:val="16"/>
          <w:szCs w:val="16"/>
        </w:rPr>
        <w:footnoteRef/>
      </w:r>
      <w:r w:rsidRPr="00404A83">
        <w:rPr>
          <w:sz w:val="16"/>
          <w:szCs w:val="16"/>
          <w:lang w:val="nl-NL"/>
        </w:rPr>
        <w:t xml:space="preserve"> </w:t>
      </w:r>
      <w:hyperlink r:id="rId8" w:history="1">
        <w:r w:rsidRPr="00404A83">
          <w:rPr>
            <w:rStyle w:val="Hyperlink"/>
            <w:sz w:val="16"/>
            <w:szCs w:val="16"/>
            <w:lang w:val="nl-NL"/>
          </w:rPr>
          <w:t>https://ec.europa.eu/commission/presscorner/detail/en/ip_26_1637</w:t>
        </w:r>
      </w:hyperlink>
      <w:r w:rsidRPr="00404A83">
        <w:rPr>
          <w:sz w:val="16"/>
          <w:szCs w:val="16"/>
          <w:lang w:val="nl-NL"/>
        </w:rPr>
        <w:t xml:space="preserve"> </w:t>
      </w:r>
    </w:p>
  </w:footnote>
  <w:footnote w:id="11">
    <w:p w14:paraId="610C0581" w14:textId="77777777" w:rsidR="009641EB" w:rsidRPr="00E76FA3" w:rsidRDefault="009641EB" w:rsidP="009641EB">
      <w:pPr>
        <w:pStyle w:val="Voetnoottekst"/>
        <w:rPr>
          <w:sz w:val="16"/>
          <w:szCs w:val="16"/>
          <w:lang w:val="nl-NL"/>
        </w:rPr>
      </w:pPr>
      <w:r w:rsidRPr="00E76FA3">
        <w:rPr>
          <w:rStyle w:val="Voetnootmarkering"/>
          <w:sz w:val="16"/>
          <w:szCs w:val="16"/>
        </w:rPr>
        <w:footnoteRef/>
      </w:r>
      <w:r w:rsidRPr="00404A83">
        <w:rPr>
          <w:sz w:val="16"/>
          <w:szCs w:val="16"/>
          <w:lang w:val="nl-NL"/>
        </w:rPr>
        <w:t xml:space="preserve"> </w:t>
      </w:r>
      <w:hyperlink r:id="rId9" w:history="1">
        <w:r w:rsidRPr="00404A83">
          <w:rPr>
            <w:rStyle w:val="Hyperlink"/>
            <w:sz w:val="16"/>
            <w:szCs w:val="16"/>
            <w:lang w:val="nl-NL"/>
          </w:rPr>
          <w:t>https://www.consilium.europa.eu/nl/policies/eu-solidarity-ukraine/</w:t>
        </w:r>
      </w:hyperlink>
      <w:r w:rsidRPr="00404A83">
        <w:rPr>
          <w:sz w:val="16"/>
          <w:szCs w:val="16"/>
          <w:lang w:val="nl-NL"/>
        </w:rPr>
        <w:t xml:space="preserve"> </w:t>
      </w:r>
    </w:p>
  </w:footnote>
  <w:footnote w:id="12">
    <w:p w14:paraId="253C1116" w14:textId="77777777" w:rsidR="009641EB" w:rsidRPr="00E76FA3" w:rsidRDefault="009641EB" w:rsidP="009641EB">
      <w:pPr>
        <w:pStyle w:val="Voetnoottekst"/>
        <w:rPr>
          <w:sz w:val="16"/>
          <w:szCs w:val="16"/>
          <w:lang w:val="nl-NL"/>
        </w:rPr>
      </w:pPr>
      <w:r w:rsidRPr="00E76FA3">
        <w:rPr>
          <w:rStyle w:val="Voetnootmarkering"/>
          <w:sz w:val="16"/>
          <w:szCs w:val="16"/>
        </w:rPr>
        <w:footnoteRef/>
      </w:r>
      <w:r w:rsidRPr="00404A83">
        <w:rPr>
          <w:sz w:val="16"/>
          <w:szCs w:val="16"/>
          <w:lang w:val="nl-NL"/>
        </w:rPr>
        <w:t xml:space="preserve"> </w:t>
      </w:r>
      <w:hyperlink r:id="rId10" w:history="1">
        <w:r w:rsidRPr="00404A83">
          <w:rPr>
            <w:rStyle w:val="Hyperlink"/>
            <w:sz w:val="16"/>
            <w:szCs w:val="16"/>
            <w:lang w:val="nl-NL"/>
          </w:rPr>
          <w:t>https://www.tweedekamer.nl/kamerstukken/detail?id=2026D47257&amp;did=2026D47257</w:t>
        </w:r>
      </w:hyperlink>
      <w:r w:rsidRPr="00404A83">
        <w:rPr>
          <w:sz w:val="16"/>
          <w:szCs w:val="16"/>
          <w:lang w:val="nl-NL"/>
        </w:rPr>
        <w:t xml:space="preserve"> </w:t>
      </w:r>
    </w:p>
  </w:footnote>
  <w:footnote w:id="13">
    <w:p w14:paraId="0C685010" w14:textId="77777777" w:rsidR="009641EB" w:rsidRPr="00E76FA3" w:rsidRDefault="009641EB" w:rsidP="009641EB">
      <w:pPr>
        <w:pStyle w:val="Voetnoottekst"/>
        <w:rPr>
          <w:sz w:val="16"/>
          <w:szCs w:val="16"/>
          <w:lang w:val="nl-NL"/>
        </w:rPr>
      </w:pPr>
      <w:r w:rsidRPr="00E76FA3">
        <w:rPr>
          <w:rStyle w:val="Voetnootmarkering"/>
          <w:sz w:val="16"/>
          <w:szCs w:val="16"/>
        </w:rPr>
        <w:footnoteRef/>
      </w:r>
      <w:r w:rsidRPr="00404A83">
        <w:rPr>
          <w:sz w:val="16"/>
          <w:szCs w:val="16"/>
          <w:lang w:val="nl-NL"/>
        </w:rPr>
        <w:t xml:space="preserve"> </w:t>
      </w:r>
      <w:hyperlink r:id="rId11" w:history="1">
        <w:r w:rsidRPr="00404A83">
          <w:rPr>
            <w:rStyle w:val="Hyperlink"/>
            <w:sz w:val="16"/>
            <w:szCs w:val="16"/>
            <w:lang w:val="nl-NL"/>
          </w:rPr>
          <w:t>https://reforms-investments.ec.europa.eu/recovery-and-resilience-facility-1_en</w:t>
        </w:r>
      </w:hyperlink>
      <w:r w:rsidRPr="00404A83">
        <w:rPr>
          <w:sz w:val="16"/>
          <w:szCs w:val="16"/>
          <w:lang w:val="nl-NL"/>
        </w:rPr>
        <w:t xml:space="preserve"> </w:t>
      </w:r>
    </w:p>
  </w:footnote>
  <w:footnote w:id="14">
    <w:p w14:paraId="18D42BD7" w14:textId="77777777" w:rsidR="009641EB" w:rsidRPr="00E76FA3" w:rsidRDefault="009641EB" w:rsidP="009641EB">
      <w:pPr>
        <w:pStyle w:val="Voetnoottekst"/>
        <w:rPr>
          <w:sz w:val="16"/>
          <w:szCs w:val="16"/>
          <w:lang w:val="nl-NL"/>
        </w:rPr>
      </w:pPr>
      <w:r w:rsidRPr="00E76FA3">
        <w:rPr>
          <w:rStyle w:val="Voetnootmarkering"/>
          <w:sz w:val="16"/>
          <w:szCs w:val="16"/>
        </w:rPr>
        <w:footnoteRef/>
      </w:r>
      <w:r w:rsidRPr="00404A83">
        <w:rPr>
          <w:sz w:val="16"/>
          <w:szCs w:val="16"/>
          <w:lang w:val="nl-NL"/>
        </w:rPr>
        <w:t xml:space="preserve"> </w:t>
      </w:r>
      <w:hyperlink r:id="rId12" w:history="1">
        <w:r w:rsidRPr="00404A83">
          <w:rPr>
            <w:rStyle w:val="Hyperlink"/>
            <w:sz w:val="16"/>
            <w:szCs w:val="16"/>
            <w:lang w:val="nl-NL"/>
          </w:rPr>
          <w:t>https://www.consilium.europa.eu/nl/policies/european-semester/</w:t>
        </w:r>
      </w:hyperlink>
      <w:r w:rsidRPr="00404A83">
        <w:rPr>
          <w:sz w:val="16"/>
          <w:szCs w:val="16"/>
          <w:lang w:val="nl-NL"/>
        </w:rPr>
        <w:t xml:space="preserve"> </w:t>
      </w:r>
    </w:p>
  </w:footnote>
  <w:footnote w:id="15">
    <w:p w14:paraId="1EA28929" w14:textId="77777777" w:rsidR="009641EB" w:rsidRPr="00E76FA3" w:rsidRDefault="009641EB" w:rsidP="009641EB">
      <w:pPr>
        <w:pStyle w:val="Voetnoottekst"/>
        <w:rPr>
          <w:sz w:val="16"/>
          <w:szCs w:val="16"/>
          <w:lang w:val="nl-NL"/>
        </w:rPr>
      </w:pPr>
      <w:r w:rsidRPr="00E76FA3">
        <w:rPr>
          <w:rStyle w:val="Voetnootmarkering"/>
          <w:sz w:val="16"/>
          <w:szCs w:val="16"/>
        </w:rPr>
        <w:footnoteRef/>
      </w:r>
      <w:r w:rsidRPr="00404A83">
        <w:rPr>
          <w:sz w:val="16"/>
          <w:szCs w:val="16"/>
          <w:lang w:val="nl-NL"/>
        </w:rPr>
        <w:t xml:space="preserve"> </w:t>
      </w:r>
      <w:hyperlink r:id="rId13" w:history="1">
        <w:r w:rsidRPr="00404A83">
          <w:rPr>
            <w:rStyle w:val="Hyperlink"/>
            <w:sz w:val="16"/>
            <w:szCs w:val="16"/>
            <w:lang w:val="nl-NL"/>
          </w:rPr>
          <w:t>https://data.consilium.europa.eu/doc/document/ST-13212-2026-INIT/en/pdf</w:t>
        </w:r>
      </w:hyperlink>
      <w:r w:rsidRPr="00404A83">
        <w:rPr>
          <w:sz w:val="16"/>
          <w:szCs w:val="16"/>
          <w:lang w:val="nl-NL"/>
        </w:rPr>
        <w:t xml:space="preserve"> </w:t>
      </w:r>
    </w:p>
  </w:footnote>
  <w:footnote w:id="16">
    <w:p w14:paraId="5C74AA42" w14:textId="77777777" w:rsidR="009641EB" w:rsidRPr="00E76FA3" w:rsidRDefault="009641EB" w:rsidP="009641EB">
      <w:pPr>
        <w:pStyle w:val="Voetnoottekst"/>
        <w:rPr>
          <w:sz w:val="16"/>
          <w:szCs w:val="16"/>
          <w:lang w:val="nl-NL"/>
        </w:rPr>
      </w:pPr>
      <w:r w:rsidRPr="00E76FA3">
        <w:rPr>
          <w:rStyle w:val="Voetnootmarkering"/>
          <w:sz w:val="16"/>
          <w:szCs w:val="16"/>
        </w:rPr>
        <w:footnoteRef/>
      </w:r>
      <w:r w:rsidRPr="00404A83">
        <w:rPr>
          <w:sz w:val="16"/>
          <w:szCs w:val="16"/>
          <w:lang w:val="nl-NL"/>
        </w:rPr>
        <w:t xml:space="preserve"> </w:t>
      </w:r>
      <w:hyperlink r:id="rId14" w:history="1">
        <w:r w:rsidRPr="00404A83">
          <w:rPr>
            <w:rStyle w:val="Hyperlink"/>
            <w:sz w:val="16"/>
            <w:szCs w:val="16"/>
            <w:lang w:val="nl-NL"/>
          </w:rPr>
          <w:t>https://data.consilium.europa.eu/doc/document/ST-13213-2026-INIT/en/pdf</w:t>
        </w:r>
      </w:hyperlink>
      <w:r w:rsidRPr="00404A83">
        <w:rPr>
          <w:sz w:val="16"/>
          <w:szCs w:val="16"/>
          <w:lang w:val="nl-NL"/>
        </w:rPr>
        <w:t xml:space="preserve"> </w:t>
      </w:r>
    </w:p>
  </w:footnote>
  <w:footnote w:id="17">
    <w:p w14:paraId="02B480F2" w14:textId="77777777" w:rsidR="009641EB" w:rsidRPr="00404A83" w:rsidRDefault="009641EB" w:rsidP="1A0B344F">
      <w:pPr>
        <w:pStyle w:val="Voetnoottekst"/>
        <w:rPr>
          <w:sz w:val="16"/>
          <w:szCs w:val="16"/>
          <w:lang w:val="nl-NL"/>
        </w:rPr>
      </w:pPr>
      <w:r w:rsidRPr="00E76FA3">
        <w:rPr>
          <w:rStyle w:val="Voetnootmarkering"/>
          <w:sz w:val="16"/>
          <w:szCs w:val="16"/>
        </w:rPr>
        <w:footnoteRef/>
      </w:r>
      <w:r w:rsidRPr="00404A83">
        <w:rPr>
          <w:sz w:val="16"/>
          <w:szCs w:val="16"/>
          <w:lang w:val="nl-NL"/>
        </w:rPr>
        <w:t xml:space="preserve"> Kamerstukken II, 2025-2026, 21501-07 nr. 2158.</w:t>
      </w:r>
    </w:p>
  </w:footnote>
  <w:footnote w:id="18">
    <w:p w14:paraId="61C364A8" w14:textId="7CFFCD9C" w:rsidR="009641EB" w:rsidRPr="00E76FA3" w:rsidRDefault="009641EB" w:rsidP="009641EB">
      <w:pPr>
        <w:pStyle w:val="Voetnoottekst"/>
        <w:rPr>
          <w:sz w:val="16"/>
          <w:szCs w:val="16"/>
          <w:lang w:val="nl-NL"/>
        </w:rPr>
      </w:pPr>
      <w:r w:rsidRPr="00E76FA3">
        <w:rPr>
          <w:rStyle w:val="Voetnootmarkering"/>
          <w:sz w:val="16"/>
          <w:szCs w:val="16"/>
        </w:rPr>
        <w:footnoteRef/>
      </w:r>
      <w:r w:rsidRPr="00E76FA3">
        <w:rPr>
          <w:sz w:val="16"/>
          <w:szCs w:val="16"/>
          <w:lang w:val="nl-NL"/>
        </w:rPr>
        <w:t xml:space="preserve"> </w:t>
      </w:r>
      <w:hyperlink r:id="rId15" w:history="1">
        <w:r w:rsidR="00B5237E" w:rsidRPr="00656743">
          <w:rPr>
            <w:rStyle w:val="Hyperlink"/>
            <w:sz w:val="16"/>
            <w:szCs w:val="16"/>
            <w:lang w:val="nl-NL"/>
          </w:rPr>
          <w:t>https://www.consilium.europa.eu/media/qjto30yl/st13854en26.pdf</w:t>
        </w:r>
      </w:hyperlink>
      <w:r w:rsidR="00B5237E">
        <w:rPr>
          <w:sz w:val="16"/>
          <w:szCs w:val="16"/>
          <w:lang w:val="nl-NL"/>
        </w:rPr>
        <w:t xml:space="preserve"> </w:t>
      </w:r>
    </w:p>
  </w:footnote>
  <w:footnote w:id="19">
    <w:p w14:paraId="1FF96956" w14:textId="77777777" w:rsidR="009641EB" w:rsidRPr="00404A83" w:rsidRDefault="009641EB" w:rsidP="009641EB">
      <w:pPr>
        <w:pStyle w:val="Voetnoottekst"/>
        <w:rPr>
          <w:sz w:val="16"/>
          <w:szCs w:val="16"/>
          <w:lang w:val="nl-NL"/>
        </w:rPr>
      </w:pPr>
      <w:r w:rsidRPr="00E76FA3">
        <w:rPr>
          <w:rStyle w:val="Voetnootmarkering"/>
          <w:sz w:val="16"/>
          <w:szCs w:val="16"/>
        </w:rPr>
        <w:footnoteRef/>
      </w:r>
      <w:r w:rsidRPr="00404A83">
        <w:rPr>
          <w:sz w:val="16"/>
          <w:szCs w:val="16"/>
          <w:lang w:val="nl-NL"/>
        </w:rPr>
        <w:t xml:space="preserve"> </w:t>
      </w:r>
      <w:hyperlink r:id="rId16" w:history="1">
        <w:r w:rsidRPr="00404A83">
          <w:rPr>
            <w:rStyle w:val="Hyperlink"/>
            <w:sz w:val="16"/>
            <w:szCs w:val="16"/>
            <w:lang w:val="nl-NL"/>
          </w:rPr>
          <w:t>https://www.consilium.europa.eu/nl/policies/eu-list-of-non-cooperative-jurisdictions/</w:t>
        </w:r>
      </w:hyperlink>
      <w:r w:rsidRPr="00404A83">
        <w:rPr>
          <w:sz w:val="16"/>
          <w:szCs w:val="16"/>
          <w:lang w:val="nl-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0CC4A" w14:textId="4E3A088E" w:rsidR="000A2A6F" w:rsidRPr="00404A83" w:rsidRDefault="1A0B344F" w:rsidP="1A0B344F">
    <w:pPr>
      <w:pStyle w:val="Koptekst"/>
      <w:rPr>
        <w:b/>
        <w:bCs/>
        <w:sz w:val="20"/>
        <w:szCs w:val="20"/>
        <w:u w:val="single"/>
        <w:lang w:val="nl-NL"/>
      </w:rPr>
    </w:pPr>
    <w:r w:rsidRPr="1A0B344F">
      <w:rPr>
        <w:b/>
        <w:bCs/>
        <w:sz w:val="20"/>
        <w:szCs w:val="20"/>
        <w:u w:val="single"/>
        <w:lang w:val="nl-NL"/>
      </w:rPr>
      <w:t xml:space="preserve">Verslag Eurogroep en </w:t>
    </w:r>
    <w:proofErr w:type="spellStart"/>
    <w:r w:rsidRPr="1A0B344F">
      <w:rPr>
        <w:b/>
        <w:bCs/>
        <w:sz w:val="20"/>
        <w:szCs w:val="20"/>
        <w:u w:val="single"/>
        <w:lang w:val="nl-NL"/>
      </w:rPr>
      <w:t>Ecofinraad</w:t>
    </w:r>
    <w:proofErr w:type="spellEnd"/>
    <w:r w:rsidRPr="1A0B344F">
      <w:rPr>
        <w:b/>
        <w:bCs/>
        <w:sz w:val="20"/>
        <w:szCs w:val="20"/>
        <w:u w:val="single"/>
        <w:lang w:val="nl-NL"/>
      </w:rPr>
      <w:t>, 8-9 oktober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449C6"/>
    <w:multiLevelType w:val="hybridMultilevel"/>
    <w:tmpl w:val="955C674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BB3358"/>
    <w:multiLevelType w:val="hybridMultilevel"/>
    <w:tmpl w:val="BEBCCE4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2C932A3"/>
    <w:multiLevelType w:val="hybridMultilevel"/>
    <w:tmpl w:val="2EDC0EC2"/>
    <w:lvl w:ilvl="0" w:tplc="D16498EC">
      <w:start w:val="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C9040CA"/>
    <w:multiLevelType w:val="hybridMultilevel"/>
    <w:tmpl w:val="C0AE59D8"/>
    <w:lvl w:ilvl="0" w:tplc="923C6BD8">
      <w:start w:val="1"/>
      <w:numFmt w:val="bullet"/>
      <w:lvlText w:val=""/>
      <w:lvlJc w:val="left"/>
      <w:pPr>
        <w:ind w:left="360" w:hanging="360"/>
      </w:pPr>
      <w:rPr>
        <w:rFonts w:ascii="Symbol" w:eastAsia="Times New Roman" w:hAnsi="Symbol" w:cs="Arial" w:hint="default"/>
        <w:b w:val="0"/>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5C1558D0"/>
    <w:multiLevelType w:val="multilevel"/>
    <w:tmpl w:val="F89E55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8831A8"/>
    <w:multiLevelType w:val="hybridMultilevel"/>
    <w:tmpl w:val="CAF0DA8C"/>
    <w:lvl w:ilvl="0" w:tplc="1809000F">
      <w:start w:val="1"/>
      <w:numFmt w:val="decimal"/>
      <w:lvlText w:val="%1."/>
      <w:lvlJc w:val="left"/>
      <w:pPr>
        <w:ind w:left="720" w:hanging="360"/>
      </w:pPr>
    </w:lvl>
    <w:lvl w:ilvl="1" w:tplc="18090019">
      <w:start w:val="1"/>
      <w:numFmt w:val="lowerLetter"/>
      <w:lvlText w:val="%2."/>
      <w:lvlJc w:val="left"/>
      <w:pPr>
        <w:ind w:left="1211"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num w:numId="1" w16cid:durableId="675572842">
    <w:abstractNumId w:val="1"/>
  </w:num>
  <w:num w:numId="2" w16cid:durableId="107630976">
    <w:abstractNumId w:val="5"/>
  </w:num>
  <w:num w:numId="3" w16cid:durableId="182862757">
    <w:abstractNumId w:val="0"/>
  </w:num>
  <w:num w:numId="4" w16cid:durableId="607128417">
    <w:abstractNumId w:val="4"/>
  </w:num>
  <w:num w:numId="5" w16cid:durableId="2043896390">
    <w:abstractNumId w:val="2"/>
  </w:num>
  <w:num w:numId="6" w16cid:durableId="13511749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2BC"/>
    <w:rsid w:val="00042467"/>
    <w:rsid w:val="00052B35"/>
    <w:rsid w:val="00096402"/>
    <w:rsid w:val="000A2A6F"/>
    <w:rsid w:val="000A54F4"/>
    <w:rsid w:val="000C1BB0"/>
    <w:rsid w:val="000D423E"/>
    <w:rsid w:val="0012243C"/>
    <w:rsid w:val="00125021"/>
    <w:rsid w:val="00143B68"/>
    <w:rsid w:val="00187E70"/>
    <w:rsid w:val="001974AA"/>
    <w:rsid w:val="001B14BC"/>
    <w:rsid w:val="001B2C74"/>
    <w:rsid w:val="001B3006"/>
    <w:rsid w:val="001B399D"/>
    <w:rsid w:val="001C3EA4"/>
    <w:rsid w:val="001D6530"/>
    <w:rsid w:val="001E6A24"/>
    <w:rsid w:val="00210764"/>
    <w:rsid w:val="002258DB"/>
    <w:rsid w:val="00286870"/>
    <w:rsid w:val="00293CD5"/>
    <w:rsid w:val="002947DE"/>
    <w:rsid w:val="002D302D"/>
    <w:rsid w:val="003009F6"/>
    <w:rsid w:val="00316FC8"/>
    <w:rsid w:val="00345F1A"/>
    <w:rsid w:val="00386AE1"/>
    <w:rsid w:val="003B0453"/>
    <w:rsid w:val="003D0C00"/>
    <w:rsid w:val="003F14C8"/>
    <w:rsid w:val="003F2BD6"/>
    <w:rsid w:val="003F406D"/>
    <w:rsid w:val="00400630"/>
    <w:rsid w:val="00404A83"/>
    <w:rsid w:val="00440088"/>
    <w:rsid w:val="00442443"/>
    <w:rsid w:val="00442E8A"/>
    <w:rsid w:val="00466A91"/>
    <w:rsid w:val="0047133D"/>
    <w:rsid w:val="0049380D"/>
    <w:rsid w:val="004D0E86"/>
    <w:rsid w:val="004D42BC"/>
    <w:rsid w:val="0053754B"/>
    <w:rsid w:val="005410EC"/>
    <w:rsid w:val="00546012"/>
    <w:rsid w:val="00557420"/>
    <w:rsid w:val="00571F97"/>
    <w:rsid w:val="00597A02"/>
    <w:rsid w:val="005C2C60"/>
    <w:rsid w:val="005D5BD2"/>
    <w:rsid w:val="005E453F"/>
    <w:rsid w:val="005E6374"/>
    <w:rsid w:val="00694344"/>
    <w:rsid w:val="006A46D2"/>
    <w:rsid w:val="006B6FFA"/>
    <w:rsid w:val="006D703C"/>
    <w:rsid w:val="006D7B2C"/>
    <w:rsid w:val="006E4EFA"/>
    <w:rsid w:val="00701641"/>
    <w:rsid w:val="00701E9F"/>
    <w:rsid w:val="00785ABE"/>
    <w:rsid w:val="00787006"/>
    <w:rsid w:val="00793383"/>
    <w:rsid w:val="007A41EF"/>
    <w:rsid w:val="007D366B"/>
    <w:rsid w:val="0080298C"/>
    <w:rsid w:val="00817487"/>
    <w:rsid w:val="00871316"/>
    <w:rsid w:val="00882D38"/>
    <w:rsid w:val="008B30CB"/>
    <w:rsid w:val="008D00C4"/>
    <w:rsid w:val="008D578C"/>
    <w:rsid w:val="008E3E63"/>
    <w:rsid w:val="00916A7F"/>
    <w:rsid w:val="009536C5"/>
    <w:rsid w:val="00954838"/>
    <w:rsid w:val="00962BB5"/>
    <w:rsid w:val="009641EB"/>
    <w:rsid w:val="009B27C5"/>
    <w:rsid w:val="009C37D9"/>
    <w:rsid w:val="009C5B50"/>
    <w:rsid w:val="00A23E07"/>
    <w:rsid w:val="00A53FE7"/>
    <w:rsid w:val="00A57800"/>
    <w:rsid w:val="00AA3215"/>
    <w:rsid w:val="00AA4F2C"/>
    <w:rsid w:val="00AD704E"/>
    <w:rsid w:val="00AE2421"/>
    <w:rsid w:val="00AE396E"/>
    <w:rsid w:val="00AF4180"/>
    <w:rsid w:val="00B06701"/>
    <w:rsid w:val="00B13810"/>
    <w:rsid w:val="00B33DCB"/>
    <w:rsid w:val="00B43D99"/>
    <w:rsid w:val="00B5237E"/>
    <w:rsid w:val="00B54244"/>
    <w:rsid w:val="00B659C2"/>
    <w:rsid w:val="00B73F8E"/>
    <w:rsid w:val="00BA6458"/>
    <w:rsid w:val="00BB4EFF"/>
    <w:rsid w:val="00BE7645"/>
    <w:rsid w:val="00C46529"/>
    <w:rsid w:val="00C66BD3"/>
    <w:rsid w:val="00C94980"/>
    <w:rsid w:val="00C97918"/>
    <w:rsid w:val="00CB742F"/>
    <w:rsid w:val="00DC7394"/>
    <w:rsid w:val="00DF054E"/>
    <w:rsid w:val="00E22ACE"/>
    <w:rsid w:val="00E237BB"/>
    <w:rsid w:val="00E30F46"/>
    <w:rsid w:val="00E850C7"/>
    <w:rsid w:val="00EA2477"/>
    <w:rsid w:val="00EA3BFF"/>
    <w:rsid w:val="00EF6883"/>
    <w:rsid w:val="00F011FD"/>
    <w:rsid w:val="00F4357C"/>
    <w:rsid w:val="00F43D18"/>
    <w:rsid w:val="00F50258"/>
    <w:rsid w:val="00F518A6"/>
    <w:rsid w:val="00F700A5"/>
    <w:rsid w:val="00F80FD7"/>
    <w:rsid w:val="00F94157"/>
    <w:rsid w:val="00FF60C3"/>
    <w:rsid w:val="1A0B3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BB5B91"/>
  <w15:chartTrackingRefBased/>
  <w15:docId w15:val="{7BB920BF-FC6B-4F60-8BB2-3735BC3C3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1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94980"/>
  </w:style>
  <w:style w:type="paragraph" w:styleId="Kop1">
    <w:name w:val="heading 1"/>
    <w:basedOn w:val="Standaard"/>
    <w:next w:val="Standaard"/>
    <w:link w:val="Kop1Char"/>
    <w:uiPriority w:val="9"/>
    <w:qFormat/>
    <w:rsid w:val="004D42B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4D42B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4D42BC"/>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4D42BC"/>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4D42BC"/>
    <w:pPr>
      <w:keepNext/>
      <w:keepLines/>
      <w:spacing w:before="80" w:after="40"/>
      <w:outlineLvl w:val="4"/>
    </w:pPr>
    <w:rPr>
      <w:rFonts w:asciiTheme="minorHAnsi" w:eastAsiaTheme="majorEastAsia" w:hAnsiTheme="minorHAnsi" w:cstheme="majorBidi"/>
      <w:color w:val="2E74B5" w:themeColor="accent1" w:themeShade="BF"/>
    </w:rPr>
  </w:style>
  <w:style w:type="paragraph" w:styleId="Kop6">
    <w:name w:val="heading 6"/>
    <w:basedOn w:val="Standaard"/>
    <w:next w:val="Standaard"/>
    <w:link w:val="Kop6Char"/>
    <w:uiPriority w:val="9"/>
    <w:semiHidden/>
    <w:unhideWhenUsed/>
    <w:qFormat/>
    <w:rsid w:val="004D42BC"/>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4D42BC"/>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4D42BC"/>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4D42BC"/>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D42BC"/>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4D42BC"/>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4D42BC"/>
    <w:rPr>
      <w:rFonts w:asciiTheme="minorHAnsi" w:eastAsiaTheme="majorEastAsia" w:hAnsiTheme="minorHAnsi" w:cstheme="majorBidi"/>
      <w:color w:val="2E74B5" w:themeColor="accent1" w:themeShade="BF"/>
      <w:sz w:val="28"/>
      <w:szCs w:val="28"/>
    </w:rPr>
  </w:style>
  <w:style w:type="character" w:customStyle="1" w:styleId="Kop4Char">
    <w:name w:val="Kop 4 Char"/>
    <w:basedOn w:val="Standaardalinea-lettertype"/>
    <w:link w:val="Kop4"/>
    <w:uiPriority w:val="9"/>
    <w:semiHidden/>
    <w:rsid w:val="004D42BC"/>
    <w:rPr>
      <w:rFonts w:asciiTheme="minorHAnsi" w:eastAsiaTheme="majorEastAsia" w:hAnsiTheme="minorHAnsi" w:cstheme="majorBidi"/>
      <w:i/>
      <w:iCs/>
      <w:color w:val="2E74B5" w:themeColor="accent1" w:themeShade="BF"/>
    </w:rPr>
  </w:style>
  <w:style w:type="character" w:customStyle="1" w:styleId="Kop5Char">
    <w:name w:val="Kop 5 Char"/>
    <w:basedOn w:val="Standaardalinea-lettertype"/>
    <w:link w:val="Kop5"/>
    <w:uiPriority w:val="9"/>
    <w:semiHidden/>
    <w:rsid w:val="004D42BC"/>
    <w:rPr>
      <w:rFonts w:asciiTheme="minorHAnsi" w:eastAsiaTheme="majorEastAsia" w:hAnsiTheme="minorHAnsi" w:cstheme="majorBidi"/>
      <w:color w:val="2E74B5" w:themeColor="accent1" w:themeShade="BF"/>
    </w:rPr>
  </w:style>
  <w:style w:type="character" w:customStyle="1" w:styleId="Kop6Char">
    <w:name w:val="Kop 6 Char"/>
    <w:basedOn w:val="Standaardalinea-lettertype"/>
    <w:link w:val="Kop6"/>
    <w:uiPriority w:val="9"/>
    <w:semiHidden/>
    <w:rsid w:val="004D42BC"/>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4D42BC"/>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4D42BC"/>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4D42BC"/>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4D42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D42B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D42B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D42BC"/>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4D42B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D42BC"/>
    <w:rPr>
      <w:i/>
      <w:iCs/>
      <w:color w:val="404040" w:themeColor="text1" w:themeTint="BF"/>
    </w:rPr>
  </w:style>
  <w:style w:type="paragraph" w:styleId="Lijstalinea">
    <w:name w:val="List Paragraph"/>
    <w:aliases w:val="3,List Paragraph1,Dot pt,No Spacing1,List Paragraph Char Char Char,Indicator Text,Numbered Para 1,Bullet Points,MAIN CONTENT,OBC Bullet,List Paragraph11,List Paragraph12,F5 List Paragraph,Colorful List - Accent 11,Normal numbered,Bullet 1,L"/>
    <w:basedOn w:val="Standaard"/>
    <w:link w:val="LijstalineaChar"/>
    <w:uiPriority w:val="34"/>
    <w:qFormat/>
    <w:rsid w:val="004D42BC"/>
    <w:pPr>
      <w:ind w:left="720"/>
      <w:contextualSpacing/>
    </w:pPr>
  </w:style>
  <w:style w:type="character" w:styleId="Intensievebenadrukking">
    <w:name w:val="Intense Emphasis"/>
    <w:basedOn w:val="Standaardalinea-lettertype"/>
    <w:uiPriority w:val="21"/>
    <w:qFormat/>
    <w:rsid w:val="004D42BC"/>
    <w:rPr>
      <w:i/>
      <w:iCs/>
      <w:color w:val="2E74B5" w:themeColor="accent1" w:themeShade="BF"/>
    </w:rPr>
  </w:style>
  <w:style w:type="paragraph" w:styleId="Duidelijkcitaat">
    <w:name w:val="Intense Quote"/>
    <w:basedOn w:val="Standaard"/>
    <w:next w:val="Standaard"/>
    <w:link w:val="DuidelijkcitaatChar"/>
    <w:uiPriority w:val="30"/>
    <w:qFormat/>
    <w:rsid w:val="004D42B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4D42BC"/>
    <w:rPr>
      <w:i/>
      <w:iCs/>
      <w:color w:val="2E74B5" w:themeColor="accent1" w:themeShade="BF"/>
    </w:rPr>
  </w:style>
  <w:style w:type="character" w:styleId="Intensieveverwijzing">
    <w:name w:val="Intense Reference"/>
    <w:basedOn w:val="Standaardalinea-lettertype"/>
    <w:uiPriority w:val="32"/>
    <w:qFormat/>
    <w:rsid w:val="004D42BC"/>
    <w:rPr>
      <w:b/>
      <w:bCs/>
      <w:smallCaps/>
      <w:color w:val="2E74B5" w:themeColor="accent1" w:themeShade="BF"/>
      <w:spacing w:val="5"/>
    </w:rPr>
  </w:style>
  <w:style w:type="character" w:styleId="Hyperlink">
    <w:name w:val="Hyperlink"/>
    <w:basedOn w:val="Standaardalinea-lettertype"/>
    <w:uiPriority w:val="99"/>
    <w:unhideWhenUsed/>
    <w:rsid w:val="00442E8A"/>
    <w:rPr>
      <w:color w:val="0563C1" w:themeColor="hyperlink"/>
      <w:u w:val="single"/>
    </w:rPr>
  </w:style>
  <w:style w:type="character" w:styleId="Onopgelostemelding">
    <w:name w:val="Unresolved Mention"/>
    <w:basedOn w:val="Standaardalinea-lettertype"/>
    <w:uiPriority w:val="99"/>
    <w:semiHidden/>
    <w:unhideWhenUsed/>
    <w:rsid w:val="00442E8A"/>
    <w:rPr>
      <w:color w:val="605E5C"/>
      <w:shd w:val="clear" w:color="auto" w:fill="E1DFDD"/>
    </w:rPr>
  </w:style>
  <w:style w:type="character" w:customStyle="1" w:styleId="LijstalineaChar">
    <w:name w:val="Lijstalinea Char"/>
    <w:aliases w:val="3 Char,List Paragraph1 Char,Dot pt Char,No Spacing1 Char,List Paragraph Char Char Char Char,Indicator Text Char,Numbered Para 1 Char,Bullet Points Char,MAIN CONTENT Char,OBC Bullet Char,List Paragraph11 Char,List Paragraph12 Char,L Char"/>
    <w:link w:val="Lijstalinea"/>
    <w:uiPriority w:val="34"/>
    <w:qFormat/>
    <w:locked/>
    <w:rsid w:val="007A41EF"/>
  </w:style>
  <w:style w:type="paragraph" w:styleId="Plattetekst">
    <w:name w:val="Body Text"/>
    <w:basedOn w:val="Standaard"/>
    <w:link w:val="PlattetekstChar"/>
    <w:rsid w:val="005D5BD2"/>
    <w:pPr>
      <w:widowControl w:val="0"/>
      <w:tabs>
        <w:tab w:val="left" w:pos="1418"/>
        <w:tab w:val="left" w:pos="2835"/>
        <w:tab w:val="left" w:pos="4253"/>
        <w:tab w:val="left" w:pos="5670"/>
      </w:tabs>
      <w:suppressAutoHyphens/>
      <w:spacing w:after="0" w:line="360" w:lineRule="auto"/>
    </w:pPr>
    <w:rPr>
      <w:rFonts w:ascii="Arial" w:eastAsia="Times New Roman" w:hAnsi="Arial" w:cs="Times New Roman"/>
      <w:kern w:val="0"/>
      <w:sz w:val="20"/>
      <w:szCs w:val="20"/>
      <w:lang w:val="nl-NL" w:eastAsia="nl-NL"/>
      <w14:ligatures w14:val="none"/>
    </w:rPr>
  </w:style>
  <w:style w:type="character" w:customStyle="1" w:styleId="PlattetekstChar">
    <w:name w:val="Platte tekst Char"/>
    <w:basedOn w:val="Standaardalinea-lettertype"/>
    <w:link w:val="Plattetekst"/>
    <w:rsid w:val="005D5BD2"/>
    <w:rPr>
      <w:rFonts w:ascii="Arial" w:eastAsia="Times New Roman" w:hAnsi="Arial" w:cs="Times New Roman"/>
      <w:kern w:val="0"/>
      <w:sz w:val="20"/>
      <w:szCs w:val="20"/>
      <w:lang w:val="nl-NL" w:eastAsia="nl-NL"/>
      <w14:ligatures w14:val="none"/>
    </w:rPr>
  </w:style>
  <w:style w:type="paragraph" w:styleId="Voetnoottekst">
    <w:name w:val="footnote text"/>
    <w:basedOn w:val="Standaard"/>
    <w:link w:val="VoetnoottekstChar"/>
    <w:uiPriority w:val="99"/>
    <w:semiHidden/>
    <w:unhideWhenUsed/>
    <w:rsid w:val="003D0C0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3D0C00"/>
    <w:rPr>
      <w:sz w:val="20"/>
      <w:szCs w:val="20"/>
    </w:rPr>
  </w:style>
  <w:style w:type="character" w:styleId="Voetnootmarkering">
    <w:name w:val="footnote reference"/>
    <w:basedOn w:val="Standaardalinea-lettertype"/>
    <w:uiPriority w:val="99"/>
    <w:semiHidden/>
    <w:unhideWhenUsed/>
    <w:rsid w:val="003D0C00"/>
    <w:rPr>
      <w:vertAlign w:val="superscript"/>
    </w:rPr>
  </w:style>
  <w:style w:type="character" w:styleId="Verwijzingopmerking">
    <w:name w:val="annotation reference"/>
    <w:basedOn w:val="Standaardalinea-lettertype"/>
    <w:uiPriority w:val="99"/>
    <w:semiHidden/>
    <w:unhideWhenUsed/>
    <w:rsid w:val="008D578C"/>
    <w:rPr>
      <w:sz w:val="16"/>
      <w:szCs w:val="16"/>
    </w:rPr>
  </w:style>
  <w:style w:type="paragraph" w:styleId="Tekstopmerking">
    <w:name w:val="annotation text"/>
    <w:basedOn w:val="Standaard"/>
    <w:link w:val="TekstopmerkingChar"/>
    <w:uiPriority w:val="99"/>
    <w:unhideWhenUsed/>
    <w:rsid w:val="008D578C"/>
    <w:pPr>
      <w:spacing w:line="240" w:lineRule="auto"/>
    </w:pPr>
    <w:rPr>
      <w:rFonts w:asciiTheme="minorHAnsi" w:hAnsiTheme="minorHAnsi"/>
      <w:sz w:val="20"/>
      <w:szCs w:val="20"/>
      <w:lang w:val="nl-NL"/>
    </w:rPr>
  </w:style>
  <w:style w:type="character" w:customStyle="1" w:styleId="TekstopmerkingChar">
    <w:name w:val="Tekst opmerking Char"/>
    <w:basedOn w:val="Standaardalinea-lettertype"/>
    <w:link w:val="Tekstopmerking"/>
    <w:uiPriority w:val="99"/>
    <w:rsid w:val="008D578C"/>
    <w:rPr>
      <w:rFonts w:asciiTheme="minorHAnsi" w:hAnsiTheme="minorHAnsi"/>
      <w:sz w:val="20"/>
      <w:szCs w:val="20"/>
      <w:lang w:val="nl-NL"/>
    </w:rPr>
  </w:style>
  <w:style w:type="character" w:styleId="GevolgdeHyperlink">
    <w:name w:val="FollowedHyperlink"/>
    <w:basedOn w:val="Standaardalinea-lettertype"/>
    <w:uiPriority w:val="99"/>
    <w:semiHidden/>
    <w:unhideWhenUsed/>
    <w:rsid w:val="006D703C"/>
    <w:rPr>
      <w:color w:val="954F72" w:themeColor="followedHyperlink"/>
      <w:u w:val="single"/>
    </w:rPr>
  </w:style>
  <w:style w:type="paragraph" w:styleId="Koptekst">
    <w:name w:val="header"/>
    <w:basedOn w:val="Standaard"/>
    <w:link w:val="KoptekstChar"/>
    <w:uiPriority w:val="99"/>
    <w:unhideWhenUsed/>
    <w:rsid w:val="000A2A6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A2A6F"/>
  </w:style>
  <w:style w:type="paragraph" w:styleId="Voettekst">
    <w:name w:val="footer"/>
    <w:basedOn w:val="Standaard"/>
    <w:link w:val="VoettekstChar"/>
    <w:uiPriority w:val="99"/>
    <w:unhideWhenUsed/>
    <w:rsid w:val="000A2A6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A2A6F"/>
  </w:style>
  <w:style w:type="paragraph" w:styleId="Eindnoottekst">
    <w:name w:val="endnote text"/>
    <w:basedOn w:val="Standaard"/>
    <w:link w:val="EindnoottekstChar"/>
    <w:uiPriority w:val="99"/>
    <w:semiHidden/>
    <w:unhideWhenUsed/>
    <w:rsid w:val="00187E70"/>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187E70"/>
    <w:rPr>
      <w:sz w:val="20"/>
      <w:szCs w:val="20"/>
    </w:rPr>
  </w:style>
  <w:style w:type="character" w:styleId="Eindnootmarkering">
    <w:name w:val="endnote reference"/>
    <w:basedOn w:val="Standaardalinea-lettertype"/>
    <w:uiPriority w:val="99"/>
    <w:semiHidden/>
    <w:unhideWhenUsed/>
    <w:rsid w:val="00187E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39031">
      <w:bodyDiv w:val="1"/>
      <w:marLeft w:val="0"/>
      <w:marRight w:val="0"/>
      <w:marTop w:val="0"/>
      <w:marBottom w:val="0"/>
      <w:divBdr>
        <w:top w:val="none" w:sz="0" w:space="0" w:color="auto"/>
        <w:left w:val="none" w:sz="0" w:space="0" w:color="auto"/>
        <w:bottom w:val="none" w:sz="0" w:space="0" w:color="auto"/>
        <w:right w:val="none" w:sz="0" w:space="0" w:color="auto"/>
      </w:divBdr>
    </w:div>
    <w:div w:id="328600898">
      <w:bodyDiv w:val="1"/>
      <w:marLeft w:val="0"/>
      <w:marRight w:val="0"/>
      <w:marTop w:val="0"/>
      <w:marBottom w:val="0"/>
      <w:divBdr>
        <w:top w:val="none" w:sz="0" w:space="0" w:color="auto"/>
        <w:left w:val="none" w:sz="0" w:space="0" w:color="auto"/>
        <w:bottom w:val="none" w:sz="0" w:space="0" w:color="auto"/>
        <w:right w:val="none" w:sz="0" w:space="0" w:color="auto"/>
      </w:divBdr>
    </w:div>
    <w:div w:id="349184349">
      <w:bodyDiv w:val="1"/>
      <w:marLeft w:val="0"/>
      <w:marRight w:val="0"/>
      <w:marTop w:val="0"/>
      <w:marBottom w:val="0"/>
      <w:divBdr>
        <w:top w:val="none" w:sz="0" w:space="0" w:color="auto"/>
        <w:left w:val="none" w:sz="0" w:space="0" w:color="auto"/>
        <w:bottom w:val="none" w:sz="0" w:space="0" w:color="auto"/>
        <w:right w:val="none" w:sz="0" w:space="0" w:color="auto"/>
      </w:divBdr>
    </w:div>
    <w:div w:id="593366216">
      <w:bodyDiv w:val="1"/>
      <w:marLeft w:val="0"/>
      <w:marRight w:val="0"/>
      <w:marTop w:val="0"/>
      <w:marBottom w:val="0"/>
      <w:divBdr>
        <w:top w:val="none" w:sz="0" w:space="0" w:color="auto"/>
        <w:left w:val="none" w:sz="0" w:space="0" w:color="auto"/>
        <w:bottom w:val="none" w:sz="0" w:space="0" w:color="auto"/>
        <w:right w:val="none" w:sz="0" w:space="0" w:color="auto"/>
      </w:divBdr>
    </w:div>
    <w:div w:id="835000536">
      <w:bodyDiv w:val="1"/>
      <w:marLeft w:val="0"/>
      <w:marRight w:val="0"/>
      <w:marTop w:val="0"/>
      <w:marBottom w:val="0"/>
      <w:divBdr>
        <w:top w:val="none" w:sz="0" w:space="0" w:color="auto"/>
        <w:left w:val="none" w:sz="0" w:space="0" w:color="auto"/>
        <w:bottom w:val="none" w:sz="0" w:space="0" w:color="auto"/>
        <w:right w:val="none" w:sz="0" w:space="0" w:color="auto"/>
      </w:divBdr>
    </w:div>
    <w:div w:id="971790137">
      <w:bodyDiv w:val="1"/>
      <w:marLeft w:val="0"/>
      <w:marRight w:val="0"/>
      <w:marTop w:val="0"/>
      <w:marBottom w:val="0"/>
      <w:divBdr>
        <w:top w:val="none" w:sz="0" w:space="0" w:color="auto"/>
        <w:left w:val="none" w:sz="0" w:space="0" w:color="auto"/>
        <w:bottom w:val="none" w:sz="0" w:space="0" w:color="auto"/>
        <w:right w:val="none" w:sz="0" w:space="0" w:color="auto"/>
      </w:divBdr>
    </w:div>
    <w:div w:id="1120882450">
      <w:bodyDiv w:val="1"/>
      <w:marLeft w:val="0"/>
      <w:marRight w:val="0"/>
      <w:marTop w:val="0"/>
      <w:marBottom w:val="0"/>
      <w:divBdr>
        <w:top w:val="none" w:sz="0" w:space="0" w:color="auto"/>
        <w:left w:val="none" w:sz="0" w:space="0" w:color="auto"/>
        <w:bottom w:val="none" w:sz="0" w:space="0" w:color="auto"/>
        <w:right w:val="none" w:sz="0" w:space="0" w:color="auto"/>
      </w:divBdr>
    </w:div>
    <w:div w:id="1181622515">
      <w:bodyDiv w:val="1"/>
      <w:marLeft w:val="0"/>
      <w:marRight w:val="0"/>
      <w:marTop w:val="0"/>
      <w:marBottom w:val="0"/>
      <w:divBdr>
        <w:top w:val="none" w:sz="0" w:space="0" w:color="auto"/>
        <w:left w:val="none" w:sz="0" w:space="0" w:color="auto"/>
        <w:bottom w:val="none" w:sz="0" w:space="0" w:color="auto"/>
        <w:right w:val="none" w:sz="0" w:space="0" w:color="auto"/>
      </w:divBdr>
    </w:div>
    <w:div w:id="1210262407">
      <w:bodyDiv w:val="1"/>
      <w:marLeft w:val="0"/>
      <w:marRight w:val="0"/>
      <w:marTop w:val="0"/>
      <w:marBottom w:val="0"/>
      <w:divBdr>
        <w:top w:val="none" w:sz="0" w:space="0" w:color="auto"/>
        <w:left w:val="none" w:sz="0" w:space="0" w:color="auto"/>
        <w:bottom w:val="none" w:sz="0" w:space="0" w:color="auto"/>
        <w:right w:val="none" w:sz="0" w:space="0" w:color="auto"/>
      </w:divBdr>
    </w:div>
    <w:div w:id="1766148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commission/presscorner/detail/en/ip_26_1637" TargetMode="External"/><Relationship Id="rId13" Type="http://schemas.openxmlformats.org/officeDocument/2006/relationships/hyperlink" Target="https://data.consilium.europa.eu/doc/document/ST-13212-2026-INIT/en/pdf" TargetMode="External"/><Relationship Id="rId3" Type="http://schemas.openxmlformats.org/officeDocument/2006/relationships/hyperlink" Target="https://data.consilium.europa.eu/doc/document/ST-14098-2026-INIT/en/pdf" TargetMode="External"/><Relationship Id="rId7" Type="http://schemas.openxmlformats.org/officeDocument/2006/relationships/hyperlink" Target="https://data.consilium.europa.eu/doc/document/ST-13779-2026-INIT/en/pdf" TargetMode="External"/><Relationship Id="rId12" Type="http://schemas.openxmlformats.org/officeDocument/2006/relationships/hyperlink" Target="https://www.consilium.europa.eu/nl/policies/european-semester/" TargetMode="External"/><Relationship Id="rId2" Type="http://schemas.openxmlformats.org/officeDocument/2006/relationships/hyperlink" Target="https://www.consilium.europa.eu/nl/policies/appointment-of-the-european-central-bank-executive-board/" TargetMode="External"/><Relationship Id="rId16" Type="http://schemas.openxmlformats.org/officeDocument/2006/relationships/hyperlink" Target="https://www.consilium.europa.eu/nl/policies/eu-list-of-non-cooperative-jurisdictions/" TargetMode="External"/><Relationship Id="rId1" Type="http://schemas.openxmlformats.org/officeDocument/2006/relationships/hyperlink" Target="https://www.worldbank.org/en/meetings/splash/annual" TargetMode="External"/><Relationship Id="rId6" Type="http://schemas.openxmlformats.org/officeDocument/2006/relationships/hyperlink" Target="https://www.consilium.europa.eu/nl/press/press-releases/2026/10/09/savings-and-investments-union-council-agrees-key-elements-of-crucial-measures-to-deepen-eu-capital-markets/" TargetMode="External"/><Relationship Id="rId11" Type="http://schemas.openxmlformats.org/officeDocument/2006/relationships/hyperlink" Target="https://reforms-investments.ec.europa.eu/recovery-and-resilience-facility-1_en" TargetMode="External"/><Relationship Id="rId5" Type="http://schemas.openxmlformats.org/officeDocument/2006/relationships/hyperlink" Target="https://www.consilium.europa.eu/media/04kbnbok/note-on-the-impact-of-energy-markets-on-the-euro-area-economy.pdf" TargetMode="External"/><Relationship Id="rId15" Type="http://schemas.openxmlformats.org/officeDocument/2006/relationships/hyperlink" Target="https://www.consilium.europa.eu/media/qjto30yl/st13854en26.pdf" TargetMode="External"/><Relationship Id="rId10" Type="http://schemas.openxmlformats.org/officeDocument/2006/relationships/hyperlink" Target="https://www.tweedekamer.nl/kamerstukken/detail?id=2026D47257&amp;did=2026D47257" TargetMode="External"/><Relationship Id="rId4" Type="http://schemas.openxmlformats.org/officeDocument/2006/relationships/hyperlink" Target="https://www.consilium.europa.eu/media/wuwnl3oa/2026-10-8-note-for-eg-on-effectiveness-and-efficiency-of-public-finances.pdf" TargetMode="External"/><Relationship Id="rId9" Type="http://schemas.openxmlformats.org/officeDocument/2006/relationships/hyperlink" Target="https://www.consilium.europa.eu/nl/policies/eu-solidarity-ukraine/" TargetMode="External"/><Relationship Id="rId14" Type="http://schemas.openxmlformats.org/officeDocument/2006/relationships/hyperlink" Target="https://data.consilium.europa.eu/doc/document/ST-13213-2026-INIT/en/pdf"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2996</ap:Words>
  <ap:Characters>16480</ap:Characters>
  <ap:DocSecurity>0</ap:DocSecurity>
  <ap:Lines>137</ap:Lines>
  <ap:Paragraphs>38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19438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2026-10-27T12:53:00.0000000Z</dcterms:created>
  <dcterms:modified xsi:type="dcterms:W3CDTF">2026-10-27T12:53:00.0000000Z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800fede-0e59-47ad-af95-4e63bbdb932d_Enabled">
    <vt:lpwstr>true</vt:lpwstr>
  </property>
  <property fmtid="{D5CDD505-2E9C-101B-9397-08002B2CF9AE}" pid="3" name="MSIP_Label_6800fede-0e59-47ad-af95-4e63bbdb932d_SetDate">
    <vt:lpwstr>2026-10-08T14:11:51Z</vt:lpwstr>
  </property>
  <property fmtid="{D5CDD505-2E9C-101B-9397-08002B2CF9AE}" pid="4" name="MSIP_Label_6800fede-0e59-47ad-af95-4e63bbdb932d_Method">
    <vt:lpwstr>Standard</vt:lpwstr>
  </property>
  <property fmtid="{D5CDD505-2E9C-101B-9397-08002B2CF9AE}" pid="5" name="MSIP_Label_6800fede-0e59-47ad-af95-4e63bbdb932d_Name">
    <vt:lpwstr>FIN-DGGT-Rijksoverheid</vt:lpwstr>
  </property>
  <property fmtid="{D5CDD505-2E9C-101B-9397-08002B2CF9AE}" pid="6" name="MSIP_Label_6800fede-0e59-47ad-af95-4e63bbdb932d_SiteId">
    <vt:lpwstr>84712536-f524-40a0-913b-5d25ba502732</vt:lpwstr>
  </property>
  <property fmtid="{D5CDD505-2E9C-101B-9397-08002B2CF9AE}" pid="7" name="MSIP_Label_6800fede-0e59-47ad-af95-4e63bbdb932d_ActionId">
    <vt:lpwstr>5d3efc6e-d5ab-41c3-afc1-2e95fdb00db1</vt:lpwstr>
  </property>
  <property fmtid="{D5CDD505-2E9C-101B-9397-08002B2CF9AE}" pid="8" name="MSIP_Label_6800fede-0e59-47ad-af95-4e63bbdb932d_ContentBits">
    <vt:lpwstr>0</vt:lpwstr>
  </property>
  <property fmtid="{D5CDD505-2E9C-101B-9397-08002B2CF9AE}" pid="9" name="MSIP_Label_6800fede-0e59-47ad-af95-4e63bbdb932d_Tag">
    <vt:lpwstr>10, 3, 0, 1</vt:lpwstr>
  </property>
</Properties>
</file>