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2026Z22881</w:t>
        <w:br/>
      </w:r>
      <w:proofErr w:type="spellEnd"/>
    </w:p>
    <w:p>
      <w:pPr>
        <w:pStyle w:val="Normal"/>
        <w:rPr>
          <w:b w:val="1"/>
          <w:bCs w:val="1"/>
        </w:rPr>
      </w:pPr>
      <w:r w:rsidR="250AE766">
        <w:rPr>
          <w:b w:val="0"/>
          <w:bCs w:val="0"/>
        </w:rPr>
        <w:t>(ingezonden 23 oktober 2026)</w:t>
        <w:br/>
      </w:r>
    </w:p>
    <w:p>
      <w:r>
        <w:t xml:space="preserve">Vragen van het lid Van Leijen (D66) aan de ministers van Binnenlandse Zaken en Koninkrijksrelaties en van Infrastructuur en Waterstaat over de AIVD-publicatie 'De moderne auto als mogelijke spion'.</w:t>
      </w:r>
      <w:r>
        <w:br/>
      </w:r>
    </w:p>
    <w:p>
      <w:pPr>
        <w:pStyle w:val="ListParagraph"/>
        <w:numPr>
          <w:ilvl w:val="0"/>
          <w:numId w:val="100523090"/>
        </w:numPr>
        <w:ind w:left="360"/>
      </w:pPr>
      <w:r>
        <w:t xml:space="preserve">Bent u bekend met de publicatie 'De moderne auto als mogelijke spion. Digitale dreigingen in slimme voertuigen' van de Algemene Inlichtingen- en Veiligheidsdienst (AIVD) van 30 september 2026? </w:t>
      </w:r>
      <w:r>
        <w:rPr>
          <w:b w:val="1"/>
          <w:bCs w:val="1"/>
        </w:rPr>
        <w:t xml:space="preserve"/>
      </w:r>
      <w:r>
        <w:rPr>
          <w:b w:val="1"/>
          <w:bCs w:val="1"/>
          <w:b w:val="1"/>
          <w:bCs w:val="1"/>
        </w:rPr>
        <w:t xml:space="preserve">[1]</w:t>
      </w:r>
      <w:r>
        <w:rPr/>
        <w:t xml:space="preserve"/>
      </w:r>
      <w:r>
        <w:rPr/>
        <w:t xml:space="preserve"/>
      </w:r>
      <w:r>
        <w:br/>
      </w:r>
    </w:p>
    <w:p>
      <w:pPr>
        <w:pStyle w:val="ListParagraph"/>
        <w:numPr>
          <w:ilvl w:val="0"/>
          <w:numId w:val="100523090"/>
        </w:numPr>
        <w:ind w:left="360"/>
      </w:pPr>
      <w:r>
        <w:t xml:space="preserve">Zijn er in Nederland gevallen bekend waarin microfoons of camera's in voertuigen op afstand zijn ingeschakeld of waarin dat is geprobeerd en bent u bereid de Kamer hierover zo nodig vertrouwelijk te informeren?</w:t>
      </w:r>
      <w:r>
        <w:br/>
      </w:r>
    </w:p>
    <w:p>
      <w:pPr>
        <w:pStyle w:val="ListParagraph"/>
        <w:numPr>
          <w:ilvl w:val="0"/>
          <w:numId w:val="100523090"/>
        </w:numPr>
        <w:ind w:left="360"/>
      </w:pPr>
      <w:r>
        <w:t xml:space="preserve">Deelt u, gelet op de vaststelling van de AIVD dat risico’s via gps, de telematicamodule en laadpalen “niet te voorkomen [zijn] met techniek of door gedrag”, de opvatting dat deze risico’s niet bij de individuele gebruiker kunnen worden neergelegd maar om regelgeving vragen?</w:t>
      </w:r>
      <w:r>
        <w:br/>
      </w:r>
    </w:p>
    <w:p>
      <w:pPr>
        <w:pStyle w:val="ListParagraph"/>
        <w:numPr>
          <w:ilvl w:val="0"/>
          <w:numId w:val="100523090"/>
        </w:numPr>
        <w:ind w:left="360"/>
      </w:pPr>
      <w:r>
        <w:t xml:space="preserve">Bent u bereid in Europees verband te pleiten voor beveiligingseisen die uitsluiten dat verplicht voorgeschreven systemen met microfoons en camera's, zoals eCall en bestuurdersmonitoring, kunnen worden misbruikt om af te luisteren of mee te kijken?</w:t>
      </w:r>
      <w:r>
        <w:br/>
      </w:r>
    </w:p>
    <w:p>
      <w:pPr>
        <w:pStyle w:val="ListParagraph"/>
        <w:numPr>
          <w:ilvl w:val="0"/>
          <w:numId w:val="100523090"/>
        </w:numPr>
        <w:ind w:left="360"/>
      </w:pPr>
      <w:r>
        <w:t xml:space="preserve">Steunt u in de onderhandelingen over de herziening van de Cybersecurity Act dat de Europese Commissie de bevoegdheid krijgt om leveranciers met een hoog risico in de toeleveringsketen van verbonden voertuigen te weren? Zo nee, waarom niet?</w:t>
      </w:r>
      <w:r>
        <w:br/>
      </w:r>
    </w:p>
    <w:p>
      <w:pPr>
        <w:pStyle w:val="ListParagraph"/>
        <w:numPr>
          <w:ilvl w:val="0"/>
          <w:numId w:val="100523090"/>
        </w:numPr>
        <w:ind w:left="360"/>
      </w:pPr>
      <w:r>
        <w:t xml:space="preserve">Op welke concrete wijze waarborgt u in de Raad en richting de Europese Commissie dat voertuigdata, zoals locatie-, camera- en microfoongegevens en gegevens van gekoppelde telefoons, niet worden opgeslagen of verwerkt bij partijen of in landen waar statelijke actoren toegang tot die gegevens kunnen afdwingen?</w:t>
      </w:r>
      <w:r>
        <w:br/>
      </w:r>
    </w:p>
    <w:p>
      <w:pPr>
        <w:pStyle w:val="ListParagraph"/>
        <w:numPr>
          <w:ilvl w:val="0"/>
          <w:numId w:val="100523090"/>
        </w:numPr>
        <w:ind w:left="360"/>
      </w:pPr>
      <w:r>
        <w:t xml:space="preserve">Geldt de regel dat defensiemedewerkers in niet-operationele voertuigen alleen ongerubriceerde informatie mogen bespreken inmiddels ook voor de rest van de rijksoverheid, inclusief bewindspersonen? Zo nee, waarom niet?</w:t>
      </w:r>
      <w:r>
        <w:br/>
      </w:r>
    </w:p>
    <w:p>
      <w:pPr>
        <w:pStyle w:val="ListParagraph"/>
        <w:numPr>
          <w:ilvl w:val="0"/>
          <w:numId w:val="100523090"/>
        </w:numPr>
        <w:ind w:left="360"/>
      </w:pPr>
      <w:r>
        <w:t xml:space="preserve">Is het rijkswagenpark, inclusief de voertuigen waarin bewindspersonen worden vervoerd, getoetst aan de adviezen uit de AIVD-publicatie over onder meer externe camera's, het koppelen van telefoons en ingebouwde navigatie? Zo nee, bent u bereid dit te laten doen?</w:t>
      </w:r>
      <w:r>
        <w:br/>
      </w:r>
    </w:p>
    <w:p>
      <w:pPr>
        <w:pStyle w:val="ListParagraph"/>
        <w:numPr>
          <w:ilvl w:val="0"/>
          <w:numId w:val="100523090"/>
        </w:numPr>
        <w:ind w:left="360"/>
      </w:pPr>
      <w:r>
        <w:t xml:space="preserve">Hoe borgt u bij de opschaling van bidirectioneel laden dat er cybersecurity-eisen gelden voor laadpunten, de achterliggende beheersystemen en aggregators, zodat grote aantallen gekoppelde voertuigen niet kunnen worden ingezet om het elektriciteitsnet te verstoren?</w:t>
      </w:r>
      <w:r>
        <w:br/>
      </w:r>
    </w:p>
    <w:p>
      <w:r>
        <w:t xml:space="preserve"> </w:t>
      </w:r>
      <w:r>
        <w:br/>
      </w:r>
    </w:p>
    <w:p>
      <w:r>
        <w:t xml:space="preserve">[1] AIVD, 30 september 2026, 'Digitale dreigingen in slimme voertuigen', (https://www.aivd.nl/actueel/nieuws/2026/09/30/digitale-dreigingen-in-slimme-voertuigen)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