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Override PartName="/word/webSettings0.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Pr="000E2E31" w:rsidR="00441F86" w:rsidRDefault="00842A28" w14:paraId="7C497A75" w14:textId="4CEB911E">
      <w:bookmarkStart w:name="_GoBack" w:id="0"/>
      <w:bookmarkEnd w:id="0"/>
      <w:r w:rsidRPr="000E2E31">
        <w:rPr>
          <w:b/>
        </w:rPr>
        <w:t>Besluit van</w:t>
      </w:r>
    </w:p>
    <w:p w:rsidRPr="000E2E31" w:rsidR="0004768F" w:rsidP="0004768F" w:rsidRDefault="00842A28" w14:paraId="2E2EB9A4" w14:textId="00117502">
      <w:r w:rsidRPr="000E2E31">
        <w:br/>
      </w:r>
      <w:r w:rsidRPr="000E2E31">
        <w:rPr>
          <w:b/>
        </w:rPr>
        <w:t xml:space="preserve">tot </w:t>
      </w:r>
      <w:r w:rsidRPr="000E2E31" w:rsidR="00842FCC">
        <w:rPr>
          <w:b/>
        </w:rPr>
        <w:t xml:space="preserve">wijziging van het Reglement verkeersregels en verkeerstekens 1990 </w:t>
      </w:r>
      <w:r w:rsidRPr="000E2E31" w:rsidR="00842FCC">
        <w:rPr>
          <w:b/>
          <w:bCs/>
        </w:rPr>
        <w:t>in verband met het verlengen van de overgangsregeling be</w:t>
      </w:r>
      <w:r w:rsidR="00545118">
        <w:rPr>
          <w:b/>
          <w:bCs/>
        </w:rPr>
        <w:t>drijfs</w:t>
      </w:r>
      <w:r w:rsidRPr="000E2E31" w:rsidR="00842FCC">
        <w:rPr>
          <w:b/>
          <w:bCs/>
        </w:rPr>
        <w:t xml:space="preserve">auto’s met emissieklasse 6 in </w:t>
      </w:r>
      <w:r w:rsidRPr="000E2E31" w:rsidR="00C62D5E">
        <w:rPr>
          <w:b/>
          <w:bCs/>
        </w:rPr>
        <w:t>nul</w:t>
      </w:r>
      <w:r w:rsidRPr="000E2E31" w:rsidR="00842FCC">
        <w:rPr>
          <w:b/>
          <w:bCs/>
        </w:rPr>
        <w:t>-emissiezones</w:t>
      </w:r>
      <w:r w:rsidRPr="000E2E31" w:rsidR="00A41164">
        <w:rPr>
          <w:b/>
        </w:rPr>
        <w:t xml:space="preserve"> </w:t>
      </w:r>
      <w:r w:rsidRPr="000E2E31" w:rsidR="00A41164">
        <w:t>[</w:t>
      </w:r>
      <w:r w:rsidRPr="000E2E31" w:rsidR="0004768F">
        <w:t>KetenID WGK</w:t>
      </w:r>
      <w:r w:rsidRPr="000E2E31" w:rsidR="006501F5">
        <w:t xml:space="preserve"> </w:t>
      </w:r>
      <w:r w:rsidRPr="000E2E31" w:rsidR="00F6573D">
        <w:t>029146</w:t>
      </w:r>
      <w:r w:rsidRPr="000E2E31" w:rsidR="00A41164">
        <w:t>]</w:t>
      </w:r>
      <w:r w:rsidRPr="000E2E31" w:rsidR="0004768F">
        <w:t xml:space="preserve">  </w:t>
      </w:r>
    </w:p>
    <w:p w:rsidRPr="000E2E31" w:rsidR="00441F86" w:rsidRDefault="00842A28" w14:paraId="3E9E4907" w14:textId="77777777">
      <w:r w:rsidRPr="000E2E31">
        <w:t> </w:t>
      </w:r>
    </w:p>
    <w:p w:rsidRPr="000E2E31" w:rsidR="00830384" w:rsidRDefault="00842A28" w14:paraId="132AFF7A" w14:textId="7236B5FF">
      <w:r w:rsidRPr="000E2E31">
        <w:br/>
        <w:t>Op de voordracht van</w:t>
      </w:r>
      <w:r w:rsidRPr="000E2E31" w:rsidR="00842FCC">
        <w:t xml:space="preserve"> </w:t>
      </w:r>
      <w:r w:rsidRPr="000E2E31" w:rsidR="00286BC7">
        <w:t xml:space="preserve">de </w:t>
      </w:r>
      <w:r w:rsidRPr="000E2E31" w:rsidR="000E5712">
        <w:t>Staatssecretaris</w:t>
      </w:r>
      <w:r w:rsidRPr="000E2E31">
        <w:t xml:space="preserve"> van Infrastructuur en Waterstaat van</w:t>
      </w:r>
      <w:r w:rsidRPr="000E2E31" w:rsidR="000E5712">
        <w:t xml:space="preserve"> </w:t>
      </w:r>
      <w:r w:rsidRPr="000E2E31" w:rsidR="002B20E9">
        <w:t>[datum]</w:t>
      </w:r>
      <w:r w:rsidRPr="000E2E31" w:rsidR="000E5712">
        <w:t xml:space="preserve"> , </w:t>
      </w:r>
      <w:r w:rsidRPr="000E2E31">
        <w:t>nr. IenW/BSK-</w:t>
      </w:r>
      <w:r w:rsidRPr="000E2E31" w:rsidR="000E5712">
        <w:t xml:space="preserve"> </w:t>
      </w:r>
      <w:r w:rsidRPr="000E2E31" w:rsidR="00EE090E">
        <w:t>....</w:t>
      </w:r>
      <w:r w:rsidRPr="000E2E31" w:rsidR="000E5712">
        <w:t xml:space="preserve">   </w:t>
      </w:r>
      <w:r w:rsidRPr="000E2E31">
        <w:t>, Hoofddirectie Bestuurlijke en Juridische Zaken;</w:t>
      </w:r>
      <w:r w:rsidRPr="000E2E31">
        <w:br/>
      </w:r>
    </w:p>
    <w:p w:rsidRPr="000E2E31" w:rsidR="00830384" w:rsidRDefault="00842A28" w14:paraId="7314FBCE" w14:textId="527B121D">
      <w:r w:rsidRPr="000E2E31">
        <w:t xml:space="preserve">Gelet op </w:t>
      </w:r>
      <w:r w:rsidRPr="000E2E31" w:rsidR="00830384">
        <w:t xml:space="preserve">artikel </w:t>
      </w:r>
      <w:r w:rsidRPr="000E2E31" w:rsidR="00842FCC">
        <w:t>13, eerste lid, van de Wegenverkeerswet 1994;</w:t>
      </w:r>
      <w:r w:rsidRPr="000E2E31">
        <w:br/>
      </w:r>
    </w:p>
    <w:p w:rsidRPr="000E2E31" w:rsidR="00830384" w:rsidRDefault="00842A28" w14:paraId="185C845A" w14:textId="6DDFE13F">
      <w:r w:rsidRPr="000E2E31">
        <w:t xml:space="preserve">De Afdeling advisering van de Raad van State gehoord (advies </w:t>
      </w:r>
      <w:r w:rsidRPr="000E2E31" w:rsidR="000E5712">
        <w:br/>
      </w:r>
      <w:r w:rsidRPr="000E2E31">
        <w:t>van</w:t>
      </w:r>
      <w:r w:rsidRPr="000E2E31" w:rsidR="000E5712">
        <w:t xml:space="preserve">                 </w:t>
      </w:r>
      <w:r w:rsidRPr="000E2E31">
        <w:t xml:space="preserve">, nr. </w:t>
      </w:r>
      <w:r w:rsidRPr="000E2E31" w:rsidR="000E5712">
        <w:t xml:space="preserve">         </w:t>
      </w:r>
      <w:r w:rsidRPr="000E2E31">
        <w:t>);</w:t>
      </w:r>
      <w:r w:rsidRPr="000E2E31">
        <w:br/>
        <w:t>Gezien het nader rapport van</w:t>
      </w:r>
      <w:r w:rsidRPr="000E2E31" w:rsidR="00842FCC">
        <w:t xml:space="preserve"> </w:t>
      </w:r>
      <w:r w:rsidRPr="000E2E31" w:rsidR="00286BC7">
        <w:t>de Staatssecretaris</w:t>
      </w:r>
      <w:r w:rsidRPr="000E2E31">
        <w:t xml:space="preserve"> van Infrastructuur en Waterstaat van</w:t>
      </w:r>
      <w:r w:rsidRPr="000E2E31" w:rsidR="000E5712">
        <w:t xml:space="preserve"> </w:t>
      </w:r>
      <w:r w:rsidRPr="000E2E31" w:rsidR="002B20E9">
        <w:t>[datum]</w:t>
      </w:r>
      <w:r w:rsidRPr="000E2E31">
        <w:t>, nr. IenW/BSK-</w:t>
      </w:r>
      <w:r w:rsidRPr="000E2E31" w:rsidR="000E5712">
        <w:t xml:space="preserve">                </w:t>
      </w:r>
      <w:r w:rsidRPr="000E2E31">
        <w:t>, Hoofddirectie Bestuurlijke en Juridische Zaken;</w:t>
      </w:r>
    </w:p>
    <w:p w:rsidRPr="000E2E31" w:rsidR="00441F86" w:rsidRDefault="00441F86" w14:paraId="5964678F" w14:textId="3E8CB8FF"/>
    <w:p w:rsidRPr="000E2E31" w:rsidR="00441F86" w:rsidRDefault="00842A28" w14:paraId="7BE5C6DE" w14:textId="77777777">
      <w:r w:rsidRPr="000E2E31">
        <w:t> </w:t>
      </w:r>
    </w:p>
    <w:p w:rsidRPr="000E2E31" w:rsidR="00441F86" w:rsidRDefault="00842A28" w14:paraId="390B1E65" w14:textId="77777777">
      <w:r w:rsidRPr="000E2E31">
        <w:t>Hebben goedgevonden en verstaan:</w:t>
      </w:r>
    </w:p>
    <w:p w:rsidRPr="000E2E31" w:rsidR="00441F86" w:rsidRDefault="00842A28" w14:paraId="7A99EA52" w14:textId="77777777">
      <w:r w:rsidRPr="000E2E31">
        <w:t> </w:t>
      </w:r>
    </w:p>
    <w:p w:rsidRPr="000E2E31" w:rsidR="00441F86" w:rsidRDefault="00842A28" w14:paraId="7DBF3FA0" w14:textId="77777777">
      <w:r w:rsidRPr="000E2E31">
        <w:t> </w:t>
      </w:r>
    </w:p>
    <w:p w:rsidRPr="000E2E31" w:rsidR="00842FCC" w:rsidRDefault="00842FCC" w14:paraId="04188848" w14:textId="3784BFF0">
      <w:pPr>
        <w:rPr>
          <w:b/>
          <w:bCs/>
        </w:rPr>
      </w:pPr>
      <w:r w:rsidRPr="000E2E31">
        <w:rPr>
          <w:b/>
          <w:bCs/>
        </w:rPr>
        <w:t>ARTIKEL I</w:t>
      </w:r>
    </w:p>
    <w:p w:rsidRPr="000E2E31" w:rsidR="00842FCC" w:rsidRDefault="00842FCC" w14:paraId="511BA419" w14:textId="77777777"/>
    <w:p w:rsidRPr="000E2E31" w:rsidR="000E5712" w:rsidP="000E5712" w:rsidRDefault="00AB451D" w14:paraId="388DDC50" w14:textId="0D780918">
      <w:r w:rsidRPr="000E2E31">
        <w:t xml:space="preserve">In artikel 86e, vierde lid, </w:t>
      </w:r>
      <w:r w:rsidRPr="000E2E31" w:rsidR="00842FCC">
        <w:t>van het Reglement verkeersregels en verkeerstekens 1</w:t>
      </w:r>
      <w:r w:rsidRPr="000E2E31" w:rsidR="00B06ABF">
        <w:t>9</w:t>
      </w:r>
      <w:r w:rsidRPr="000E2E31" w:rsidR="00842FCC">
        <w:t xml:space="preserve">90 </w:t>
      </w:r>
      <w:r w:rsidRPr="000E2E31">
        <w:t xml:space="preserve">wordt “2027” vervangen door “2028”. </w:t>
      </w:r>
    </w:p>
    <w:p w:rsidRPr="000E2E31" w:rsidR="00441F86" w:rsidRDefault="00441F86" w14:paraId="2CF8D66F" w14:textId="3549B8F0"/>
    <w:p w:rsidRPr="000E2E31" w:rsidR="00441F86" w:rsidRDefault="00842A28" w14:paraId="050229C3" w14:textId="3F908F79">
      <w:r w:rsidRPr="000E2E31">
        <w:t> </w:t>
      </w:r>
    </w:p>
    <w:p w:rsidRPr="000E2E31" w:rsidR="00842FCC" w:rsidRDefault="00842FCC" w14:paraId="5F0D18F2" w14:textId="2E454C05">
      <w:pPr>
        <w:rPr>
          <w:b/>
          <w:bCs/>
        </w:rPr>
      </w:pPr>
      <w:r w:rsidRPr="000E2E31">
        <w:rPr>
          <w:b/>
          <w:bCs/>
        </w:rPr>
        <w:t>ARTIKEL II</w:t>
      </w:r>
    </w:p>
    <w:p w:rsidRPr="000E2E31" w:rsidR="00842FCC" w:rsidRDefault="00842FCC" w14:paraId="2493883E" w14:textId="77777777"/>
    <w:p w:rsidRPr="000E2E31" w:rsidR="00842FCC" w:rsidRDefault="00842FCC" w14:paraId="516EDA80" w14:textId="21F7A350">
      <w:r w:rsidRPr="000E2E31">
        <w:t xml:space="preserve">Dit besluit treedt in werking met ingang </w:t>
      </w:r>
      <w:r w:rsidRPr="000E2E31" w:rsidR="007B6606">
        <w:t xml:space="preserve">van </w:t>
      </w:r>
      <w:r w:rsidRPr="000E2E31" w:rsidR="008343D2">
        <w:t>1 j</w:t>
      </w:r>
      <w:r w:rsidRPr="000E2E31" w:rsidR="004E4827">
        <w:t xml:space="preserve">uli </w:t>
      </w:r>
      <w:r w:rsidRPr="000E2E31" w:rsidR="008343D2">
        <w:t>2027</w:t>
      </w:r>
      <w:r w:rsidRPr="000E2E31" w:rsidR="005712B9">
        <w:t>.</w:t>
      </w:r>
    </w:p>
    <w:p w:rsidRPr="000E2E31" w:rsidR="00842FCC" w:rsidRDefault="00842FCC" w14:paraId="2B4D7795" w14:textId="77777777"/>
    <w:p w:rsidRPr="000E2E31" w:rsidR="00842FCC" w:rsidRDefault="00842FCC" w14:paraId="26B42208" w14:textId="77777777"/>
    <w:p w:rsidRPr="000E2E31" w:rsidR="00441F86" w:rsidRDefault="00842A28" w14:paraId="3F08C57A" w14:textId="7DB1036F">
      <w:r w:rsidRPr="000E2E31">
        <w:t>Lasten en bevelen dat dit besluit met de daarbij behorende nota van toelichting in het Staatsblad</w:t>
      </w:r>
      <w:r w:rsidRPr="000E2E31" w:rsidR="000E5712">
        <w:t xml:space="preserve"> </w:t>
      </w:r>
      <w:r w:rsidRPr="000E2E31">
        <w:t>zal worden geplaatst.</w:t>
      </w:r>
    </w:p>
    <w:p w:rsidRPr="000E2E31" w:rsidR="00441F86" w:rsidRDefault="00842A28" w14:paraId="4E8CB688" w14:textId="77777777">
      <w:r w:rsidRPr="000E2E31">
        <w:t> </w:t>
      </w:r>
    </w:p>
    <w:p w:rsidRPr="000E2E31" w:rsidR="00441F86" w:rsidRDefault="00842A28" w14:paraId="074357C0" w14:textId="77777777">
      <w:r w:rsidRPr="000E2E31">
        <w:t> </w:t>
      </w:r>
    </w:p>
    <w:p w:rsidRPr="000E2E31" w:rsidR="00441F86" w:rsidRDefault="00441F86" w14:paraId="3B5EBE8E" w14:textId="69B66FC5"/>
    <w:p w:rsidRPr="000E2E31" w:rsidR="009E3EC8" w:rsidP="002B20E9" w:rsidRDefault="002B20E9" w14:paraId="18F3010C" w14:textId="31F21D92">
      <w:pPr>
        <w:pStyle w:val="HBJZ-Kamerstukken-regelafstand13"/>
      </w:pPr>
      <w:r w:rsidRPr="000E2E31">
        <w:t>DE</w:t>
      </w:r>
      <w:r w:rsidRPr="000E2E31" w:rsidR="004A2B35">
        <w:t xml:space="preserve"> </w:t>
      </w:r>
      <w:r w:rsidRPr="000E2E31" w:rsidR="009E3EC8">
        <w:t>STAATSSECRETARIS</w:t>
      </w:r>
      <w:r w:rsidRPr="000E2E31">
        <w:t xml:space="preserve"> VAN INFRASTRUCTUUR EN WATERSTAAT</w:t>
      </w:r>
      <w:r w:rsidRPr="000E2E31" w:rsidR="005D38A6">
        <w:t>,</w:t>
      </w:r>
    </w:p>
    <w:p w:rsidRPr="000E2E31" w:rsidR="009E3EC8" w:rsidP="002B20E9" w:rsidRDefault="009E3EC8" w14:paraId="5696EF99" w14:textId="77777777">
      <w:pPr>
        <w:pStyle w:val="HBJZ-Kamerstukken-regelafstand13"/>
      </w:pPr>
    </w:p>
    <w:p w:rsidRPr="000E2E31" w:rsidR="009E3EC8" w:rsidP="002B20E9" w:rsidRDefault="009E3EC8" w14:paraId="05D6CDAA" w14:textId="77777777">
      <w:pPr>
        <w:pStyle w:val="HBJZ-Kamerstukken-regelafstand13"/>
      </w:pPr>
    </w:p>
    <w:p w:rsidRPr="000E2E31" w:rsidR="00961DA2" w:rsidP="00961DA2" w:rsidRDefault="00961DA2" w14:paraId="25728EF4" w14:textId="77777777">
      <w:pPr>
        <w:pStyle w:val="HBJZ-Kamerstukken-regelafstand138"/>
      </w:pPr>
    </w:p>
    <w:p w:rsidRPr="000E2E31" w:rsidR="008343D2" w:rsidP="008343D2" w:rsidRDefault="008343D2" w14:paraId="698D9DDE" w14:textId="77777777">
      <w:pPr>
        <w:rPr>
          <w:b/>
          <w:bCs/>
        </w:rPr>
      </w:pPr>
    </w:p>
    <w:p w:rsidRPr="0011274F" w:rsidR="008343D2" w:rsidP="0011274F" w:rsidRDefault="008343D2" w14:paraId="1F641BB5" w14:textId="7AF6CFC4">
      <w:pPr>
        <w:rPr>
          <w:b/>
          <w:bCs/>
        </w:rPr>
      </w:pPr>
      <w:r w:rsidRPr="0011274F">
        <w:rPr>
          <w:b/>
          <w:bCs/>
        </w:rPr>
        <w:lastRenderedPageBreak/>
        <w:t>NOTA VAN TOELICHTING</w:t>
      </w:r>
    </w:p>
    <w:p w:rsidRPr="0011274F" w:rsidR="008343D2" w:rsidP="0011274F" w:rsidRDefault="008343D2" w14:paraId="66C091CD" w14:textId="77777777">
      <w:pPr>
        <w:rPr>
          <w:b/>
          <w:bCs/>
        </w:rPr>
      </w:pPr>
    </w:p>
    <w:p w:rsidRPr="0011274F" w:rsidR="008343D2" w:rsidP="0011274F" w:rsidRDefault="008343D2" w14:paraId="79F724CC" w14:textId="2D956E61">
      <w:pPr>
        <w:rPr>
          <w:b/>
          <w:bCs/>
        </w:rPr>
      </w:pPr>
      <w:r w:rsidRPr="0011274F">
        <w:rPr>
          <w:b/>
          <w:bCs/>
        </w:rPr>
        <w:t>Algemeen</w:t>
      </w:r>
    </w:p>
    <w:p w:rsidRPr="0011274F" w:rsidR="008343D2" w:rsidP="0011274F" w:rsidRDefault="008343D2" w14:paraId="5E87AC1E" w14:textId="77777777"/>
    <w:p w:rsidRPr="0011274F" w:rsidR="00BB526B" w:rsidP="0011274F" w:rsidRDefault="00BB526B" w14:paraId="28C8D2E0" w14:textId="764C8BC5">
      <w:pPr>
        <w:rPr>
          <w:b/>
          <w:bCs/>
        </w:rPr>
      </w:pPr>
      <w:r w:rsidRPr="0011274F">
        <w:rPr>
          <w:b/>
          <w:bCs/>
        </w:rPr>
        <w:t>1. I</w:t>
      </w:r>
      <w:r w:rsidRPr="0011274F" w:rsidR="008343D2">
        <w:rPr>
          <w:b/>
          <w:bCs/>
        </w:rPr>
        <w:t>nleiding</w:t>
      </w:r>
    </w:p>
    <w:p w:rsidRPr="0011274F" w:rsidR="001E4756" w:rsidP="0011274F" w:rsidRDefault="001E4756" w14:paraId="6917DF6D" w14:textId="77777777"/>
    <w:p w:rsidRPr="0011274F" w:rsidR="008343D2" w:rsidP="0011274F" w:rsidRDefault="008343D2" w14:paraId="3E6C15C4" w14:textId="27E17E89">
      <w:r w:rsidRPr="0011274F">
        <w:t xml:space="preserve">Dit besluit betreft een wijziging van het Reglement verkeersregels en verkeerstekens 1990 (hierna: RVV 1990). In het RVV 1990 was geregeld dat </w:t>
      </w:r>
      <w:r w:rsidRPr="0011274F" w:rsidR="00F1225D">
        <w:t>bedrijfs</w:t>
      </w:r>
      <w:r w:rsidRPr="0011274F">
        <w:t>auto’s met emissieklasse 6 en een datum van eerste toelating (hierna: DET) van v</w:t>
      </w:r>
      <w:r w:rsidRPr="0011274F" w:rsidR="00443073">
        <w:t>óó</w:t>
      </w:r>
      <w:r w:rsidRPr="0011274F">
        <w:t xml:space="preserve">r 2025, </w:t>
      </w:r>
      <w:r w:rsidRPr="0011274F" w:rsidR="00C15E98">
        <w:t xml:space="preserve">tot en met 31 december 2027 </w:t>
      </w:r>
      <w:r w:rsidRPr="0011274F">
        <w:t>toegang hebben tot nul-emissiezones (ook wel zero-emissiezones of ZE-zones genoemd). Op 14 maart 2025 is in de ministerraad besloten dat deze overgangsregeling een jaar wordt verlengd, tot 1 januari 2029</w:t>
      </w:r>
      <w:r w:rsidRPr="0011274F" w:rsidR="00392C45">
        <w:t>.</w:t>
      </w:r>
      <w:r w:rsidRPr="0011274F">
        <w:rPr>
          <w:rStyle w:val="FootnoteReference"/>
        </w:rPr>
        <w:footnoteReference w:id="1"/>
      </w:r>
      <w:r w:rsidRPr="0011274F" w:rsidR="0006642C">
        <w:t xml:space="preserve"> </w:t>
      </w:r>
      <w:r w:rsidRPr="0011274F">
        <w:t>Via onderhavige wijziging van het RVV 1990 wordt dit kabinetsbesluit geformaliseerd.</w:t>
      </w:r>
    </w:p>
    <w:p w:rsidRPr="0011274F" w:rsidR="008343D2" w:rsidP="0011274F" w:rsidRDefault="008343D2" w14:paraId="538BD984" w14:textId="77777777"/>
    <w:p w:rsidRPr="0011274F" w:rsidR="008343D2" w:rsidP="0011274F" w:rsidRDefault="008343D2" w14:paraId="37248A93" w14:textId="77777777">
      <w:pPr>
        <w:rPr>
          <w:b/>
          <w:bCs/>
        </w:rPr>
      </w:pPr>
      <w:r w:rsidRPr="0011274F">
        <w:rPr>
          <w:b/>
          <w:bCs/>
        </w:rPr>
        <w:t>2. Hoofdlijnen van het besluit</w:t>
      </w:r>
    </w:p>
    <w:p w:rsidRPr="0011274F" w:rsidR="001E4756" w:rsidP="0011274F" w:rsidRDefault="001E4756" w14:paraId="44203EC9" w14:textId="77777777"/>
    <w:p w:rsidRPr="0011274F" w:rsidR="008343D2" w:rsidP="0011274F" w:rsidRDefault="008343D2" w14:paraId="0FE4F947" w14:textId="6E42D92B">
      <w:r w:rsidRPr="0011274F">
        <w:t xml:space="preserve">Voertuigeigenaren met een emissieklasse 6 </w:t>
      </w:r>
      <w:r w:rsidRPr="0011274F" w:rsidR="008C60DE">
        <w:t xml:space="preserve">bedrijfsauto </w:t>
      </w:r>
      <w:r w:rsidRPr="0011274F">
        <w:t>en een DET van</w:t>
      </w:r>
      <w:r w:rsidRPr="0011274F" w:rsidR="00116E30">
        <w:t xml:space="preserve"> vóór 2025</w:t>
      </w:r>
      <w:r w:rsidRPr="0011274F">
        <w:t xml:space="preserve"> krijgen met dit besluit een jaar langer </w:t>
      </w:r>
      <w:r w:rsidRPr="0011274F" w:rsidR="008C60DE">
        <w:t xml:space="preserve">toegang tot de nul-emissiezones en daarmee langer </w:t>
      </w:r>
      <w:r w:rsidRPr="0011274F">
        <w:t xml:space="preserve">de tijd om zich aan te passen aan de </w:t>
      </w:r>
      <w:r w:rsidRPr="0011274F" w:rsidR="008C60DE">
        <w:t>toegangsregels</w:t>
      </w:r>
      <w:r w:rsidRPr="0011274F" w:rsidR="00392C45">
        <w:t>.</w:t>
      </w:r>
      <w:r w:rsidRPr="0011274F" w:rsidR="00116E30">
        <w:rPr>
          <w:rStyle w:val="FootnoteReference"/>
        </w:rPr>
        <w:footnoteReference w:id="2"/>
      </w:r>
      <w:r w:rsidRPr="0011274F">
        <w:t xml:space="preserve"> De overgangstermijn voor deze groep wordt verlengd tot</w:t>
      </w:r>
      <w:r w:rsidRPr="0011274F" w:rsidR="000A33B9">
        <w:t xml:space="preserve"> en met</w:t>
      </w:r>
      <w:r w:rsidRPr="0011274F">
        <w:t xml:space="preserve"> 31 december 2028. </w:t>
      </w:r>
    </w:p>
    <w:p w:rsidRPr="0011274F" w:rsidR="008343D2" w:rsidP="0011274F" w:rsidRDefault="008343D2" w14:paraId="31C876C0" w14:textId="77777777"/>
    <w:p w:rsidRPr="0011274F" w:rsidR="008343D2" w:rsidP="0011274F" w:rsidRDefault="001E4756" w14:paraId="3AB5DB19" w14:textId="095D4150">
      <w:pPr>
        <w:pStyle w:val="ListParagraph"/>
        <w:numPr>
          <w:ilvl w:val="1"/>
          <w:numId w:val="23"/>
        </w:numPr>
        <w:spacing w:line="240" w:lineRule="atLeast"/>
        <w:rPr>
          <w:rFonts w:ascii="Verdana" w:hAnsi="Verdana"/>
          <w:i/>
          <w:iCs/>
          <w:sz w:val="18"/>
          <w:szCs w:val="18"/>
        </w:rPr>
      </w:pPr>
      <w:r w:rsidRPr="0011274F">
        <w:rPr>
          <w:rFonts w:ascii="Verdana" w:hAnsi="Verdana"/>
          <w:i/>
          <w:iCs/>
          <w:sz w:val="18"/>
          <w:szCs w:val="18"/>
        </w:rPr>
        <w:t>Overgangsregelingen n</w:t>
      </w:r>
      <w:r w:rsidRPr="0011274F" w:rsidR="008343D2">
        <w:rPr>
          <w:rFonts w:ascii="Verdana" w:hAnsi="Verdana"/>
          <w:i/>
          <w:iCs/>
          <w:sz w:val="18"/>
          <w:szCs w:val="18"/>
        </w:rPr>
        <w:t>ul-emissiezones</w:t>
      </w:r>
    </w:p>
    <w:p w:rsidRPr="0011274F" w:rsidR="008343D2" w:rsidP="0011274F" w:rsidRDefault="008343D2" w14:paraId="23CA023E" w14:textId="1006445F">
      <w:r w:rsidRPr="0011274F">
        <w:t>In 2019 is in het Klimaatakkoord afgesproken om vanaf 1 januari 2025 nul-emissiezones voor be</w:t>
      </w:r>
      <w:r w:rsidRPr="0011274F" w:rsidR="00545118">
        <w:t>drijfs</w:t>
      </w:r>
      <w:r w:rsidRPr="0011274F">
        <w:t xml:space="preserve">- en vrachtauto’s in te voeren om daarmee vanaf 2030 jaarlijks 1 Mton </w:t>
      </w:r>
      <w:r w:rsidRPr="0011274F" w:rsidR="00A30E58">
        <w:t>CO</w:t>
      </w:r>
      <w:r w:rsidRPr="0011274F" w:rsidR="00A30E58">
        <w:rPr>
          <w:vertAlign w:val="subscript"/>
        </w:rPr>
        <w:t>2</w:t>
      </w:r>
      <w:r w:rsidRPr="0011274F">
        <w:t xml:space="preserve"> te reduceren.</w:t>
      </w:r>
      <w:r w:rsidRPr="0011274F" w:rsidR="00D531A4">
        <w:t xml:space="preserve"> </w:t>
      </w:r>
      <w:r w:rsidRPr="0011274F" w:rsidR="00D87818">
        <w:t xml:space="preserve">Met </w:t>
      </w:r>
      <w:r w:rsidRPr="0011274F" w:rsidR="00C62D5E">
        <w:t>een</w:t>
      </w:r>
      <w:r w:rsidRPr="0011274F" w:rsidR="00D87818">
        <w:t xml:space="preserve"> wijziging van het RVV 1990 in 2019 is de nul-emissiezone geïntroduceerd, waarmee door het bevoegd gezag vanaf 2025 een nul-emissiezone voor bedrijfs- en vrachtauto’s kan worden ingesteld (Stb. 2019, 398). </w:t>
      </w:r>
      <w:r w:rsidRPr="0011274F" w:rsidR="00D531A4">
        <w:t xml:space="preserve">Het invoeren van een </w:t>
      </w:r>
      <w:r w:rsidRPr="0011274F" w:rsidR="000A31EC">
        <w:t>nul-emissie</w:t>
      </w:r>
      <w:r w:rsidRPr="0011274F" w:rsidR="00D531A4">
        <w:t xml:space="preserve">zone en de handhaving daarvan zijn een gemeentelijke bevoegdheid en verantwoordelijkheid. </w:t>
      </w:r>
      <w:r w:rsidRPr="0011274F">
        <w:t>In 2021 is de Uitvoeringsagenda Stadslogistiek ‘Op weg naar zero-emissie’ (</w:t>
      </w:r>
      <w:r w:rsidRPr="0011274F" w:rsidR="00BB526B">
        <w:t xml:space="preserve">hierna: </w:t>
      </w:r>
      <w:r w:rsidRPr="0011274F">
        <w:t>UAS) getekend</w:t>
      </w:r>
      <w:r w:rsidRPr="0011274F" w:rsidR="008C60DE">
        <w:rPr>
          <w:rStyle w:val="FootnoteReference"/>
        </w:rPr>
        <w:footnoteReference w:id="3"/>
      </w:r>
      <w:r w:rsidRPr="0011274F">
        <w:t xml:space="preserve"> door 33 partijen, waaronder het Ministerie van Infrastructuur en Waterstaat (hierna: IenW), gemeenten en ondernemings-, branche- en belangenorganisaties. </w:t>
      </w:r>
      <w:r w:rsidRPr="0011274F" w:rsidR="008C60DE">
        <w:t>In dit convenant</w:t>
      </w:r>
      <w:r w:rsidRPr="0011274F">
        <w:t xml:space="preserve"> zijn afspraken vastgelegd over de invoering van de nul-emissiezones. Bij deze afspraken is als uitgangspunt genomen dat alle nieuwe be</w:t>
      </w:r>
      <w:r w:rsidRPr="0011274F" w:rsidR="00545118">
        <w:t>drijfs</w:t>
      </w:r>
      <w:r w:rsidRPr="0011274F">
        <w:t xml:space="preserve">- en vrachtauto’s die vanaf 1 januari 2025 op kenteken worden gezet uitstootvrij aan de uitlaat moeten zijn om de zones in te mogen. Voor bestaande voertuigen (DET &lt;2025) zijn overgangsregelingen opgesteld, waardoor ondernemers een realistische afschrijvingstermijn kunnen hanteren en de oudste en meest vervuilende voertuigen als eerste worden geweerd. </w:t>
      </w:r>
      <w:r w:rsidRPr="0011274F" w:rsidR="005712B9">
        <w:t>In artikel 86</w:t>
      </w:r>
      <w:r w:rsidRPr="0011274F" w:rsidR="000E0731">
        <w:t>e,</w:t>
      </w:r>
      <w:r w:rsidRPr="0011274F" w:rsidR="005712B9">
        <w:t xml:space="preserve"> derde tot en met vijfde lid</w:t>
      </w:r>
      <w:r w:rsidRPr="0011274F" w:rsidR="00C13544">
        <w:t>,</w:t>
      </w:r>
      <w:r w:rsidRPr="0011274F" w:rsidR="005712B9">
        <w:t xml:space="preserve"> van het RVV 1990 </w:t>
      </w:r>
      <w:r w:rsidRPr="0011274F">
        <w:t>zijn deze overgangsregelingen nader vormgegeven. Voor be</w:t>
      </w:r>
      <w:r w:rsidRPr="0011274F" w:rsidR="00545118">
        <w:t>drijfs</w:t>
      </w:r>
      <w:r w:rsidRPr="0011274F">
        <w:t>auto’s geldt dat voertuigen met emissieklasse 4 of lager sinds</w:t>
      </w:r>
      <w:r w:rsidRPr="0011274F" w:rsidR="000A33B9">
        <w:t xml:space="preserve"> 1 januari</w:t>
      </w:r>
      <w:r w:rsidRPr="0011274F">
        <w:t xml:space="preserve"> 2025 geen toegang meer hebben</w:t>
      </w:r>
      <w:r w:rsidRPr="0011274F" w:rsidR="00692022">
        <w:t xml:space="preserve"> tot de </w:t>
      </w:r>
      <w:r w:rsidRPr="0011274F" w:rsidR="00FC06E4">
        <w:t>nul-emissie</w:t>
      </w:r>
      <w:r w:rsidRPr="0011274F" w:rsidR="00692022">
        <w:t>zones</w:t>
      </w:r>
      <w:r w:rsidRPr="0011274F">
        <w:t>. Be</w:t>
      </w:r>
      <w:r w:rsidRPr="0011274F" w:rsidR="00545118">
        <w:t>drijfs</w:t>
      </w:r>
      <w:r w:rsidRPr="0011274F">
        <w:t xml:space="preserve">auto’s met emissieklasse 5 hebben tot </w:t>
      </w:r>
      <w:r w:rsidRPr="0011274F" w:rsidR="00C15E98">
        <w:t>en met 31 december 2026</w:t>
      </w:r>
      <w:r w:rsidRPr="0011274F" w:rsidR="000A33B9">
        <w:t xml:space="preserve"> toegang</w:t>
      </w:r>
      <w:r w:rsidRPr="0011274F">
        <w:t>. Voor be</w:t>
      </w:r>
      <w:r w:rsidRPr="0011274F" w:rsidR="00545118">
        <w:t>drijfs</w:t>
      </w:r>
      <w:r w:rsidRPr="0011274F">
        <w:t>auto</w:t>
      </w:r>
      <w:r w:rsidRPr="0011274F" w:rsidR="000A33B9">
        <w:t>’</w:t>
      </w:r>
      <w:r w:rsidRPr="0011274F">
        <w:t>s</w:t>
      </w:r>
      <w:r w:rsidRPr="0011274F" w:rsidR="000A33B9">
        <w:t xml:space="preserve"> met emissieklasse 6</w:t>
      </w:r>
      <w:r w:rsidRPr="0011274F">
        <w:t xml:space="preserve"> </w:t>
      </w:r>
      <w:r w:rsidRPr="0011274F" w:rsidR="008C60DE">
        <w:t>is</w:t>
      </w:r>
      <w:r w:rsidRPr="0011274F">
        <w:t xml:space="preserve"> een overgangsregeling vastgesteld die </w:t>
      </w:r>
      <w:r w:rsidRPr="0011274F" w:rsidR="008C60DE">
        <w:t>nu nog</w:t>
      </w:r>
      <w:r w:rsidRPr="0011274F">
        <w:t xml:space="preserve"> l</w:t>
      </w:r>
      <w:r w:rsidRPr="0011274F" w:rsidR="008C60DE">
        <w:t>oopt</w:t>
      </w:r>
      <w:r w:rsidRPr="0011274F">
        <w:t xml:space="preserve"> tot</w:t>
      </w:r>
      <w:r w:rsidRPr="0011274F" w:rsidR="00C15E98">
        <w:t xml:space="preserve"> en met 31 december 2027</w:t>
      </w:r>
      <w:r w:rsidRPr="0011274F">
        <w:t>.</w:t>
      </w:r>
    </w:p>
    <w:p w:rsidRPr="0011274F" w:rsidR="008343D2" w:rsidP="0011274F" w:rsidRDefault="008343D2" w14:paraId="4619DEA2" w14:textId="77777777"/>
    <w:p w:rsidRPr="0011274F" w:rsidR="00B2449F" w:rsidP="0011274F" w:rsidRDefault="00B2449F" w14:paraId="1FB9615B" w14:textId="77777777"/>
    <w:p w:rsidRPr="0011274F" w:rsidR="008343D2" w:rsidP="0011274F" w:rsidRDefault="00484983" w14:paraId="7146A47F" w14:textId="78221DEE">
      <w:pPr>
        <w:pStyle w:val="ListParagraph"/>
        <w:numPr>
          <w:ilvl w:val="1"/>
          <w:numId w:val="23"/>
        </w:numPr>
        <w:spacing w:line="240" w:lineRule="atLeast"/>
        <w:rPr>
          <w:rFonts w:ascii="Verdana" w:hAnsi="Verdana"/>
          <w:i/>
          <w:iCs/>
          <w:sz w:val="18"/>
          <w:szCs w:val="18"/>
        </w:rPr>
      </w:pPr>
      <w:r w:rsidRPr="0011274F">
        <w:rPr>
          <w:rFonts w:ascii="Verdana" w:hAnsi="Verdana"/>
          <w:i/>
          <w:iCs/>
          <w:sz w:val="18"/>
          <w:szCs w:val="18"/>
        </w:rPr>
        <w:t xml:space="preserve"> </w:t>
      </w:r>
      <w:r w:rsidRPr="0011274F" w:rsidR="008343D2">
        <w:rPr>
          <w:rFonts w:ascii="Verdana" w:hAnsi="Verdana"/>
          <w:i/>
          <w:iCs/>
          <w:sz w:val="18"/>
          <w:szCs w:val="18"/>
        </w:rPr>
        <w:t>Verlenging van de overgangsregeling voor be</w:t>
      </w:r>
      <w:r w:rsidRPr="0011274F" w:rsidR="00545118">
        <w:rPr>
          <w:rFonts w:ascii="Verdana" w:hAnsi="Verdana"/>
          <w:i/>
          <w:iCs/>
          <w:sz w:val="18"/>
          <w:szCs w:val="18"/>
        </w:rPr>
        <w:t>drijfs</w:t>
      </w:r>
      <w:r w:rsidRPr="0011274F" w:rsidR="008343D2">
        <w:rPr>
          <w:rFonts w:ascii="Verdana" w:hAnsi="Verdana"/>
          <w:i/>
          <w:iCs/>
          <w:sz w:val="18"/>
          <w:szCs w:val="18"/>
        </w:rPr>
        <w:t>auto</w:t>
      </w:r>
      <w:r w:rsidRPr="0011274F" w:rsidR="00C262CB">
        <w:rPr>
          <w:rFonts w:ascii="Verdana" w:hAnsi="Verdana"/>
          <w:i/>
          <w:iCs/>
          <w:sz w:val="18"/>
          <w:szCs w:val="18"/>
        </w:rPr>
        <w:t>’</w:t>
      </w:r>
      <w:r w:rsidRPr="0011274F" w:rsidR="008343D2">
        <w:rPr>
          <w:rFonts w:ascii="Verdana" w:hAnsi="Verdana"/>
          <w:i/>
          <w:iCs/>
          <w:sz w:val="18"/>
          <w:szCs w:val="18"/>
        </w:rPr>
        <w:t>s</w:t>
      </w:r>
      <w:r w:rsidRPr="0011274F" w:rsidR="00C262CB">
        <w:rPr>
          <w:rFonts w:ascii="Verdana" w:hAnsi="Verdana"/>
          <w:i/>
          <w:iCs/>
          <w:sz w:val="18"/>
          <w:szCs w:val="18"/>
        </w:rPr>
        <w:t xml:space="preserve"> met emissieklasse 6</w:t>
      </w:r>
    </w:p>
    <w:p w:rsidRPr="0011274F" w:rsidR="008343D2" w:rsidP="0011274F" w:rsidRDefault="008343D2" w14:paraId="3E219080" w14:textId="2C70D899">
      <w:r w:rsidRPr="0011274F">
        <w:t xml:space="preserve">In aanloop naar de </w:t>
      </w:r>
      <w:r w:rsidRPr="0011274F" w:rsidR="008E5527">
        <w:t>invoering</w:t>
      </w:r>
      <w:r w:rsidRPr="0011274F">
        <w:t xml:space="preserve"> van de nul-emissiezones per 1 januari 2025 ontstonden zorgen over de haalbaarheid en wenselijkheid van deze ingangsdatum. Op 22 oktober 2024 heeft de </w:t>
      </w:r>
      <w:r w:rsidRPr="0011274F" w:rsidR="00692022">
        <w:t xml:space="preserve">Tweede </w:t>
      </w:r>
      <w:r w:rsidRPr="0011274F">
        <w:t>Kamer de motie</w:t>
      </w:r>
      <w:r w:rsidRPr="0011274F" w:rsidR="00692022">
        <w:t>-</w:t>
      </w:r>
      <w:r w:rsidRPr="0011274F">
        <w:t>Veltman aangenomen en de regering verzocht om “</w:t>
      </w:r>
      <w:r w:rsidRPr="0011274F">
        <w:rPr>
          <w:i/>
          <w:iCs/>
        </w:rPr>
        <w:t>met een plan te komen hoe invulling kan worden gegeven aan een landelijk gestandaardiseerde uitzondering van zero-emissiezones voor ondernemers tot 2029”</w:t>
      </w:r>
      <w:r w:rsidRPr="0011274F" w:rsidR="00203B67">
        <w:rPr>
          <w:i/>
          <w:iCs/>
        </w:rPr>
        <w:t>.</w:t>
      </w:r>
      <w:r w:rsidRPr="0011274F">
        <w:rPr>
          <w:rStyle w:val="FootnoteReference"/>
        </w:rPr>
        <w:footnoteReference w:id="4"/>
      </w:r>
    </w:p>
    <w:p w:rsidRPr="0011274F" w:rsidR="008343D2" w:rsidP="0011274F" w:rsidRDefault="008343D2" w14:paraId="7995B037" w14:textId="77777777"/>
    <w:p w:rsidRPr="0011274F" w:rsidR="008E5527" w:rsidP="0011274F" w:rsidRDefault="008343D2" w14:paraId="3B7396E8" w14:textId="75472C6C">
      <w:r w:rsidRPr="0011274F">
        <w:t>Begin 2025 hebben meerdere bestuurlijke overleggen plaatsgevonden tussen het ministerie, wethouders van gemeenten met (</w:t>
      </w:r>
      <w:r w:rsidRPr="0011274F" w:rsidR="00FC06E4">
        <w:t xml:space="preserve">voornemens </w:t>
      </w:r>
      <w:r w:rsidRPr="0011274F">
        <w:t xml:space="preserve">voor) een nul-emissiezone en bestuurders van branche- en belangenorganisaties. In deze gesprekken is een balans gezocht tussen de wens van de Tweede Kamer om voertuigeigenaren meer tijd te geven zich aan te passen aan de zones, en de staande afspraken om stadslogistiek te verduurzamen. Hieruit volgde een afsprakenpakket </w:t>
      </w:r>
      <w:r w:rsidRPr="0011274F" w:rsidR="00D6251D">
        <w:t>dat alle betrokken partijen konden onderschrijven</w:t>
      </w:r>
      <w:r w:rsidRPr="0011274F">
        <w:t xml:space="preserve">. Onderdeel van dit afsprakenpakket is het besluit om de overgangsregeling voor </w:t>
      </w:r>
      <w:r w:rsidRPr="0011274F" w:rsidR="00545118">
        <w:t>bedrijfs</w:t>
      </w:r>
      <w:r w:rsidRPr="0011274F">
        <w:t>auto</w:t>
      </w:r>
      <w:r w:rsidRPr="0011274F" w:rsidR="00D531A4">
        <w:t>’</w:t>
      </w:r>
      <w:r w:rsidRPr="0011274F">
        <w:t>s</w:t>
      </w:r>
      <w:r w:rsidRPr="0011274F" w:rsidR="00D531A4">
        <w:t xml:space="preserve"> met emissieklasse 6</w:t>
      </w:r>
      <w:r w:rsidRPr="0011274F">
        <w:t xml:space="preserve"> met een jaar te verlengen, tot </w:t>
      </w:r>
      <w:r w:rsidRPr="0011274F" w:rsidR="007A0B62">
        <w:t>en met 31 december 2028</w:t>
      </w:r>
      <w:r w:rsidRPr="0011274F">
        <w:t xml:space="preserve">. </w:t>
      </w:r>
      <w:r w:rsidRPr="0011274F" w:rsidR="008E5527">
        <w:t>Op 14 maart 2025 is door de ministerraad ingestemd met</w:t>
      </w:r>
      <w:r w:rsidRPr="0011274F">
        <w:t xml:space="preserve"> </w:t>
      </w:r>
      <w:r w:rsidRPr="0011274F" w:rsidR="008E5527">
        <w:t xml:space="preserve">deze verlenging </w:t>
      </w:r>
      <w:r w:rsidRPr="0011274F">
        <w:t xml:space="preserve">en diezelfde dag </w:t>
      </w:r>
      <w:r w:rsidRPr="0011274F" w:rsidR="008E5527">
        <w:t xml:space="preserve">is dit </w:t>
      </w:r>
      <w:r w:rsidRPr="0011274F">
        <w:t>gecommuniceerd aan de Tweede Kamer.</w:t>
      </w:r>
      <w:r w:rsidRPr="0011274F">
        <w:rPr>
          <w:rStyle w:val="FootnoteReference"/>
        </w:rPr>
        <w:footnoteReference w:id="5"/>
      </w:r>
      <w:r w:rsidRPr="0011274F">
        <w:t xml:space="preserve"> Op 2 april 2025 is dit besluit tevens opgenomen</w:t>
      </w:r>
      <w:r w:rsidRPr="0011274F" w:rsidR="008E5527">
        <w:t xml:space="preserve"> in de </w:t>
      </w:r>
      <w:r w:rsidRPr="0011274F" w:rsidR="006C2C16">
        <w:t>Uitvoeringsagenda Zero-</w:t>
      </w:r>
      <w:r w:rsidRPr="0011274F" w:rsidR="00D6251D">
        <w:t>e</w:t>
      </w:r>
      <w:r w:rsidRPr="0011274F" w:rsidR="006C2C16">
        <w:t>missiezones (</w:t>
      </w:r>
      <w:r w:rsidRPr="0011274F" w:rsidR="00BB4AA0">
        <w:t xml:space="preserve">hierna: </w:t>
      </w:r>
      <w:r w:rsidRPr="0011274F" w:rsidR="006C2C16">
        <w:t>UAZ)</w:t>
      </w:r>
      <w:r w:rsidRPr="0011274F" w:rsidR="00203B67">
        <w:t>,</w:t>
      </w:r>
      <w:r w:rsidRPr="0011274F" w:rsidR="006C2C16">
        <w:rPr>
          <w:rStyle w:val="FootnoteReference"/>
        </w:rPr>
        <w:footnoteReference w:id="6"/>
      </w:r>
      <w:r w:rsidRPr="0011274F" w:rsidR="008E5527">
        <w:t xml:space="preserve"> </w:t>
      </w:r>
      <w:r w:rsidRPr="0011274F" w:rsidR="00D6251D">
        <w:t xml:space="preserve">het convenant dat </w:t>
      </w:r>
      <w:r w:rsidRPr="0011274F" w:rsidR="008E5527">
        <w:t>als opvolger van de UAS</w:t>
      </w:r>
      <w:r w:rsidRPr="0011274F" w:rsidR="00D6251D">
        <w:t xml:space="preserve"> dient</w:t>
      </w:r>
      <w:r w:rsidRPr="0011274F" w:rsidR="008E5527">
        <w:t xml:space="preserve">. </w:t>
      </w:r>
    </w:p>
    <w:p w:rsidRPr="0011274F" w:rsidR="008343D2" w:rsidP="0011274F" w:rsidRDefault="008343D2" w14:paraId="23DB2B28" w14:textId="77777777"/>
    <w:p w:rsidRPr="0011274F" w:rsidR="008343D2" w:rsidP="0011274F" w:rsidRDefault="008343D2" w14:paraId="2A1356A1" w14:textId="77777777">
      <w:pPr>
        <w:rPr>
          <w:b/>
          <w:bCs/>
        </w:rPr>
      </w:pPr>
      <w:r w:rsidRPr="0011274F">
        <w:rPr>
          <w:b/>
          <w:bCs/>
        </w:rPr>
        <w:t>3. Gevolgen verlenging overgangsregeling</w:t>
      </w:r>
    </w:p>
    <w:p w:rsidRPr="0011274F" w:rsidR="008343D2" w:rsidP="0011274F" w:rsidRDefault="008343D2" w14:paraId="62C14F75" w14:textId="77777777">
      <w:pPr>
        <w:rPr>
          <w:i/>
          <w:iCs/>
        </w:rPr>
      </w:pPr>
    </w:p>
    <w:p w:rsidRPr="0011274F" w:rsidR="008343D2" w:rsidP="0011274F" w:rsidRDefault="008343D2" w14:paraId="42EF21B3" w14:textId="7E963021">
      <w:pPr>
        <w:rPr>
          <w:i/>
          <w:iCs/>
        </w:rPr>
      </w:pPr>
      <w:r w:rsidRPr="0011274F">
        <w:rPr>
          <w:i/>
          <w:iCs/>
        </w:rPr>
        <w:t>3.1 Meer voorbereidingstijd voor aanpassing aan nul-emissiezones</w:t>
      </w:r>
    </w:p>
    <w:p w:rsidRPr="0011274F" w:rsidR="008343D2" w:rsidP="0011274F" w:rsidRDefault="008343D2" w14:paraId="2BF7498E" w14:textId="77777777"/>
    <w:p w:rsidRPr="0011274F" w:rsidR="00FD3F8B" w:rsidP="0011274F" w:rsidRDefault="00FD3F8B" w14:paraId="5253EC2B" w14:textId="5C57F5F6">
      <w:pPr>
        <w:rPr>
          <w:i/>
          <w:iCs/>
        </w:rPr>
      </w:pPr>
      <w:r w:rsidRPr="0011274F">
        <w:rPr>
          <w:i/>
          <w:iCs/>
        </w:rPr>
        <w:t xml:space="preserve">3.1.1 Doelbereik </w:t>
      </w:r>
    </w:p>
    <w:p w:rsidRPr="0011274F" w:rsidR="00827061" w:rsidP="0011274F" w:rsidRDefault="008343D2" w14:paraId="2F7D607A" w14:textId="2E8EB31C">
      <w:pPr>
        <w:rPr>
          <w:color w:val="auto"/>
        </w:rPr>
      </w:pPr>
      <w:r w:rsidRPr="0011274F">
        <w:t xml:space="preserve">Met onderhavig besluit krijgen voertuigeigenaren </w:t>
      </w:r>
      <w:r w:rsidRPr="0011274F" w:rsidR="00D531A4">
        <w:t>van een</w:t>
      </w:r>
      <w:r w:rsidRPr="0011274F">
        <w:t xml:space="preserve"> be</w:t>
      </w:r>
      <w:r w:rsidRPr="0011274F" w:rsidR="00545118">
        <w:t>drijfs</w:t>
      </w:r>
      <w:r w:rsidRPr="0011274F">
        <w:t>auto</w:t>
      </w:r>
      <w:r w:rsidRPr="0011274F" w:rsidR="00D531A4">
        <w:t xml:space="preserve"> met emissieklasse 6</w:t>
      </w:r>
      <w:r w:rsidRPr="0011274F">
        <w:t xml:space="preserve"> </w:t>
      </w:r>
      <w:r w:rsidRPr="0011274F" w:rsidR="00597312">
        <w:t xml:space="preserve">één jaar langer </w:t>
      </w:r>
      <w:r w:rsidRPr="0011274F">
        <w:t xml:space="preserve">tijd om zich aan te passen aan de nul-emissiezones. </w:t>
      </w:r>
      <w:r w:rsidRPr="0011274F" w:rsidR="00597312">
        <w:t>Het gaat om</w:t>
      </w:r>
      <w:r w:rsidRPr="0011274F">
        <w:t xml:space="preserve"> de grootste en minst vervuilende groep be</w:t>
      </w:r>
      <w:r w:rsidRPr="0011274F" w:rsidR="00545118">
        <w:t>drijfs</w:t>
      </w:r>
      <w:r w:rsidRPr="0011274F">
        <w:t xml:space="preserve">auto’s. </w:t>
      </w:r>
      <w:r w:rsidRPr="0011274F" w:rsidR="00BF36A3">
        <w:rPr>
          <w:color w:val="auto"/>
        </w:rPr>
        <w:t>Op 31 december 2025 waren er 621.025 be</w:t>
      </w:r>
      <w:r w:rsidRPr="0011274F" w:rsidR="00545118">
        <w:rPr>
          <w:color w:val="auto"/>
        </w:rPr>
        <w:t>drijfs</w:t>
      </w:r>
      <w:r w:rsidRPr="0011274F" w:rsidR="00BF36A3">
        <w:rPr>
          <w:color w:val="auto"/>
        </w:rPr>
        <w:t>auto’s</w:t>
      </w:r>
      <w:r w:rsidRPr="0011274F" w:rsidR="007C6190">
        <w:rPr>
          <w:color w:val="auto"/>
        </w:rPr>
        <w:t xml:space="preserve"> </w:t>
      </w:r>
      <w:r w:rsidRPr="0011274F" w:rsidR="00BF36A3">
        <w:rPr>
          <w:color w:val="auto"/>
        </w:rPr>
        <w:t>met emissieklasse 6</w:t>
      </w:r>
      <w:r w:rsidRPr="0011274F" w:rsidR="007C6190">
        <w:rPr>
          <w:color w:val="auto"/>
        </w:rPr>
        <w:t xml:space="preserve"> in Nederland</w:t>
      </w:r>
      <w:r w:rsidRPr="0011274F" w:rsidR="009F5AEC">
        <w:rPr>
          <w:color w:val="auto"/>
        </w:rPr>
        <w:t>.</w:t>
      </w:r>
      <w:r w:rsidRPr="0011274F" w:rsidR="007C6190">
        <w:rPr>
          <w:rStyle w:val="FootnoteReference"/>
        </w:rPr>
        <w:footnoteReference w:id="7"/>
      </w:r>
      <w:r w:rsidRPr="0011274F" w:rsidR="007C6190">
        <w:rPr>
          <w:color w:val="auto"/>
        </w:rPr>
        <w:t xml:space="preserve"> </w:t>
      </w:r>
      <w:r w:rsidRPr="0011274F" w:rsidR="00857B6A">
        <w:rPr>
          <w:color w:val="auto"/>
        </w:rPr>
        <w:t xml:space="preserve">De </w:t>
      </w:r>
      <w:r w:rsidRPr="0011274F" w:rsidR="00B33EF6">
        <w:rPr>
          <w:color w:val="auto"/>
        </w:rPr>
        <w:t xml:space="preserve">ruime meerderheid van deze </w:t>
      </w:r>
      <w:r w:rsidRPr="0011274F" w:rsidR="007C6190">
        <w:rPr>
          <w:color w:val="auto"/>
        </w:rPr>
        <w:t>groep</w:t>
      </w:r>
      <w:r w:rsidRPr="0011274F" w:rsidR="00B33EF6">
        <w:rPr>
          <w:color w:val="auto"/>
        </w:rPr>
        <w:t xml:space="preserve"> </w:t>
      </w:r>
      <w:r w:rsidRPr="0011274F" w:rsidR="00857B6A">
        <w:rPr>
          <w:color w:val="auto"/>
        </w:rPr>
        <w:t>komt</w:t>
      </w:r>
      <w:r w:rsidRPr="0011274F" w:rsidR="007C6190">
        <w:rPr>
          <w:color w:val="auto"/>
        </w:rPr>
        <w:t xml:space="preserve"> echter</w:t>
      </w:r>
      <w:r w:rsidRPr="0011274F" w:rsidR="00857B6A">
        <w:rPr>
          <w:color w:val="auto"/>
        </w:rPr>
        <w:t xml:space="preserve"> </w:t>
      </w:r>
      <w:r w:rsidRPr="0011274F" w:rsidR="009F5AEC">
        <w:rPr>
          <w:color w:val="auto"/>
        </w:rPr>
        <w:t xml:space="preserve">niet of slechts </w:t>
      </w:r>
      <w:r w:rsidRPr="0011274F" w:rsidR="00597312">
        <w:rPr>
          <w:color w:val="auto"/>
        </w:rPr>
        <w:t>sporadisc</w:t>
      </w:r>
      <w:r w:rsidRPr="0011274F" w:rsidR="001C3884">
        <w:rPr>
          <w:color w:val="auto"/>
        </w:rPr>
        <w:t>h i</w:t>
      </w:r>
      <w:r w:rsidRPr="0011274F" w:rsidR="00B33EF6">
        <w:rPr>
          <w:color w:val="auto"/>
        </w:rPr>
        <w:t xml:space="preserve">n </w:t>
      </w:r>
      <w:r w:rsidRPr="0011274F" w:rsidR="008178DF">
        <w:rPr>
          <w:color w:val="auto"/>
        </w:rPr>
        <w:t>de nul-emissiezone</w:t>
      </w:r>
      <w:r w:rsidRPr="0011274F" w:rsidR="007C6190">
        <w:rPr>
          <w:color w:val="auto"/>
        </w:rPr>
        <w:t>s</w:t>
      </w:r>
      <w:r w:rsidRPr="0011274F" w:rsidR="00B33EF6">
        <w:rPr>
          <w:color w:val="auto"/>
        </w:rPr>
        <w:t>.</w:t>
      </w:r>
      <w:r w:rsidRPr="0011274F" w:rsidR="009F5AEC">
        <w:rPr>
          <w:color w:val="auto"/>
        </w:rPr>
        <w:t xml:space="preserve"> </w:t>
      </w:r>
      <w:r w:rsidRPr="0011274F" w:rsidR="001C3884">
        <w:rPr>
          <w:color w:val="auto"/>
        </w:rPr>
        <w:t>Op basis van huidige inzichten uit de monitoring rondom nul-emissiezones is de inschatting dat 5</w:t>
      </w:r>
      <w:r w:rsidRPr="0011274F" w:rsidR="00827061">
        <w:rPr>
          <w:color w:val="auto"/>
        </w:rPr>
        <w:t>0.000 tot 80.000 be</w:t>
      </w:r>
      <w:r w:rsidRPr="0011274F" w:rsidR="00545118">
        <w:rPr>
          <w:color w:val="auto"/>
        </w:rPr>
        <w:t>drijfs</w:t>
      </w:r>
      <w:r w:rsidRPr="0011274F" w:rsidR="00827061">
        <w:rPr>
          <w:color w:val="auto"/>
        </w:rPr>
        <w:t xml:space="preserve">auto’s met emissieklasse 6 </w:t>
      </w:r>
      <w:r w:rsidRPr="0011274F" w:rsidR="007C6190">
        <w:rPr>
          <w:color w:val="auto"/>
        </w:rPr>
        <w:t>tijdelijk</w:t>
      </w:r>
      <w:r w:rsidRPr="0011274F" w:rsidR="002F70FA">
        <w:rPr>
          <w:color w:val="auto"/>
        </w:rPr>
        <w:t xml:space="preserve"> worden</w:t>
      </w:r>
      <w:r w:rsidRPr="0011274F" w:rsidR="007C6190">
        <w:rPr>
          <w:color w:val="auto"/>
        </w:rPr>
        <w:t xml:space="preserve"> ‘ontzien’ </w:t>
      </w:r>
      <w:r w:rsidRPr="0011274F" w:rsidR="00827061">
        <w:rPr>
          <w:color w:val="auto"/>
        </w:rPr>
        <w:t>door het verlengen van deze overgangsregeling</w:t>
      </w:r>
      <w:r w:rsidRPr="0011274F" w:rsidR="002F70FA">
        <w:rPr>
          <w:color w:val="auto"/>
        </w:rPr>
        <w:t>.</w:t>
      </w:r>
      <w:r w:rsidRPr="0011274F" w:rsidR="00EE0B39">
        <w:rPr>
          <w:rStyle w:val="FootnoteReference"/>
          <w:color w:val="auto"/>
        </w:rPr>
        <w:footnoteReference w:id="8"/>
      </w:r>
      <w:r w:rsidRPr="0011274F" w:rsidR="00827061">
        <w:rPr>
          <w:color w:val="auto"/>
        </w:rPr>
        <w:t xml:space="preserve"> </w:t>
      </w:r>
      <w:r w:rsidRPr="0011274F" w:rsidR="00EE0B39">
        <w:rPr>
          <w:color w:val="auto"/>
        </w:rPr>
        <w:t xml:space="preserve">Deze groep zal een jaar langer doorrijden </w:t>
      </w:r>
      <w:r w:rsidRPr="0011274F" w:rsidR="007C6190">
        <w:rPr>
          <w:color w:val="auto"/>
        </w:rPr>
        <w:t xml:space="preserve">met hun </w:t>
      </w:r>
      <w:r w:rsidRPr="0011274F" w:rsidR="000E2C1F">
        <w:rPr>
          <w:color w:val="auto"/>
        </w:rPr>
        <w:t xml:space="preserve">huidige </w:t>
      </w:r>
      <w:r w:rsidRPr="0011274F" w:rsidR="007C6190">
        <w:rPr>
          <w:color w:val="auto"/>
        </w:rPr>
        <w:t>voertuig</w:t>
      </w:r>
      <w:r w:rsidRPr="0011274F" w:rsidR="000E2C1F">
        <w:rPr>
          <w:color w:val="auto"/>
        </w:rPr>
        <w:t>.</w:t>
      </w:r>
      <w:r w:rsidRPr="0011274F" w:rsidR="007C6190">
        <w:rPr>
          <w:color w:val="auto"/>
        </w:rPr>
        <w:t xml:space="preserve"> </w:t>
      </w:r>
    </w:p>
    <w:p w:rsidRPr="0011274F" w:rsidR="005553C6" w:rsidP="0011274F" w:rsidRDefault="005553C6" w14:paraId="265F2566" w14:textId="77777777">
      <w:pPr>
        <w:rPr>
          <w:color w:val="auto"/>
        </w:rPr>
      </w:pPr>
    </w:p>
    <w:p w:rsidRPr="0011274F" w:rsidR="005553C6" w:rsidP="0011274F" w:rsidRDefault="006C6583" w14:paraId="5EACBC95" w14:textId="61C8FF03">
      <w:r w:rsidRPr="0011274F">
        <w:t>Do</w:t>
      </w:r>
      <w:r w:rsidRPr="0011274F" w:rsidR="005553C6">
        <w:t>or de overgangsregeling voor be</w:t>
      </w:r>
      <w:r w:rsidRPr="0011274F" w:rsidR="00545118">
        <w:t>drijfs</w:t>
      </w:r>
      <w:r w:rsidRPr="0011274F" w:rsidR="005553C6">
        <w:t xml:space="preserve">auto’s met een emissieklasse 6 met een jaar te verlengen, </w:t>
      </w:r>
      <w:r w:rsidRPr="0011274F" w:rsidR="00547BAB">
        <w:t xml:space="preserve">kan </w:t>
      </w:r>
      <w:r w:rsidRPr="0011274F" w:rsidR="00597312">
        <w:t xml:space="preserve">deze </w:t>
      </w:r>
      <w:r w:rsidRPr="0011274F" w:rsidR="00547BAB">
        <w:t>grote groep</w:t>
      </w:r>
      <w:r w:rsidRPr="0011274F" w:rsidR="005553C6">
        <w:t xml:space="preserve"> op een voor hen haalbaar en</w:t>
      </w:r>
      <w:r w:rsidRPr="0011274F" w:rsidDel="006D1FBD" w:rsidR="005553C6">
        <w:t xml:space="preserve"> </w:t>
      </w:r>
      <w:r w:rsidRPr="0011274F" w:rsidR="005553C6">
        <w:t xml:space="preserve">betaalbaar moment de overstap maken. Voertuigeigenaren die minder dan twaalf keer per jaar een </w:t>
      </w:r>
      <w:r w:rsidRPr="0011274F" w:rsidR="00AF48C4">
        <w:t>nul-emissie</w:t>
      </w:r>
      <w:r w:rsidRPr="0011274F" w:rsidR="005553C6">
        <w:t>zone binnenrijden, hoeven gedurende dit extra jaar geen beroep te doen op dagontheffingen. Dit bespaart hen tijd en legeskosten. Voor ondernemers die een beroep moeten doen op langdurige ontheffingen, betekent dit dat zij dit een jaar kunnen uitstellen of dat een ontheffing een jaar later helemaal niet meer nodig is. Het draagvlak voor de nul-emissiezones wordt naar verwachting groter, omdat er meer vertrouwen is dat de transitie in een realistisch tempo plaatsvindt</w:t>
      </w:r>
      <w:r w:rsidRPr="0011274F" w:rsidR="00597312">
        <w:t xml:space="preserve"> én omdat dat de overheid vasthoud</w:t>
      </w:r>
      <w:r w:rsidRPr="0011274F" w:rsidR="00C262CB">
        <w:t>t</w:t>
      </w:r>
      <w:r w:rsidRPr="0011274F" w:rsidR="00597312">
        <w:t xml:space="preserve"> aan reeds gecommuniceerde overgangstermijnen</w:t>
      </w:r>
      <w:r w:rsidRPr="0011274F" w:rsidR="005553C6">
        <w:t>.</w:t>
      </w:r>
    </w:p>
    <w:p w:rsidRPr="0011274F" w:rsidR="007C6190" w:rsidP="0011274F" w:rsidRDefault="007C6190" w14:paraId="4D9FB315" w14:textId="77777777"/>
    <w:p w:rsidRPr="0011274F" w:rsidR="005F2C5A" w:rsidP="0011274F" w:rsidRDefault="005F2C5A" w14:paraId="095866F4" w14:textId="4F930069">
      <w:pPr>
        <w:rPr>
          <w:i/>
          <w:iCs/>
          <w:color w:val="auto"/>
        </w:rPr>
      </w:pPr>
      <w:r w:rsidRPr="0011274F">
        <w:rPr>
          <w:i/>
          <w:iCs/>
          <w:color w:val="auto"/>
        </w:rPr>
        <w:t>3.1.2 Betaalbaarheid</w:t>
      </w:r>
    </w:p>
    <w:p w:rsidRPr="0011274F" w:rsidR="00BE369D" w:rsidP="0011274F" w:rsidRDefault="00BE369D" w14:paraId="2C8A6D09" w14:textId="2453C56F">
      <w:r w:rsidRPr="0011274F">
        <w:t xml:space="preserve">Ten aanzien van betaalbaarheid </w:t>
      </w:r>
      <w:r w:rsidRPr="0011274F" w:rsidR="00C262CB">
        <w:t xml:space="preserve">laat onderzoek zien </w:t>
      </w:r>
      <w:r w:rsidRPr="0011274F">
        <w:t>dat elektrische be</w:t>
      </w:r>
      <w:r w:rsidRPr="0011274F" w:rsidR="00545118">
        <w:t>drijfs</w:t>
      </w:r>
      <w:r w:rsidRPr="0011274F">
        <w:t>auto’s voor veel voertuigeigenaren betaalbaar zijn</w:t>
      </w:r>
      <w:r w:rsidRPr="0011274F" w:rsidR="00C262CB">
        <w:t>.</w:t>
      </w:r>
      <w:r w:rsidRPr="0011274F" w:rsidR="00C262CB">
        <w:rPr>
          <w:rStyle w:val="FootnoteReference"/>
        </w:rPr>
        <w:footnoteReference w:id="9"/>
      </w:r>
      <w:r w:rsidRPr="0011274F" w:rsidR="00597312">
        <w:t xml:space="preserve"> Tegelijkertijd heeft</w:t>
      </w:r>
      <w:r w:rsidRPr="0011274F">
        <w:t xml:space="preserve"> de tweehandsmarkt nog tijd nodig heeft om zich verder te ontwikkelen. Ondernemers die vanwege bedrijfseconomische omstandigheden nog niet mee kunnen komen in de transitie, kunnen in aanmerking komen voor een ontheffing. Het is echter niet wenselijk om een te grote groep afhankelijk te laten worden van een ontheffing. Door </w:t>
      </w:r>
      <w:r w:rsidRPr="0011274F" w:rsidR="00545118">
        <w:t>bedrijfs</w:t>
      </w:r>
      <w:r w:rsidRPr="0011274F">
        <w:t xml:space="preserve">auto’s met emissieklasse 6 een jaar langer toegang tot nul-emissiezones te geven, kunnen </w:t>
      </w:r>
      <w:r w:rsidRPr="0011274F" w:rsidR="00C262CB">
        <w:t xml:space="preserve">zij hun bestaande voertuig over een langere periode afschrijven, </w:t>
      </w:r>
      <w:r w:rsidRPr="0011274F" w:rsidR="005707CB">
        <w:t>wordt de markt voor ZE-</w:t>
      </w:r>
      <w:r w:rsidRPr="0011274F" w:rsidR="00545118">
        <w:t>bedrijfs</w:t>
      </w:r>
      <w:r w:rsidRPr="0011274F" w:rsidR="005707CB">
        <w:t>auto’s competitiever</w:t>
      </w:r>
      <w:r w:rsidRPr="0011274F">
        <w:t xml:space="preserve"> en heeft de tweedehandsmarkt een jaar langer de tijd om zich verder te ontwikkelen. </w:t>
      </w:r>
    </w:p>
    <w:p w:rsidRPr="0011274F" w:rsidR="00BE369D" w:rsidP="0011274F" w:rsidRDefault="00BE369D" w14:paraId="5585AAD7" w14:textId="77777777"/>
    <w:p w:rsidRPr="0011274F" w:rsidR="006C6583" w:rsidP="0011274F" w:rsidRDefault="00BE369D" w14:paraId="7FFE6F31" w14:textId="092BF2FC">
      <w:r w:rsidRPr="0011274F">
        <w:t>De gemiddelde aanschafprijs van een nieuwe ZE-be</w:t>
      </w:r>
      <w:r w:rsidRPr="0011274F" w:rsidR="00545118">
        <w:t>drijfs</w:t>
      </w:r>
      <w:r w:rsidRPr="0011274F">
        <w:t xml:space="preserve">auto is 5.000 tot 10.000 euro lager dan van een dieselvariant, als gevolg van de afschaffing van de BPM-vrijstelling </w:t>
      </w:r>
      <w:r w:rsidRPr="0011274F" w:rsidR="006E1117">
        <w:t xml:space="preserve">voor dieselvarianten </w:t>
      </w:r>
      <w:r w:rsidRPr="0011274F">
        <w:t>en dalende prijzen</w:t>
      </w:r>
      <w:r w:rsidRPr="0011274F" w:rsidR="006E1117">
        <w:t xml:space="preserve"> van elektrische voertuigen</w:t>
      </w:r>
      <w:r w:rsidRPr="0011274F">
        <w:t>.</w:t>
      </w:r>
      <w:r w:rsidRPr="0011274F">
        <w:rPr>
          <w:rStyle w:val="FootnoteReference"/>
        </w:rPr>
        <w:footnoteReference w:id="10"/>
      </w:r>
      <w:r w:rsidRPr="0011274F">
        <w:t xml:space="preserve"> Omdat ZE-voertuigen lagere brandstof- en onderhoudskosten per kilometer hebben, is het voordeel op basis van de </w:t>
      </w:r>
      <w:r w:rsidRPr="0011274F">
        <w:rPr>
          <w:i/>
          <w:iCs/>
        </w:rPr>
        <w:t>total costs of ownership</w:t>
      </w:r>
      <w:r w:rsidRPr="0011274F">
        <w:t xml:space="preserve"> (TCO) nog groter. Mede hierdoor bestaat circa 78% van de nieuwverkoop aan lichte bedrijfsvoertuigen in 2026 uit elektrische voertuigen.</w:t>
      </w:r>
      <w:r w:rsidRPr="0011274F">
        <w:rPr>
          <w:rStyle w:val="FootnoteReference"/>
        </w:rPr>
        <w:footnoteReference w:id="11"/>
      </w:r>
      <w:r w:rsidRPr="0011274F">
        <w:t xml:space="preserve"> </w:t>
      </w:r>
      <w:r w:rsidRPr="0011274F" w:rsidR="005707CB">
        <w:t xml:space="preserve">De verlenging van de overgangsregeling zal naar verwachting de prijzen verder doen dalen. </w:t>
      </w:r>
    </w:p>
    <w:p w:rsidRPr="0011274F" w:rsidR="00F911BB" w:rsidP="0011274F" w:rsidRDefault="00F911BB" w14:paraId="031E108E" w14:textId="77777777"/>
    <w:p w:rsidRPr="0011274F" w:rsidR="00BE369D" w:rsidP="0011274F" w:rsidRDefault="00BE369D" w14:paraId="7A39ADB8" w14:textId="775BC8FF">
      <w:r w:rsidRPr="0011274F">
        <w:t xml:space="preserve">De tweedehandsmarkt voor elektrische </w:t>
      </w:r>
      <w:r w:rsidRPr="0011274F" w:rsidR="00545118">
        <w:t>bedrijfs</w:t>
      </w:r>
      <w:r w:rsidRPr="0011274F">
        <w:t xml:space="preserve">auto’s zit nu in de </w:t>
      </w:r>
      <w:r w:rsidRPr="0011274F">
        <w:rPr>
          <w:i/>
          <w:iCs/>
        </w:rPr>
        <w:t>early adapter phase</w:t>
      </w:r>
      <w:r w:rsidRPr="0011274F">
        <w:t>, maar wordt de komende jaren (richting 2030) snel volwassen.</w:t>
      </w:r>
      <w:r w:rsidRPr="0011274F">
        <w:rPr>
          <w:rStyle w:val="FootnoteReference"/>
        </w:rPr>
        <w:footnoteReference w:id="12"/>
      </w:r>
      <w:r w:rsidRPr="0011274F">
        <w:t xml:space="preserve"> De Subsidieregeling Emissieloze Bedrijfsauto’s (SEBA) heeft tussen 2021 en 2024 circa 29.000 elektrische </w:t>
      </w:r>
      <w:r w:rsidRPr="0011274F" w:rsidR="00545118">
        <w:t>bedrijfs</w:t>
      </w:r>
      <w:r w:rsidRPr="0011274F">
        <w:t xml:space="preserve">auto’s gesubsidieerd. Bij het aflopen van deze regeling in 2025 waren er circa 45.000 elektrische </w:t>
      </w:r>
      <w:r w:rsidRPr="0011274F" w:rsidR="00545118">
        <w:t>bedrijfs</w:t>
      </w:r>
      <w:r w:rsidRPr="0011274F">
        <w:t>auto’s in Nederland. De verwachting is dat veel van die voertuigen binnen drie tot vijf jaar de tweedehandsmarkt zullen betreden</w:t>
      </w:r>
      <w:r w:rsidRPr="0011274F" w:rsidR="00027905">
        <w:t>.</w:t>
      </w:r>
      <w:r w:rsidRPr="0011274F">
        <w:rPr>
          <w:rStyle w:val="FootnoteReference"/>
        </w:rPr>
        <w:footnoteReference w:id="13"/>
      </w:r>
      <w:r w:rsidRPr="0011274F">
        <w:t xml:space="preserve"> In 2028 zal dit voor een groot deel van deze vloot het geval zijn. Sinds 2025 bestaat de overgrote meerderheid van de nieuwe be</w:t>
      </w:r>
      <w:r w:rsidRPr="0011274F" w:rsidR="00545118">
        <w:t>drijfs</w:t>
      </w:r>
      <w:r w:rsidRPr="0011274F">
        <w:t xml:space="preserve">auto’s uit zero-emissievoertuigen, die de komende jaren ook op de tweedehandsmarkt terecht zullen komen. In lijn hiermee zien </w:t>
      </w:r>
      <w:r w:rsidRPr="0011274F" w:rsidR="00027905">
        <w:t>de Rijksdienst voor Ondernemend Nederland (RVO) en</w:t>
      </w:r>
      <w:r w:rsidRPr="0011274F">
        <w:t xml:space="preserve"> Revnext een geleidelijke verschuiving van diesel richting ZE in de occasionmarkt. Vanaf bouwjaar 2022 omvatten ZE-voertuigen een steeds groter aandeel in de aangeboden occasions. Waar dit in 2021 nog ruim 2% bedroeg, is dit in 2024 opgelopen tot bijna 9%</w:t>
      </w:r>
      <w:r w:rsidRPr="0011274F" w:rsidR="00027905">
        <w:t>.</w:t>
      </w:r>
      <w:r w:rsidRPr="0011274F">
        <w:rPr>
          <w:rStyle w:val="FootnoteReference"/>
        </w:rPr>
        <w:footnoteReference w:id="14"/>
      </w:r>
      <w:r w:rsidRPr="0011274F">
        <w:t xml:space="preserve"> Deze scherpe stijging laat zien hoe snel de markt zich ontwikkelt, en dat één jaar verlenging van de overgangsregeling een aanzienlijk verschil kan maken.  </w:t>
      </w:r>
    </w:p>
    <w:p w:rsidRPr="0011274F" w:rsidR="00235EB1" w:rsidP="0011274F" w:rsidRDefault="00235EB1" w14:paraId="4C715ED8" w14:textId="67E15074">
      <w:pPr>
        <w:rPr>
          <w:color w:val="auto"/>
        </w:rPr>
      </w:pPr>
    </w:p>
    <w:p w:rsidRPr="0011274F" w:rsidR="00FD3F8B" w:rsidP="0011274F" w:rsidRDefault="00FD3F8B" w14:paraId="7D46A43A" w14:textId="0D8DE729">
      <w:pPr>
        <w:rPr>
          <w:i/>
          <w:iCs/>
          <w:color w:val="auto"/>
        </w:rPr>
      </w:pPr>
      <w:r w:rsidRPr="0011274F">
        <w:rPr>
          <w:i/>
          <w:iCs/>
          <w:color w:val="auto"/>
        </w:rPr>
        <w:t>3.1.</w:t>
      </w:r>
      <w:r w:rsidRPr="0011274F" w:rsidR="00BE369D">
        <w:rPr>
          <w:i/>
          <w:iCs/>
          <w:color w:val="auto"/>
        </w:rPr>
        <w:t>3</w:t>
      </w:r>
      <w:r w:rsidRPr="0011274F" w:rsidR="006B55E2">
        <w:rPr>
          <w:i/>
          <w:iCs/>
          <w:color w:val="auto"/>
        </w:rPr>
        <w:t xml:space="preserve"> Laadinfrastructuur</w:t>
      </w:r>
    </w:p>
    <w:p w:rsidRPr="0011274F" w:rsidR="00C47EA4" w:rsidP="0011274F" w:rsidRDefault="00786EEE" w14:paraId="28B9868A" w14:textId="0DB32F17">
      <w:pPr>
        <w:rPr>
          <w:color w:val="auto"/>
        </w:rPr>
      </w:pPr>
      <w:r w:rsidRPr="0011274F">
        <w:rPr>
          <w:color w:val="auto"/>
        </w:rPr>
        <w:t>Laadinfrastructuur is een randvoorwaarde voor de overstap naar elektrisch vervoer</w:t>
      </w:r>
      <w:r w:rsidRPr="0011274F" w:rsidR="00E61BEC">
        <w:rPr>
          <w:color w:val="auto"/>
        </w:rPr>
        <w:t xml:space="preserve">. </w:t>
      </w:r>
      <w:r w:rsidRPr="0011274F" w:rsidR="00D5242D">
        <w:t xml:space="preserve">Het trendrapport </w:t>
      </w:r>
      <w:r w:rsidRPr="0011274F" w:rsidR="00027905">
        <w:t>L</w:t>
      </w:r>
      <w:r w:rsidRPr="0011274F" w:rsidR="00D5242D">
        <w:t>ichte bedrijfsvoertuigen laat zien dat de groei van het aantal laadpunten gelijk op gaat met de instroom van ZE-voertuigen.</w:t>
      </w:r>
      <w:r w:rsidRPr="0011274F" w:rsidR="00027905">
        <w:rPr>
          <w:rStyle w:val="FootnoteReference"/>
        </w:rPr>
        <w:footnoteReference w:id="15"/>
      </w:r>
      <w:r w:rsidRPr="0011274F" w:rsidR="00D5242D">
        <w:t xml:space="preserve"> Per stekkervoertuig in Nederland is er ongeveer één laadpunt. Ook in gemeenten met een (voorgenomen) nul-emissiezone zien we ongeveer één laadpaal per stekkervoertuig.</w:t>
      </w:r>
      <w:r w:rsidRPr="0011274F" w:rsidR="00D5242D">
        <w:rPr>
          <w:rStyle w:val="FootnoteReference"/>
        </w:rPr>
        <w:footnoteReference w:id="16"/>
      </w:r>
      <w:r w:rsidRPr="0011274F" w:rsidR="00D5242D">
        <w:t xml:space="preserve"> </w:t>
      </w:r>
      <w:r w:rsidRPr="0011274F" w:rsidR="00E61BEC">
        <w:rPr>
          <w:color w:val="auto"/>
        </w:rPr>
        <w:t>De huidige publieke laadinfrastructuur in en rondom de nul-emissiezones is ruimschoots toereikend voor de huidige vloot aan elektrische voertuigen en voor de verwachte ingroei bij het aflopen van de overgangsregeling voor bedrijfsauto’s met emissieklasse 5 per 1 januari 2027.</w:t>
      </w:r>
      <w:r w:rsidRPr="0011274F" w:rsidR="00E61BEC">
        <w:rPr>
          <w:rStyle w:val="FootnoteReference"/>
          <w:color w:val="auto"/>
        </w:rPr>
        <w:footnoteReference w:id="17"/>
      </w:r>
      <w:r w:rsidRPr="0011274F" w:rsidR="00E61BEC">
        <w:rPr>
          <w:color w:val="auto"/>
        </w:rPr>
        <w:t xml:space="preserve"> </w:t>
      </w:r>
      <w:r w:rsidRPr="0011274F" w:rsidR="006B55E2">
        <w:rPr>
          <w:color w:val="auto"/>
        </w:rPr>
        <w:t xml:space="preserve">Tegelijkertijd vraagt </w:t>
      </w:r>
      <w:r w:rsidRPr="0011274F" w:rsidR="00E61BEC">
        <w:rPr>
          <w:color w:val="auto"/>
        </w:rPr>
        <w:t xml:space="preserve">de </w:t>
      </w:r>
      <w:r w:rsidRPr="0011274F" w:rsidR="00D6251D">
        <w:rPr>
          <w:color w:val="auto"/>
        </w:rPr>
        <w:t>toenemende instroom van elektrische voertuigen</w:t>
      </w:r>
      <w:r w:rsidRPr="0011274F" w:rsidR="006B55E2">
        <w:rPr>
          <w:color w:val="auto"/>
        </w:rPr>
        <w:t xml:space="preserve"> in de komende jaren om blijvende aandacht voor </w:t>
      </w:r>
      <w:r w:rsidRPr="0011274F" w:rsidR="00D6251D">
        <w:rPr>
          <w:color w:val="auto"/>
        </w:rPr>
        <w:t xml:space="preserve">de beschikbaarheid van voldoende </w:t>
      </w:r>
      <w:r w:rsidRPr="0011274F" w:rsidR="006B55E2">
        <w:rPr>
          <w:color w:val="auto"/>
        </w:rPr>
        <w:t xml:space="preserve">laadinfrastructuur, ook in relatie tot netcongestie. </w:t>
      </w:r>
      <w:r w:rsidRPr="0011274F" w:rsidR="00605299">
        <w:rPr>
          <w:color w:val="auto"/>
        </w:rPr>
        <w:t xml:space="preserve">Samen met partners van de Nationale Agenda Laadinfrastructuur (NAL) en de UAZ wordt de ontwikkeling van laadinfrastructuur nauw gemonitord. </w:t>
      </w:r>
    </w:p>
    <w:p w:rsidRPr="0011274F" w:rsidR="00934DBD" w:rsidP="0011274F" w:rsidRDefault="00934DBD" w14:paraId="399B5E92" w14:textId="77777777">
      <w:pPr>
        <w:rPr>
          <w:color w:val="auto"/>
        </w:rPr>
      </w:pPr>
    </w:p>
    <w:p w:rsidRPr="0011274F" w:rsidR="00934DBD" w:rsidP="0011274F" w:rsidRDefault="00934DBD" w14:paraId="7E064BF8" w14:textId="3E1D9DAB">
      <w:r w:rsidRPr="0011274F">
        <w:t>Volgens de Outlook Mobiliteit</w:t>
      </w:r>
      <w:r w:rsidRPr="0011274F" w:rsidR="00E44A73">
        <w:t xml:space="preserve"> van Elaad</w:t>
      </w:r>
      <w:r w:rsidRPr="0011274F" w:rsidR="00E44A73">
        <w:rPr>
          <w:rStyle w:val="FootnoteReference"/>
        </w:rPr>
        <w:footnoteReference w:id="18"/>
      </w:r>
      <w:r w:rsidRPr="0011274F">
        <w:t xml:space="preserve"> wordt ongeveer 6</w:t>
      </w:r>
      <w:r w:rsidRPr="0011274F" w:rsidR="007E4CC8">
        <w:t>4</w:t>
      </w:r>
      <w:r w:rsidRPr="0011274F">
        <w:t>% van de elektriciteitsvraag voor be</w:t>
      </w:r>
      <w:r w:rsidRPr="0011274F" w:rsidR="00545118">
        <w:t>drijfs</w:t>
      </w:r>
      <w:r w:rsidRPr="0011274F">
        <w:t xml:space="preserve">auto’s ingevuld met laden op bedrijventerreinen. Circa 4% laadt onderweg en 32% in woonwijken (thuis en op publieke laadpunten). Elaad voorziet geen tekort aan laadcapaciteit op de korte en middellange termijn voor publiek laden, ondanks het afkondigen van het prioriteringskader. Er is genoeg vrije capaciteit en met mitigerende maatregelen zoals slim laden is voldoende aanvullende capaciteit te realiseren. Voor depotladen suggereert de Outlook Mobiliteit wel een tekort, maar dit neemt af in de tijd en is vooral een knelpunt voor het opladen van vrachtauto’s. Doordat het capaciteitstekort voor depotladen met de tijd afneemt, zal verlenging van de overgangsregeling ervoor zorgen dat minder ondernemers een beroep hoeven te doen op de ontheffing wegens netcongestie. </w:t>
      </w:r>
    </w:p>
    <w:p w:rsidRPr="0011274F" w:rsidR="00C47EA4" w:rsidP="0011274F" w:rsidRDefault="00C47EA4" w14:paraId="501AE2F0" w14:textId="77777777"/>
    <w:p w:rsidRPr="0011274F" w:rsidR="008343D2" w:rsidP="0011274F" w:rsidRDefault="008F0EE8" w14:paraId="02105816" w14:textId="6431A9B7">
      <w:r w:rsidRPr="0011274F">
        <w:t>Ondernemers komen in aanmerking voor een ontheffing wegens netcongestie, wanneer zij de oversta</w:t>
      </w:r>
      <w:r w:rsidRPr="0011274F" w:rsidR="007E4CC8">
        <w:t>p</w:t>
      </w:r>
      <w:r w:rsidRPr="0011274F">
        <w:t xml:space="preserve"> naar emissieloos niet kunnen maken vanwege onvoldoende laadvermogen op </w:t>
      </w:r>
      <w:r w:rsidRPr="0011274F" w:rsidR="007E4CC8">
        <w:t xml:space="preserve">hun </w:t>
      </w:r>
      <w:r w:rsidRPr="0011274F">
        <w:t>bedrijfslocatie, vanwege een structureel tekort aan transportcapaciteit voor afname van elektriciteit.</w:t>
      </w:r>
      <w:r w:rsidRPr="0011274F" w:rsidR="008343D2">
        <w:t xml:space="preserve"> Het is echter niet wenselijk om een te grote groep voertuigeigenaren afhankelijk te laten worden van deze ontheffing. Door </w:t>
      </w:r>
      <w:r w:rsidRPr="0011274F" w:rsidR="00545118">
        <w:t>bedrijfs</w:t>
      </w:r>
      <w:r w:rsidRPr="0011274F" w:rsidR="008343D2">
        <w:t>auto</w:t>
      </w:r>
      <w:r w:rsidRPr="0011274F" w:rsidR="000D34FF">
        <w:t>’</w:t>
      </w:r>
      <w:r w:rsidRPr="0011274F" w:rsidR="008343D2">
        <w:t xml:space="preserve">s </w:t>
      </w:r>
      <w:r w:rsidRPr="0011274F" w:rsidR="000D34FF">
        <w:t xml:space="preserve">met emissieklasse 6 </w:t>
      </w:r>
      <w:r w:rsidRPr="0011274F" w:rsidR="008343D2">
        <w:t xml:space="preserve">een jaar langer toegang tot nul-emissiezones te geven, is er ook een jaar langer om oplossingen </w:t>
      </w:r>
      <w:r w:rsidRPr="0011274F" w:rsidR="00E61BEC">
        <w:t xml:space="preserve">en mitigerende maatregelen voor netcongestie te realiseren, </w:t>
      </w:r>
      <w:r w:rsidRPr="0011274F" w:rsidR="008343D2">
        <w:t xml:space="preserve">zoals alternatieve contractvormen of batterij-opslag. </w:t>
      </w:r>
    </w:p>
    <w:p w:rsidRPr="0011274F" w:rsidR="00A77227" w:rsidP="0011274F" w:rsidRDefault="00A77227" w14:paraId="0179E19F" w14:textId="607A22AA">
      <w:pPr>
        <w:rPr>
          <w:i/>
          <w:iCs/>
        </w:rPr>
      </w:pPr>
    </w:p>
    <w:p w:rsidRPr="0011274F" w:rsidR="008343D2" w:rsidP="0011274F" w:rsidRDefault="008343D2" w14:paraId="687839A5" w14:textId="3EE20F83">
      <w:pPr>
        <w:rPr>
          <w:i/>
          <w:iCs/>
        </w:rPr>
      </w:pPr>
      <w:r w:rsidRPr="0011274F">
        <w:rPr>
          <w:i/>
          <w:iCs/>
        </w:rPr>
        <w:t>3.2</w:t>
      </w:r>
      <w:r w:rsidRPr="0011274F">
        <w:t xml:space="preserve"> </w:t>
      </w:r>
      <w:r w:rsidRPr="0011274F">
        <w:rPr>
          <w:i/>
          <w:iCs/>
        </w:rPr>
        <w:t>Klimaat- en milieueffecten</w:t>
      </w:r>
    </w:p>
    <w:p w:rsidRPr="0011274F" w:rsidR="008343D2" w:rsidP="0011274F" w:rsidRDefault="000D34FF" w14:paraId="79BCA7C0" w14:textId="549BB6D8">
      <w:r w:rsidRPr="0011274F">
        <w:t>B</w:t>
      </w:r>
      <w:r w:rsidRPr="0011274F" w:rsidR="008343D2">
        <w:t>e</w:t>
      </w:r>
      <w:r w:rsidRPr="0011274F" w:rsidR="00545118">
        <w:t>drijfs</w:t>
      </w:r>
      <w:r w:rsidRPr="0011274F" w:rsidR="008343D2">
        <w:t>auto</w:t>
      </w:r>
      <w:r w:rsidRPr="0011274F">
        <w:t>’</w:t>
      </w:r>
      <w:r w:rsidRPr="0011274F" w:rsidR="008343D2">
        <w:t>s</w:t>
      </w:r>
      <w:r w:rsidRPr="0011274F">
        <w:t xml:space="preserve"> met emissieklasse 6</w:t>
      </w:r>
      <w:r w:rsidRPr="0011274F" w:rsidR="008343D2">
        <w:t xml:space="preserve"> </w:t>
      </w:r>
      <w:r w:rsidRPr="0011274F" w:rsidR="003C4831">
        <w:t xml:space="preserve">mogen </w:t>
      </w:r>
      <w:r w:rsidRPr="0011274F" w:rsidR="008343D2">
        <w:t xml:space="preserve">een jaar langer in de nul-emissiezones rijden, tot </w:t>
      </w:r>
      <w:r w:rsidRPr="0011274F" w:rsidR="00A95B15">
        <w:t xml:space="preserve">en met 31 december 2028 in plaats van 2027. </w:t>
      </w:r>
      <w:r w:rsidRPr="0011274F" w:rsidR="008343D2">
        <w:t xml:space="preserve">Doordat deze voertuigen pas later </w:t>
      </w:r>
      <w:r w:rsidRPr="0011274F" w:rsidR="003C4831">
        <w:t xml:space="preserve">worden </w:t>
      </w:r>
      <w:r w:rsidRPr="0011274F" w:rsidR="008343D2">
        <w:t xml:space="preserve">geweerd, valt te verwachten dat er minder emissiereductie wordt behaald </w:t>
      </w:r>
      <w:r w:rsidRPr="0011274F" w:rsidR="0046448C">
        <w:t xml:space="preserve">ten behoeve van </w:t>
      </w:r>
      <w:r w:rsidRPr="0011274F" w:rsidR="008343D2">
        <w:t xml:space="preserve">klimaat en schone lucht. </w:t>
      </w:r>
      <w:r w:rsidRPr="0011274F" w:rsidR="003C4831">
        <w:t>De n</w:t>
      </w:r>
      <w:r w:rsidRPr="0011274F" w:rsidR="008343D2">
        <w:t>ul-emissiezone</w:t>
      </w:r>
      <w:r w:rsidRPr="0011274F" w:rsidR="003C4831">
        <w:t xml:space="preserve"> is</w:t>
      </w:r>
      <w:r w:rsidRPr="0011274F" w:rsidR="008343D2">
        <w:t xml:space="preserve"> echter niet de enige factor die bijdraagt aan verduurzaming van stadslogistiek. Financiële prikkels zorgen voor een steeds positiever kostenplaatje voor elektrische be</w:t>
      </w:r>
      <w:r w:rsidRPr="0011274F" w:rsidR="00545118">
        <w:t>drijfs</w:t>
      </w:r>
      <w:r w:rsidRPr="0011274F" w:rsidR="008343D2">
        <w:t xml:space="preserve">auto’s. Bovendien worden de technische specificaties van de voertuigen steeds beter, zoals </w:t>
      </w:r>
      <w:r w:rsidRPr="0011274F" w:rsidR="00DD5838">
        <w:t xml:space="preserve">de </w:t>
      </w:r>
      <w:r w:rsidRPr="0011274F" w:rsidR="008343D2">
        <w:t xml:space="preserve">actieradius. Er zullen dus ook ondernemers zijn die al eerder verduurzamen, ongeacht de nul-emissiezones. Hoe groot deze groep is, is onder andere afhankelijk van geopolitieke, economische en maatschappelijke ontwikkelingen. De doelen in het Klimaatakkoord zijn bovendien geformuleerd voor 2030. Tot die tijd geldt er een ingroeipad, waarbij stapsgewijs wordt toegewerkt naar uitstootvrije stadslogistiek. </w:t>
      </w:r>
      <w:bookmarkStart w:name="_Hlk239427565" w:id="1"/>
      <w:r w:rsidRPr="0011274F" w:rsidR="008343D2">
        <w:t xml:space="preserve">Dit besluit beïnvloedt niet voor welke voertuigen de nul-emissiezones uiteindelijk gelden, maar enkel het tijdspad van één overgangsregeling in het ingroeipad. </w:t>
      </w:r>
      <w:bookmarkEnd w:id="1"/>
    </w:p>
    <w:p w:rsidRPr="0011274F" w:rsidR="008343D2" w:rsidP="0011274F" w:rsidRDefault="008343D2" w14:paraId="557C583A" w14:textId="77777777"/>
    <w:p w:rsidRPr="0011274F" w:rsidR="008343D2" w:rsidP="0011274F" w:rsidRDefault="008343D2" w14:paraId="1E517D11" w14:textId="4E79673B">
      <w:r w:rsidRPr="0011274F">
        <w:t>Haskoning &amp; Buck Consultants (202</w:t>
      </w:r>
      <w:r w:rsidRPr="0011274F" w:rsidR="00726E5B">
        <w:t>5</w:t>
      </w:r>
      <w:r w:rsidRPr="0011274F">
        <w:t>) hebben berekend wat de maatschappelijke kosten en baten van de nul-emissiezones in 2030 zijn.</w:t>
      </w:r>
      <w:r w:rsidRPr="0011274F">
        <w:rPr>
          <w:rStyle w:val="FootnoteReference"/>
        </w:rPr>
        <w:footnoteReference w:id="19"/>
      </w:r>
      <w:r w:rsidRPr="0011274F">
        <w:t xml:space="preserve"> Zij concluderen dat de nul-emissiezones in 2030 naar verwachting zorgen voor een emissiereductie van 0,55 Mton CO</w:t>
      </w:r>
      <w:r w:rsidRPr="0011274F">
        <w:rPr>
          <w:vertAlign w:val="subscript"/>
        </w:rPr>
        <w:t>2</w:t>
      </w:r>
      <w:r w:rsidRPr="0011274F">
        <w:t>, 977 ton NO</w:t>
      </w:r>
      <w:r w:rsidRPr="0011274F">
        <w:rPr>
          <w:vertAlign w:val="subscript"/>
        </w:rPr>
        <w:t>x</w:t>
      </w:r>
      <w:r w:rsidRPr="0011274F">
        <w:t>, 15,1 ton fijnstof en 7,8 ton roet. Daarmee liggen de maatschappelijke baten 4,4 keer hoger dan de maatschappelijke kosten. De doelstelling uit het klimaatakkoord (1,0 Mton CO</w:t>
      </w:r>
      <w:r w:rsidRPr="0011274F">
        <w:rPr>
          <w:vertAlign w:val="subscript"/>
        </w:rPr>
        <w:t>2</w:t>
      </w:r>
      <w:r w:rsidRPr="0011274F">
        <w:t xml:space="preserve">) wordt echter nog niet gehaald. De twee belangrijkste oorzaken hiervan zijn dat er relatief weinig nul-emissiezones zijn/worden ingevoerd, en dat de meeste zones relatief klein zijn. Het </w:t>
      </w:r>
      <w:r w:rsidRPr="0011274F" w:rsidR="001E4756">
        <w:t xml:space="preserve">wel of </w:t>
      </w:r>
      <w:r w:rsidRPr="0011274F">
        <w:t xml:space="preserve">niet aanpassen van de overgangsregeling </w:t>
      </w:r>
      <w:r w:rsidRPr="0011274F" w:rsidR="001E4756">
        <w:t>heeft geen</w:t>
      </w:r>
      <w:r w:rsidRPr="0011274F">
        <w:t xml:space="preserve"> invloed op deze resultaten, omdat 2030 het richtjaar is. </w:t>
      </w:r>
    </w:p>
    <w:p w:rsidRPr="0011274F" w:rsidR="008343D2" w:rsidP="0011274F" w:rsidRDefault="008343D2" w14:paraId="3737C068" w14:textId="77777777"/>
    <w:p w:rsidRPr="0011274F" w:rsidR="008343D2" w:rsidP="0011274F" w:rsidRDefault="008343D2" w14:paraId="70DD1757" w14:textId="77777777">
      <w:pPr>
        <w:rPr>
          <w:i/>
          <w:iCs/>
        </w:rPr>
      </w:pPr>
      <w:r w:rsidRPr="0011274F">
        <w:rPr>
          <w:i/>
          <w:iCs/>
        </w:rPr>
        <w:t>3.3 Financiële gevolgen</w:t>
      </w:r>
    </w:p>
    <w:p w:rsidRPr="0011274F" w:rsidR="008343D2" w:rsidP="0011274F" w:rsidRDefault="008343D2" w14:paraId="6CD56255" w14:textId="2999CE9D">
      <w:r w:rsidRPr="0011274F">
        <w:t xml:space="preserve">Deze wijziging heeft geen financiële gevolgen voor het Rijk en voor decentrale overheden. De bestaande handhavingssystemen en camera’s blijven in stand. Ondernemers die nog niet mee kunnen komen in de transitie hoeven in 2028 geen ontheffing aan te vragen, wat voor hen kostenbesparend is. Het Centraal Loket van de </w:t>
      </w:r>
      <w:r w:rsidRPr="0011274F" w:rsidR="0046448C">
        <w:t>Rijksd</w:t>
      </w:r>
      <w:r w:rsidRPr="0011274F" w:rsidR="007647FB">
        <w:t>ienst</w:t>
      </w:r>
      <w:r w:rsidRPr="0011274F" w:rsidR="0046448C">
        <w:t xml:space="preserve"> voor het</w:t>
      </w:r>
      <w:r w:rsidRPr="0011274F" w:rsidR="007647FB">
        <w:t xml:space="preserve"> Wegverkeer (</w:t>
      </w:r>
      <w:r w:rsidRPr="0011274F">
        <w:t>RDW</w:t>
      </w:r>
      <w:r w:rsidRPr="0011274F" w:rsidR="007647FB">
        <w:t>)</w:t>
      </w:r>
      <w:r w:rsidRPr="0011274F">
        <w:t xml:space="preserve"> zal </w:t>
      </w:r>
      <w:r w:rsidRPr="0011274F" w:rsidR="0046448C">
        <w:t xml:space="preserve">voor een jaar </w:t>
      </w:r>
      <w:r w:rsidRPr="0011274F">
        <w:t xml:space="preserve">minder ontheffingsaanvragen </w:t>
      </w:r>
      <w:r w:rsidRPr="0011274F" w:rsidR="0046448C">
        <w:t>ontvangen</w:t>
      </w:r>
      <w:r w:rsidRPr="0011274F">
        <w:t xml:space="preserve">, waardoor </w:t>
      </w:r>
      <w:r w:rsidRPr="0011274F" w:rsidR="0046448C">
        <w:t xml:space="preserve">dat jaar zowel de </w:t>
      </w:r>
      <w:r w:rsidRPr="0011274F">
        <w:t xml:space="preserve">kosten </w:t>
      </w:r>
      <w:r w:rsidRPr="0011274F" w:rsidR="0046448C">
        <w:t xml:space="preserve">als de </w:t>
      </w:r>
      <w:r w:rsidRPr="0011274F">
        <w:t>geïnd</w:t>
      </w:r>
      <w:r w:rsidRPr="0011274F" w:rsidR="0046448C">
        <w:t>e</w:t>
      </w:r>
      <w:r w:rsidRPr="0011274F">
        <w:t xml:space="preserve"> </w:t>
      </w:r>
      <w:r w:rsidRPr="0011274F" w:rsidR="0046448C">
        <w:t>leges zullen afnemen</w:t>
      </w:r>
      <w:r w:rsidRPr="0011274F">
        <w:t xml:space="preserve">. </w:t>
      </w:r>
      <w:r w:rsidRPr="0011274F" w:rsidR="0046448C">
        <w:t xml:space="preserve">Per saldo </w:t>
      </w:r>
      <w:r w:rsidRPr="0011274F">
        <w:t>zijn er d</w:t>
      </w:r>
      <w:r w:rsidRPr="0011274F" w:rsidR="0046448C">
        <w:t>aarmee</w:t>
      </w:r>
      <w:r w:rsidRPr="0011274F">
        <w:t xml:space="preserve"> </w:t>
      </w:r>
      <w:r w:rsidRPr="0011274F" w:rsidR="0046448C">
        <w:t xml:space="preserve">dus </w:t>
      </w:r>
      <w:r w:rsidRPr="0011274F">
        <w:t xml:space="preserve">geen financiële gevolgen voor het Centraal Loket. </w:t>
      </w:r>
    </w:p>
    <w:p w:rsidRPr="0011274F" w:rsidR="008343D2" w:rsidP="0011274F" w:rsidRDefault="008343D2" w14:paraId="512A4F4A" w14:textId="77777777"/>
    <w:p w:rsidRPr="0011274F" w:rsidR="008343D2" w:rsidP="0011274F" w:rsidRDefault="008343D2" w14:paraId="5F309FD3" w14:textId="77777777">
      <w:pPr>
        <w:rPr>
          <w:b/>
          <w:bCs/>
        </w:rPr>
      </w:pPr>
      <w:r w:rsidRPr="0011274F">
        <w:rPr>
          <w:b/>
          <w:bCs/>
        </w:rPr>
        <w:t>4. Uitvoering, toezicht en handhaving</w:t>
      </w:r>
    </w:p>
    <w:p w:rsidRPr="0011274F" w:rsidR="00B06C6A" w:rsidP="0011274F" w:rsidRDefault="00B06C6A" w14:paraId="1206EDFD" w14:textId="77777777">
      <w:pPr>
        <w:rPr>
          <w:b/>
          <w:bCs/>
        </w:rPr>
      </w:pPr>
    </w:p>
    <w:p w:rsidRPr="0011274F" w:rsidR="001E2C90" w:rsidP="0011274F" w:rsidRDefault="008343D2" w14:paraId="10875314" w14:textId="743AD04C">
      <w:r w:rsidRPr="0011274F">
        <w:t xml:space="preserve">Gemeenten gaan over de invoering en handhaving van de nul-emissiezones. In alle nul-emissiezones gelden dezelfde toegangsregels, zoals vastgelegd in het RVV 1990. </w:t>
      </w:r>
      <w:r w:rsidRPr="0011274F" w:rsidR="000E3831">
        <w:t>Onderhavige</w:t>
      </w:r>
      <w:r w:rsidRPr="0011274F">
        <w:t xml:space="preserve"> wijziging beïnvloedt dus de toegangsregels in alle bestaande en nog in te voeren nul-emissiezones. </w:t>
      </w:r>
      <w:r w:rsidRPr="0011274F" w:rsidR="0097200E">
        <w:t>H</w:t>
      </w:r>
      <w:r w:rsidRPr="0011274F">
        <w:t>andhaving</w:t>
      </w:r>
      <w:r w:rsidRPr="0011274F" w:rsidR="0097200E">
        <w:t xml:space="preserve"> gebeurt in de meeste gevallen</w:t>
      </w:r>
      <w:r w:rsidRPr="0011274F">
        <w:t xml:space="preserve"> automatisch, op basis van ANPR-camera’s</w:t>
      </w:r>
      <w:r w:rsidRPr="0011274F" w:rsidR="00A95B15">
        <w:t xml:space="preserve"> (</w:t>
      </w:r>
      <w:r w:rsidRPr="0011274F" w:rsidR="00A95B15">
        <w:rPr>
          <w:i/>
          <w:iCs/>
        </w:rPr>
        <w:t>Automatic Number Plate Recognition)</w:t>
      </w:r>
      <w:r w:rsidRPr="0011274F">
        <w:rPr>
          <w:i/>
          <w:iCs/>
        </w:rPr>
        <w:t>.</w:t>
      </w:r>
      <w:r w:rsidRPr="0011274F">
        <w:t xml:space="preserve"> Deze camera’s zijn gekoppeld aan RDW-data, waar voertuigkenmerken waaronder de emissieklasse en de DET aan het kenteken staan gekoppeld. De handhavingssystemen worden nu al gebruikt in de handhaving, waarbij op basis van voertuigkenmerken wordt bepaald welke voertuigen in overtreding zijn. Er wijzigt dus niets in de</w:t>
      </w:r>
      <w:r w:rsidRPr="0011274F" w:rsidR="0046448C">
        <w:t xml:space="preserve"> manier van</w:t>
      </w:r>
      <w:r w:rsidRPr="0011274F">
        <w:t xml:space="preserve"> uitvoering, toezicht en handhaving van de nul-emissiezones. </w:t>
      </w:r>
    </w:p>
    <w:p w:rsidRPr="0011274F" w:rsidR="00921BF7" w:rsidP="0011274F" w:rsidRDefault="00921BF7" w14:paraId="773DD442" w14:textId="77777777"/>
    <w:p w:rsidRPr="0011274F" w:rsidR="008343D2" w:rsidP="0011274F" w:rsidRDefault="008343D2" w14:paraId="3BDDA88C" w14:textId="0B3BCF2B">
      <w:r w:rsidRPr="0011274F">
        <w:rPr>
          <w:b/>
          <w:bCs/>
        </w:rPr>
        <w:t>5. Advies, internetconsultatie en voorhang</w:t>
      </w:r>
    </w:p>
    <w:p w:rsidRPr="0011274F" w:rsidR="00A77227" w:rsidP="0011274F" w:rsidRDefault="00A77227" w14:paraId="46657FBB" w14:textId="77777777">
      <w:pPr>
        <w:rPr>
          <w:b/>
          <w:bCs/>
        </w:rPr>
      </w:pPr>
    </w:p>
    <w:p w:rsidRPr="0011274F" w:rsidR="00DD28FD" w:rsidP="0011274F" w:rsidRDefault="00DD28FD" w14:paraId="42700805" w14:textId="77777777">
      <w:pPr>
        <w:rPr>
          <w:i/>
          <w:iCs/>
        </w:rPr>
      </w:pPr>
      <w:r w:rsidRPr="0011274F">
        <w:rPr>
          <w:i/>
          <w:iCs/>
        </w:rPr>
        <w:t>5.1 Internetconsultatie</w:t>
      </w:r>
    </w:p>
    <w:p w:rsidRPr="0011274F" w:rsidR="00B2449F" w:rsidP="0011274F" w:rsidRDefault="00B2449F" w14:paraId="021C2F60" w14:textId="77777777">
      <w:pPr>
        <w:rPr>
          <w:i/>
          <w:iCs/>
          <w:highlight w:val="yellow"/>
        </w:rPr>
      </w:pPr>
    </w:p>
    <w:p w:rsidRPr="0011274F" w:rsidR="00DD28FD" w:rsidP="0011274F" w:rsidRDefault="00DD28FD" w14:paraId="5EF070CC" w14:textId="77777777">
      <w:r w:rsidRPr="0011274F">
        <w:t xml:space="preserve">In de periode van 18 juni tot en met 13 augustus 2026 is voor dit besluit een internetconsultatie uitgevoerd. Er zijn in totaal 20 reacties ingediend, waarvan 55% door bedrijven of branchepartijen, 25% door lokale overheden en 20% door particulieren. Op de site </w:t>
      </w:r>
      <w:hyperlink w:history="1" r:id="rId11">
        <w:r w:rsidRPr="0011274F">
          <w:rPr>
            <w:rStyle w:val="Hyperlink"/>
          </w:rPr>
          <w:t>www.internetconsultatie.nl</w:t>
        </w:r>
      </w:hyperlink>
      <w:r w:rsidRPr="0011274F">
        <w:t xml:space="preserve"> worden de ontvangen reacties openbaar gemaakt indien degene die een reactie heeft gegeven daarvoor toestemming heeft gegeven. Op de genoemde site wordt ook een kort verslag geplaatst waarin op hoofdlijnen de resultaten van de internetconsultatie zijn vermeld en de belangrijkste veranderingen in het voorstel of de toelichting naar aanleiding van de ontvangen reacties.</w:t>
      </w:r>
    </w:p>
    <w:p w:rsidRPr="0011274F" w:rsidR="00DD28FD" w:rsidP="0011274F" w:rsidRDefault="00DD28FD" w14:paraId="492418CD" w14:textId="77777777"/>
    <w:p w:rsidRPr="0011274F" w:rsidR="00DD28FD" w:rsidP="0011274F" w:rsidRDefault="00DD28FD" w14:paraId="08D85062" w14:textId="23A32E6D">
      <w:r w:rsidRPr="0011274F">
        <w:t xml:space="preserve">Uit de internetconsultatie blijkt dat er </w:t>
      </w:r>
      <w:r w:rsidRPr="0011274F" w:rsidR="00DA7AB1">
        <w:t>brede steun</w:t>
      </w:r>
      <w:r w:rsidRPr="0011274F">
        <w:t xml:space="preserve"> is voor dit besluit. Indieners bevestigen dat dit besluit voortvloeit uit bestuurlijke afspraken tussen Rijksoverheid, gemeenten en het bedrijfsleven. Zij benadrukken het belang van consequente uitvoering van deze afspraken, ten behoeve van consistent overheidsbeleid en investeringszekerheid voor ondernemers. Gemeente Den Haag wijkt af van dit algemene beeld. </w:t>
      </w:r>
      <w:r w:rsidRPr="0011274F" w:rsidR="00CF484D">
        <w:t xml:space="preserve">De gemeente </w:t>
      </w:r>
      <w:r w:rsidRPr="0011274F">
        <w:t>Den Haag stelt voor om de overgangsregeling niet tot 2029, maar tot 2035 te verlengen, in lijn met</w:t>
      </w:r>
      <w:r w:rsidRPr="0011274F" w:rsidR="00FA2458">
        <w:t xml:space="preserve"> het voornemen uit</w:t>
      </w:r>
      <w:r w:rsidRPr="0011274F">
        <w:t xml:space="preserve"> hun coalitieakkoord.</w:t>
      </w:r>
      <w:r w:rsidRPr="0011274F" w:rsidR="00DA7AB1">
        <w:rPr>
          <w:rStyle w:val="FootnoteReference"/>
        </w:rPr>
        <w:footnoteReference w:id="20"/>
      </w:r>
      <w:r w:rsidRPr="0011274F">
        <w:t xml:space="preserve"> De drie belangrijkste thema’s die naar voren komen in de consultatie zijn (1) consistent overheidsbeleid, (2) randvoorwaarden voor de transitie</w:t>
      </w:r>
      <w:r w:rsidRPr="0011274F" w:rsidR="00FA2458">
        <w:t xml:space="preserve"> op orde</w:t>
      </w:r>
      <w:r w:rsidRPr="0011274F">
        <w:t xml:space="preserve"> en (3) klimaatmitigatie en luchtkwaliteit.</w:t>
      </w:r>
    </w:p>
    <w:p w:rsidRPr="0011274F" w:rsidR="00DD28FD" w:rsidP="0011274F" w:rsidRDefault="00CF16D8" w14:paraId="5C7B76D4" w14:textId="20642FDE">
      <w:r w:rsidRPr="0011274F">
        <w:t>Consistent overheidsbeleid is zeer belangrijk voor een betrouwbare overheid en voor investeringszekerheid.</w:t>
      </w:r>
      <w:r w:rsidRPr="0011274F" w:rsidR="00DD28FD">
        <w:t xml:space="preserve"> </w:t>
      </w:r>
      <w:r w:rsidRPr="0011274F" w:rsidR="00FA2458">
        <w:t xml:space="preserve">De uitwerking </w:t>
      </w:r>
      <w:r w:rsidRPr="0011274F" w:rsidR="00DD28FD">
        <w:t>van deze RVV-wijziging is de meest passende manier om recht te doen aan bestuurlijke afspraken en eerdere communicatie richting voertuigeigenaren</w:t>
      </w:r>
      <w:r w:rsidRPr="0011274F" w:rsidR="00FA2458">
        <w:t xml:space="preserve"> ten aanzien van de wijziging in de overgangstermijn voor deze doelgroep</w:t>
      </w:r>
      <w:r w:rsidRPr="0011274F" w:rsidR="00DD28FD">
        <w:t xml:space="preserve">. </w:t>
      </w:r>
      <w:r w:rsidRPr="0011274F">
        <w:t>D</w:t>
      </w:r>
      <w:r w:rsidRPr="0011274F" w:rsidR="00DD28FD">
        <w:t xml:space="preserve">e randvoorwaarden van de transitie </w:t>
      </w:r>
      <w:r w:rsidRPr="0011274F">
        <w:t xml:space="preserve">moeten </w:t>
      </w:r>
      <w:r w:rsidRPr="0011274F" w:rsidR="00DD28FD">
        <w:t>op orde moeten zijn en de verlenging tot en met 31 december 2028</w:t>
      </w:r>
      <w:r w:rsidRPr="0011274F">
        <w:t xml:space="preserve"> creëert</w:t>
      </w:r>
      <w:r w:rsidRPr="0011274F" w:rsidR="00DD28FD">
        <w:t xml:space="preserve"> hier </w:t>
      </w:r>
      <w:r w:rsidRPr="0011274F" w:rsidR="00FA2458">
        <w:t>meer zekerheid</w:t>
      </w:r>
      <w:r w:rsidRPr="0011274F">
        <w:t xml:space="preserve"> voor. Dit besluit zorgt ervoor dat meer ondernemers op een voor hen haalbaar en betaalbaar moment kunnen overstappen. </w:t>
      </w:r>
      <w:r w:rsidRPr="0011274F" w:rsidR="00DD28FD">
        <w:t xml:space="preserve">Daarnaast bestaat er een vangnet aan ontheffingen voor voertuigeigenaren die nog niet mee kunnen in de transitie. Tot slot </w:t>
      </w:r>
      <w:r w:rsidRPr="0011274F">
        <w:t xml:space="preserve">zijn </w:t>
      </w:r>
      <w:r w:rsidRPr="0011274F" w:rsidR="00DD28FD">
        <w:t>klimaatmitigatie en luchtkwaliteit</w:t>
      </w:r>
      <w:r w:rsidRPr="0011274F">
        <w:t xml:space="preserve"> belangrijk</w:t>
      </w:r>
      <w:r w:rsidRPr="0011274F" w:rsidR="00DD28FD">
        <w:t>. Dit besluit beïnvloedt niet voor welke voertuigen de nul-emissiezones uiteindelijk gelden, maar enkel het tijdspad van één overgangsregeling in het ingroeipad. Vanaf 2029 hebben be</w:t>
      </w:r>
      <w:r w:rsidRPr="0011274F" w:rsidR="00545118">
        <w:t>drijfs</w:t>
      </w:r>
      <w:r w:rsidRPr="0011274F" w:rsidR="00DD28FD">
        <w:t>auto’s met emissieklasse 6 ook geen toegang meer tot de zones. De doelen voor 2030 blijven overeind.</w:t>
      </w:r>
    </w:p>
    <w:p w:rsidRPr="0011274F" w:rsidR="00DD28FD" w:rsidP="0011274F" w:rsidRDefault="00DD28FD" w14:paraId="078A8FBE" w14:textId="77777777"/>
    <w:p w:rsidRPr="0011274F" w:rsidR="00DD28FD" w:rsidP="0011274F" w:rsidRDefault="00DD28FD" w14:paraId="69B90EA3" w14:textId="77777777">
      <w:r w:rsidRPr="0011274F">
        <w:t xml:space="preserve">Tot slot roepen de gemeenten Amsterdam, Rotterdam en Utrecht het ministerie op om, naast de voorliggende wijziging, aanvullende wijzigingen door te voeren in het RVV 1990. Dit is nodig om in 2030 aan Europese, nationale en lokale klimaat- en luchtkwaliteitseisen te kunnen voldoen. Het ministerie neemt kennis van deze oproep en zal hierover in overleg treden met deze en andere partijen. </w:t>
      </w:r>
    </w:p>
    <w:p w:rsidRPr="0011274F" w:rsidR="00B06C6A" w:rsidP="0011274F" w:rsidRDefault="00B06C6A" w14:paraId="1D5F3DA9" w14:textId="38D0BC9B">
      <w:pPr>
        <w:rPr>
          <w:i/>
          <w:iCs/>
          <w:highlight w:val="yellow"/>
        </w:rPr>
      </w:pPr>
    </w:p>
    <w:p w:rsidRPr="0011274F" w:rsidR="008343D2" w:rsidP="0011274F" w:rsidRDefault="003211FD" w14:paraId="4197CC24" w14:textId="5FB8FDDC">
      <w:pPr>
        <w:rPr>
          <w:i/>
          <w:iCs/>
        </w:rPr>
      </w:pPr>
      <w:r w:rsidRPr="0011274F">
        <w:rPr>
          <w:i/>
          <w:iCs/>
        </w:rPr>
        <w:t>5.</w:t>
      </w:r>
      <w:r w:rsidRPr="0011274F" w:rsidR="000A4A45">
        <w:rPr>
          <w:i/>
          <w:iCs/>
        </w:rPr>
        <w:t>2</w:t>
      </w:r>
      <w:r w:rsidRPr="0011274F">
        <w:rPr>
          <w:i/>
          <w:iCs/>
        </w:rPr>
        <w:t xml:space="preserve"> </w:t>
      </w:r>
      <w:r w:rsidRPr="0011274F" w:rsidR="001C7586">
        <w:rPr>
          <w:i/>
          <w:iCs/>
        </w:rPr>
        <w:t>A</w:t>
      </w:r>
      <w:r w:rsidRPr="0011274F" w:rsidR="00A0733B">
        <w:rPr>
          <w:i/>
          <w:iCs/>
        </w:rPr>
        <w:t xml:space="preserve">dviescollege Toetsing Regeldruk </w:t>
      </w:r>
      <w:r w:rsidRPr="0011274F" w:rsidR="000E2E31">
        <w:rPr>
          <w:i/>
          <w:iCs/>
        </w:rPr>
        <w:t>(ATR)</w:t>
      </w:r>
    </w:p>
    <w:p w:rsidRPr="0011274F" w:rsidR="00B2449F" w:rsidP="0011274F" w:rsidRDefault="00B2449F" w14:paraId="7FEF800A" w14:textId="77777777">
      <w:pPr>
        <w:rPr>
          <w:i/>
          <w:iCs/>
        </w:rPr>
      </w:pPr>
    </w:p>
    <w:p w:rsidRPr="0011274F" w:rsidR="008B3CF4" w:rsidP="0011274F" w:rsidRDefault="00131606" w14:paraId="2610780B" w14:textId="2DD7861F">
      <w:r w:rsidRPr="0011274F">
        <w:t>Op</w:t>
      </w:r>
      <w:r w:rsidRPr="0011274F" w:rsidR="000E2E31">
        <w:t xml:space="preserve"> </w:t>
      </w:r>
      <w:r w:rsidRPr="0011274F">
        <w:t>19 augustus 2026 heeft het Adviescollege toetsing regeldruk (</w:t>
      </w:r>
      <w:r w:rsidRPr="0011274F" w:rsidR="000E2E31">
        <w:t>ATR</w:t>
      </w:r>
      <w:r w:rsidRPr="0011274F">
        <w:t>)</w:t>
      </w:r>
      <w:r w:rsidRPr="0011274F" w:rsidR="00E85E1F">
        <w:t xml:space="preserve"> </w:t>
      </w:r>
      <w:r w:rsidRPr="0011274F">
        <w:t>een advies uitgebracht op het ontwerpbesluit</w:t>
      </w:r>
      <w:r w:rsidRPr="0011274F" w:rsidR="00DD28FD">
        <w:t>. ATR is tot</w:t>
      </w:r>
      <w:r w:rsidRPr="0011274F">
        <w:t xml:space="preserve"> </w:t>
      </w:r>
      <w:r w:rsidRPr="0011274F" w:rsidR="00E85E1F">
        <w:t>het volgende dictum ge</w:t>
      </w:r>
      <w:r w:rsidRPr="0011274F" w:rsidR="00DD28FD">
        <w:t>komen</w:t>
      </w:r>
      <w:r w:rsidRPr="0011274F" w:rsidR="00E85E1F">
        <w:t xml:space="preserve">: “niet indienen / vaststellen tenzij met de adviespunten rekening wordt gehouden”. Het </w:t>
      </w:r>
      <w:r w:rsidRPr="0011274F" w:rsidR="00DD28FD">
        <w:t xml:space="preserve">ATR </w:t>
      </w:r>
      <w:r w:rsidRPr="0011274F" w:rsidR="00E85E1F">
        <w:t>onderkent dat het voorstel kan leiden tot substantiële verlaging van de regeldruk, maar</w:t>
      </w:r>
      <w:r w:rsidRPr="0011274F" w:rsidR="00C939CE">
        <w:t xml:space="preserve"> merkt op</w:t>
      </w:r>
      <w:r w:rsidRPr="0011274F" w:rsidR="00E85E1F">
        <w:t xml:space="preserve"> dat onvoldoende duidelijk is </w:t>
      </w:r>
      <w:r w:rsidRPr="0011274F" w:rsidR="00E85E1F">
        <w:rPr>
          <w:i/>
          <w:iCs/>
        </w:rPr>
        <w:t>in welke mate</w:t>
      </w:r>
      <w:r w:rsidRPr="0011274F" w:rsidR="00E85E1F">
        <w:t xml:space="preserve"> het voorstel belemmeringen voor ondernemers wegneemt om de stap naar elektrisch vervoer te zetten. </w:t>
      </w:r>
      <w:r w:rsidRPr="0011274F" w:rsidR="00C939CE">
        <w:t>Het ATR geeft daarbij aan dat het dictum geen oordeel vormt over de wenselijkheid van het voorstel</w:t>
      </w:r>
      <w:r w:rsidRPr="0011274F" w:rsidR="00CF16D8">
        <w:t xml:space="preserve">, </w:t>
      </w:r>
      <w:r w:rsidRPr="0011274F" w:rsidR="00C939CE">
        <w:t xml:space="preserve">maar </w:t>
      </w:r>
      <w:r w:rsidRPr="0011274F" w:rsidR="005E2493">
        <w:t>h</w:t>
      </w:r>
      <w:r w:rsidRPr="0011274F" w:rsidR="00C939CE">
        <w:t>et</w:t>
      </w:r>
      <w:r w:rsidRPr="0011274F" w:rsidR="00E85E1F">
        <w:t xml:space="preserve"> tot uitdrukking </w:t>
      </w:r>
      <w:r w:rsidRPr="0011274F" w:rsidR="00C939CE">
        <w:t xml:space="preserve">brengt </w:t>
      </w:r>
      <w:r w:rsidRPr="0011274F" w:rsidR="00E85E1F">
        <w:t xml:space="preserve">dat de kwaliteit van de onderbouwing van het voorstel verbetering behoeft. </w:t>
      </w:r>
    </w:p>
    <w:p w:rsidRPr="0011274F" w:rsidR="008B3CF4" w:rsidP="0011274F" w:rsidRDefault="008B3CF4" w14:paraId="28CE8A0E" w14:textId="77777777"/>
    <w:p w:rsidRPr="0011274F" w:rsidR="00E85E1F" w:rsidP="0011274F" w:rsidRDefault="00E85E1F" w14:paraId="1F5975B0" w14:textId="3BE0EA37">
      <w:r w:rsidRPr="0011274F">
        <w:t xml:space="preserve">Daarbij </w:t>
      </w:r>
      <w:r w:rsidRPr="0011274F" w:rsidR="006742BF">
        <w:t>formuleert</w:t>
      </w:r>
      <w:r w:rsidRPr="0011274F">
        <w:t xml:space="preserve"> de ATR de volgende </w:t>
      </w:r>
      <w:r w:rsidRPr="0011274F" w:rsidR="00381EC9">
        <w:t xml:space="preserve">vier </w:t>
      </w:r>
      <w:r w:rsidRPr="0011274F">
        <w:t>advie</w:t>
      </w:r>
      <w:r w:rsidRPr="0011274F" w:rsidR="006742BF">
        <w:t>spunte</w:t>
      </w:r>
      <w:r w:rsidRPr="0011274F" w:rsidR="004D592E">
        <w:t xml:space="preserve">n: </w:t>
      </w:r>
    </w:p>
    <w:p w:rsidRPr="0011274F" w:rsidR="00E85E1F" w:rsidP="0011274F" w:rsidRDefault="00E85E1F" w14:paraId="16F43082" w14:textId="203A8FC3">
      <w:pPr>
        <w:pStyle w:val="ListParagraph"/>
        <w:numPr>
          <w:ilvl w:val="0"/>
          <w:numId w:val="40"/>
        </w:numPr>
        <w:spacing w:line="240" w:lineRule="atLeast"/>
        <w:rPr>
          <w:rFonts w:ascii="Verdana" w:hAnsi="Verdana"/>
          <w:sz w:val="18"/>
          <w:szCs w:val="18"/>
        </w:rPr>
      </w:pPr>
      <w:r w:rsidRPr="0011274F">
        <w:rPr>
          <w:rFonts w:ascii="Verdana" w:hAnsi="Verdana"/>
          <w:sz w:val="18"/>
          <w:szCs w:val="18"/>
        </w:rPr>
        <w:t>Het college adviseert de probleemanalyse aan te vullen en een gerichte inschatting van het doelbereik op te nemen in de toelichting bij het voorstel.</w:t>
      </w:r>
    </w:p>
    <w:p w:rsidRPr="0011274F" w:rsidR="00CF16D8" w:rsidP="0011274F" w:rsidRDefault="00E85E1F" w14:paraId="722A7B9C" w14:textId="77777777">
      <w:pPr>
        <w:pStyle w:val="ListParagraph"/>
        <w:numPr>
          <w:ilvl w:val="0"/>
          <w:numId w:val="40"/>
        </w:numPr>
        <w:spacing w:line="240" w:lineRule="atLeast"/>
        <w:rPr>
          <w:rFonts w:ascii="Verdana" w:hAnsi="Verdana"/>
          <w:sz w:val="18"/>
          <w:szCs w:val="18"/>
        </w:rPr>
      </w:pPr>
      <w:r w:rsidRPr="0011274F">
        <w:rPr>
          <w:rFonts w:ascii="Verdana" w:hAnsi="Verdana"/>
          <w:sz w:val="18"/>
          <w:szCs w:val="18"/>
        </w:rPr>
        <w:t>Het college adviseert om inzichtelijk te maken welke mogelijk minder belastende alternatieven zijn overwogen en waarom deze niet zijn gekozen, en daarbij in ieder geval aandacht te besteden aan een langere overgangstermijn (van bijvoorbeeld twee jaar).</w:t>
      </w:r>
    </w:p>
    <w:p w:rsidRPr="0011274F" w:rsidR="00C87EDF" w:rsidP="0011274F" w:rsidRDefault="00E85E1F" w14:paraId="58DB21AB" w14:textId="77777777">
      <w:pPr>
        <w:pStyle w:val="ListParagraph"/>
        <w:numPr>
          <w:ilvl w:val="0"/>
          <w:numId w:val="40"/>
        </w:numPr>
        <w:spacing w:line="240" w:lineRule="atLeast"/>
        <w:rPr>
          <w:rFonts w:ascii="Verdana" w:hAnsi="Verdana"/>
          <w:sz w:val="18"/>
          <w:szCs w:val="18"/>
        </w:rPr>
      </w:pPr>
      <w:r w:rsidRPr="0011274F">
        <w:rPr>
          <w:rFonts w:ascii="Verdana" w:hAnsi="Verdana"/>
          <w:sz w:val="18"/>
          <w:szCs w:val="18"/>
        </w:rPr>
        <w:t>Het college adviseert de onnodige indieningsvereisten bij ontheffingsaanvragen voor toegang tot een zero-emissiezone (waaronder het kopie kentekenbewijs en het inschrijvingsbewijs Kamer van Koophandel) te schrappen.</w:t>
      </w:r>
    </w:p>
    <w:p w:rsidRPr="0011274F" w:rsidR="00E85E1F" w:rsidP="0011274F" w:rsidRDefault="00E85E1F" w14:paraId="167D5DE1" w14:textId="62CF37A9">
      <w:pPr>
        <w:pStyle w:val="ListParagraph"/>
        <w:numPr>
          <w:ilvl w:val="0"/>
          <w:numId w:val="40"/>
        </w:numPr>
        <w:spacing w:line="240" w:lineRule="atLeast"/>
        <w:rPr>
          <w:rFonts w:ascii="Verdana" w:hAnsi="Verdana"/>
          <w:sz w:val="18"/>
          <w:szCs w:val="18"/>
        </w:rPr>
      </w:pPr>
      <w:r w:rsidRPr="0011274F">
        <w:rPr>
          <w:rFonts w:ascii="Verdana" w:hAnsi="Verdana"/>
          <w:sz w:val="18"/>
          <w:szCs w:val="18"/>
        </w:rPr>
        <w:t>Het college adviseert de regeldrukvermindering kwantitatief te beschrijven in de toelichting, conform de Rijksbrede methodiek.</w:t>
      </w:r>
    </w:p>
    <w:p w:rsidRPr="0011274F" w:rsidR="00E85E1F" w:rsidP="0011274F" w:rsidRDefault="006742BF" w14:paraId="3D0841C1" w14:textId="7339AE42">
      <w:r w:rsidRPr="0011274F">
        <w:t xml:space="preserve">Hieronder wordt puntsgewijs gereageerd op de adviespunten. </w:t>
      </w:r>
    </w:p>
    <w:p w:rsidRPr="0011274F" w:rsidR="006742BF" w:rsidP="0011274F" w:rsidRDefault="006742BF" w14:paraId="74A13407" w14:textId="47420BA3">
      <w:pPr>
        <w:rPr>
          <w:i/>
          <w:iCs/>
        </w:rPr>
      </w:pPr>
      <w:r w:rsidRPr="0011274F">
        <w:rPr>
          <w:i/>
          <w:iCs/>
        </w:rPr>
        <w:t>Aanvullen probleemanalyse</w:t>
      </w:r>
      <w:r w:rsidRPr="0011274F" w:rsidR="004D592E">
        <w:rPr>
          <w:i/>
          <w:iCs/>
        </w:rPr>
        <w:t xml:space="preserve"> en opnemen inschatting doelbereik </w:t>
      </w:r>
    </w:p>
    <w:p w:rsidRPr="0011274F" w:rsidR="00FB2520" w:rsidP="0011274F" w:rsidRDefault="00381EC9" w14:paraId="6FF4D0F8" w14:textId="4B21C70B">
      <w:r w:rsidRPr="0011274F">
        <w:t xml:space="preserve">Naar aanleiding van dit advies van het ATR is </w:t>
      </w:r>
      <w:r w:rsidRPr="0011274F" w:rsidR="00731D61">
        <w:t>hoofdstuk</w:t>
      </w:r>
      <w:r w:rsidRPr="0011274F">
        <w:t xml:space="preserve"> 3.1 van de toelichting</w:t>
      </w:r>
      <w:r w:rsidRPr="0011274F" w:rsidR="004D592E">
        <w:t xml:space="preserve"> </w:t>
      </w:r>
      <w:r w:rsidRPr="0011274F">
        <w:t>aangevuld</w:t>
      </w:r>
      <w:r w:rsidRPr="0011274F" w:rsidR="004D592E">
        <w:t xml:space="preserve"> met meer kwantitatieve onderbouwing</w:t>
      </w:r>
      <w:r w:rsidRPr="0011274F" w:rsidR="005B45FB">
        <w:t xml:space="preserve">, zoals een cijfermatige inschatting van het doelbereik. </w:t>
      </w:r>
    </w:p>
    <w:p w:rsidRPr="0011274F" w:rsidR="00A0733B" w:rsidP="0011274F" w:rsidRDefault="00A0733B" w14:paraId="7FE79CCF" w14:textId="77777777">
      <w:pPr>
        <w:rPr>
          <w:i/>
          <w:iCs/>
        </w:rPr>
      </w:pPr>
    </w:p>
    <w:p w:rsidRPr="0011274F" w:rsidR="004D592E" w:rsidP="0011274F" w:rsidRDefault="004D592E" w14:paraId="2BDBF2DF" w14:textId="461D0D81">
      <w:pPr>
        <w:rPr>
          <w:i/>
          <w:iCs/>
        </w:rPr>
      </w:pPr>
      <w:r w:rsidRPr="0011274F">
        <w:rPr>
          <w:i/>
          <w:iCs/>
        </w:rPr>
        <w:t>Inzichtelijk maken welke alternatieven zijn overwogen</w:t>
      </w:r>
      <w:r w:rsidRPr="0011274F" w:rsidR="00A0733B">
        <w:rPr>
          <w:i/>
          <w:iCs/>
        </w:rPr>
        <w:t xml:space="preserve"> </w:t>
      </w:r>
    </w:p>
    <w:p w:rsidRPr="0011274F" w:rsidR="00FA2458" w:rsidP="0011274F" w:rsidRDefault="005E2493" w14:paraId="3829B16D" w14:textId="703B15F8">
      <w:r w:rsidRPr="0011274F">
        <w:t>Onderhavige wijziging</w:t>
      </w:r>
      <w:r w:rsidRPr="0011274F" w:rsidR="00614D9E">
        <w:t xml:space="preserve"> is </w:t>
      </w:r>
      <w:r w:rsidRPr="0011274F" w:rsidR="00A26C4A">
        <w:t>onderdeel van een afsprakenpakket dat volgt uit bestuurlijke afspraken die begin 2025 zijn gemaakt. Aanleiding voor deze afspraken was onder andere de aangenomen</w:t>
      </w:r>
      <w:r w:rsidRPr="0011274F" w:rsidR="00614D9E">
        <w:t xml:space="preserve"> motie Veltman, die opriep tot een landelijk gestandaardiseerde uitzondering tot 2029.</w:t>
      </w:r>
      <w:r w:rsidRPr="0011274F" w:rsidR="00FA2458">
        <w:t xml:space="preserve"> Om recht te doen aan de motie en om de doelen voor milieu- en klimaat in het oog te houden kwam het verlengen van de overgangsregeling voor </w:t>
      </w:r>
      <w:r w:rsidRPr="0011274F" w:rsidR="00545118">
        <w:t>bedrijfs</w:t>
      </w:r>
      <w:r w:rsidRPr="0011274F" w:rsidR="00FA2458">
        <w:t>auto’s met emissieklasse 6 als meest toepasselijke instrument naar voren</w:t>
      </w:r>
      <w:r w:rsidRPr="0011274F" w:rsidR="005F7327">
        <w:t>.</w:t>
      </w:r>
      <w:r w:rsidRPr="0011274F" w:rsidR="00424F8F">
        <w:t xml:space="preserve"> A</w:t>
      </w:r>
      <w:r w:rsidRPr="0011274F" w:rsidR="00FA2458">
        <w:t xml:space="preserve">lle partijen hebben aangegeven dat zij zich aan deze afspraken konden committeren. </w:t>
      </w:r>
    </w:p>
    <w:p w:rsidRPr="0011274F" w:rsidR="00FA2458" w:rsidP="0011274F" w:rsidRDefault="00FA2458" w14:paraId="21952C07" w14:textId="77777777"/>
    <w:p w:rsidRPr="0011274F" w:rsidR="00A0733B" w:rsidP="0011274F" w:rsidRDefault="00614D9E" w14:paraId="094C9D38" w14:textId="6D5D49BD">
      <w:r w:rsidRPr="0011274F">
        <w:t xml:space="preserve">Binnen </w:t>
      </w:r>
      <w:r w:rsidRPr="0011274F" w:rsidR="00A26C4A">
        <w:t>de regelgeving</w:t>
      </w:r>
      <w:r w:rsidRPr="0011274F">
        <w:t xml:space="preserve"> v</w:t>
      </w:r>
      <w:r w:rsidRPr="0011274F" w:rsidR="00256CE9">
        <w:t>oor</w:t>
      </w:r>
      <w:r w:rsidRPr="0011274F">
        <w:t xml:space="preserve"> nul-emissiezones bestaan</w:t>
      </w:r>
      <w:r w:rsidRPr="0011274F" w:rsidR="00FA2458">
        <w:t xml:space="preserve"> namelijk</w:t>
      </w:r>
      <w:r w:rsidRPr="0011274F">
        <w:t xml:space="preserve"> drie manieren om uitzonderingen </w:t>
      </w:r>
      <w:r w:rsidRPr="0011274F" w:rsidR="00A26C4A">
        <w:t>op de toegangsregels</w:t>
      </w:r>
      <w:r w:rsidRPr="0011274F">
        <w:t xml:space="preserve"> te maken: </w:t>
      </w:r>
      <w:r w:rsidRPr="0011274F" w:rsidR="00A26C4A">
        <w:t>via overgangsregeling</w:t>
      </w:r>
      <w:r w:rsidRPr="0011274F" w:rsidR="00A0733B">
        <w:t xml:space="preserve">en, vrijstellingen of ontheffingen. </w:t>
      </w:r>
      <w:r w:rsidRPr="0011274F" w:rsidR="00A26C4A">
        <w:t xml:space="preserve">Het </w:t>
      </w:r>
      <w:r w:rsidRPr="0011274F" w:rsidR="00256CE9">
        <w:t>toepassen</w:t>
      </w:r>
      <w:r w:rsidRPr="0011274F" w:rsidR="00A26C4A">
        <w:t xml:space="preserve"> van </w:t>
      </w:r>
      <w:r w:rsidRPr="0011274F">
        <w:t xml:space="preserve">de overgangsregeling </w:t>
      </w:r>
      <w:r w:rsidRPr="0011274F" w:rsidR="00A26C4A">
        <w:t xml:space="preserve">is </w:t>
      </w:r>
      <w:r w:rsidRPr="0011274F">
        <w:t>het meest passende alternatief</w:t>
      </w:r>
      <w:r w:rsidRPr="0011274F" w:rsidR="00A26C4A">
        <w:t>, omdat d</w:t>
      </w:r>
      <w:r w:rsidRPr="0011274F" w:rsidR="00256CE9">
        <w:t>eze</w:t>
      </w:r>
      <w:r w:rsidRPr="0011274F" w:rsidR="00A26C4A">
        <w:t xml:space="preserve"> generiek </w:t>
      </w:r>
      <w:r w:rsidRPr="0011274F" w:rsidR="00256CE9">
        <w:t xml:space="preserve">in </w:t>
      </w:r>
      <w:r w:rsidRPr="0011274F" w:rsidR="00A26C4A">
        <w:t xml:space="preserve">het RVV 1990 </w:t>
      </w:r>
      <w:r w:rsidRPr="0011274F" w:rsidR="00256CE9">
        <w:t xml:space="preserve">wordt </w:t>
      </w:r>
      <w:r w:rsidRPr="0011274F" w:rsidR="00A26C4A">
        <w:t>geregeld</w:t>
      </w:r>
      <w:r w:rsidRPr="0011274F" w:rsidR="00256CE9">
        <w:t xml:space="preserve">. </w:t>
      </w:r>
      <w:r w:rsidRPr="0011274F" w:rsidR="00273636">
        <w:t xml:space="preserve">Overgangsregelingen vallen onder de bevoegdheid van het Rijk en gelden in alle </w:t>
      </w:r>
      <w:r w:rsidRPr="0011274F" w:rsidR="005E2493">
        <w:t>nul</w:t>
      </w:r>
      <w:r w:rsidRPr="0011274F" w:rsidR="00273636">
        <w:t xml:space="preserve">-emissiezones op dezelfde wijze. </w:t>
      </w:r>
      <w:r w:rsidRPr="0011274F" w:rsidR="00FA2458">
        <w:t xml:space="preserve">Het is ook hét instrument dat bedoeld is om een brede doelgroep te bedienen. </w:t>
      </w:r>
      <w:r w:rsidRPr="0011274F" w:rsidR="00273636">
        <w:t>De beoogde groep behoudt automatisch langer toegang tot de ZE-zones</w:t>
      </w:r>
      <w:r w:rsidRPr="0011274F" w:rsidR="00A0733B">
        <w:t>. B</w:t>
      </w:r>
      <w:r w:rsidRPr="0011274F" w:rsidR="00273636">
        <w:t>ovendien geldt de overgangsregeling voor alle ondernemers met een be</w:t>
      </w:r>
      <w:r w:rsidRPr="0011274F" w:rsidR="00545118">
        <w:t>drijfs</w:t>
      </w:r>
      <w:r w:rsidRPr="0011274F" w:rsidR="00273636">
        <w:t xml:space="preserve">auto met emissieklasse 6, ongeacht individuele omstandigheden of voertuigkenmerken. </w:t>
      </w:r>
    </w:p>
    <w:p w:rsidRPr="0011274F" w:rsidR="00A0733B" w:rsidP="0011274F" w:rsidRDefault="00A0733B" w14:paraId="1ADCD11C" w14:textId="77777777"/>
    <w:p w:rsidRPr="0011274F" w:rsidR="00614D9E" w:rsidP="0011274F" w:rsidRDefault="00FA2458" w14:paraId="7D82AE21" w14:textId="4A5E12C8">
      <w:r w:rsidRPr="0011274F">
        <w:t xml:space="preserve">Vrijstellingen en ontheffingen zijn </w:t>
      </w:r>
      <w:r w:rsidRPr="0011274F" w:rsidR="00424F8F">
        <w:t xml:space="preserve">geen geschikt alternatief </w:t>
      </w:r>
      <w:r w:rsidRPr="0011274F">
        <w:t xml:space="preserve">bevonden. </w:t>
      </w:r>
      <w:r w:rsidRPr="0011274F" w:rsidR="00256CE9">
        <w:t>Vrijstellingen zijn eveneens generiek en worden via het RVV 1990 geregeld, maar</w:t>
      </w:r>
      <w:r w:rsidRPr="0011274F" w:rsidR="00A0733B">
        <w:t xml:space="preserve"> die</w:t>
      </w:r>
      <w:r w:rsidRPr="0011274F" w:rsidR="00614D9E">
        <w:t xml:space="preserve"> zijn bedoeld om </w:t>
      </w:r>
      <w:r w:rsidRPr="0011274F" w:rsidR="00273636">
        <w:t>specifieke groepen uit te zonderen op basis van voertuigkenmerken</w:t>
      </w:r>
      <w:r w:rsidRPr="0011274F" w:rsidR="00A0733B">
        <w:t xml:space="preserve"> zoals carrosseriecode</w:t>
      </w:r>
      <w:r w:rsidRPr="0011274F" w:rsidR="00256CE9">
        <w:t xml:space="preserve">. </w:t>
      </w:r>
      <w:r w:rsidRPr="0011274F" w:rsidR="00273636">
        <w:t>Hier gaat het bijvoorbeeld om bijzondere voertuigen, zoals betonpompen</w:t>
      </w:r>
      <w:r w:rsidRPr="0011274F" w:rsidR="00A0733B">
        <w:t xml:space="preserve"> of kraanwagens</w:t>
      </w:r>
      <w:r w:rsidRPr="0011274F" w:rsidR="00273636">
        <w:t xml:space="preserve">. Een vrijstelling heeft daarmee slechts betrekking op een klein deel van de voertuigeigenaren en doet geen recht aan de motie. </w:t>
      </w:r>
      <w:r w:rsidRPr="0011274F" w:rsidR="0077085B">
        <w:t>O</w:t>
      </w:r>
      <w:r w:rsidRPr="0011274F" w:rsidR="00614D9E">
        <w:t>ntheffingen</w:t>
      </w:r>
      <w:r w:rsidRPr="0011274F" w:rsidR="0077085B">
        <w:t xml:space="preserve"> zijn in de basis een gemeentelijke bevoegdheid en</w:t>
      </w:r>
      <w:r w:rsidRPr="0011274F" w:rsidR="00614D9E">
        <w:t xml:space="preserve"> zijn bedoeld om </w:t>
      </w:r>
      <w:r w:rsidRPr="0011274F" w:rsidR="00256CE9">
        <w:t>voor</w:t>
      </w:r>
      <w:r w:rsidRPr="0011274F" w:rsidR="00614D9E">
        <w:t xml:space="preserve"> individuele </w:t>
      </w:r>
      <w:r w:rsidRPr="0011274F" w:rsidR="00256CE9">
        <w:t>kentekens</w:t>
      </w:r>
      <w:r w:rsidRPr="0011274F" w:rsidR="00614D9E">
        <w:t xml:space="preserve"> een uitzondering te maken</w:t>
      </w:r>
      <w:r w:rsidRPr="0011274F" w:rsidR="00256CE9">
        <w:t xml:space="preserve"> vanwege individuele </w:t>
      </w:r>
      <w:r w:rsidRPr="0011274F" w:rsidR="00614D9E">
        <w:t>omstandigheden</w:t>
      </w:r>
      <w:r w:rsidRPr="0011274F" w:rsidR="00256CE9">
        <w:t>. Dit kan bijvoorbeeld wanneer zich problemen voordoen die specifiek betrekking hebben op het voertuig of de voertuigeigenaar</w:t>
      </w:r>
      <w:r w:rsidRPr="0011274F" w:rsidR="00614D9E">
        <w:t xml:space="preserve">, zoals bedrijfseconomische omstandigheden. Bovendien </w:t>
      </w:r>
      <w:r w:rsidRPr="0011274F" w:rsidR="00256CE9">
        <w:t>vallen</w:t>
      </w:r>
      <w:r w:rsidRPr="0011274F" w:rsidR="00614D9E">
        <w:t xml:space="preserve"> ontheffingen </w:t>
      </w:r>
      <w:r w:rsidRPr="0011274F" w:rsidR="00256CE9">
        <w:t xml:space="preserve">onder de </w:t>
      </w:r>
      <w:r w:rsidRPr="0011274F" w:rsidR="00614D9E">
        <w:t>gemeentelijke bevoegdheid</w:t>
      </w:r>
      <w:r w:rsidRPr="0011274F" w:rsidR="00256CE9">
        <w:t xml:space="preserve"> en worden ze daarmee minder generiek toegepast dan een overgangsregeling en vrijstelling</w:t>
      </w:r>
      <w:r w:rsidRPr="0011274F" w:rsidR="00614D9E">
        <w:t xml:space="preserve">. </w:t>
      </w:r>
    </w:p>
    <w:p w:rsidRPr="0011274F" w:rsidR="00614D9E" w:rsidP="0011274F" w:rsidRDefault="00614D9E" w14:paraId="1B73D20E" w14:textId="77777777"/>
    <w:p w:rsidRPr="0011274F" w:rsidR="000B73A0" w:rsidP="0011274F" w:rsidRDefault="004D592E" w14:paraId="5559B283" w14:textId="616E57A8">
      <w:pPr>
        <w:rPr>
          <w:i/>
          <w:iCs/>
        </w:rPr>
      </w:pPr>
      <w:r w:rsidRPr="0011274F">
        <w:rPr>
          <w:i/>
          <w:iCs/>
        </w:rPr>
        <w:t>Schrappen onnodige indieningsvereisten bij ontheffingsaanvragen</w:t>
      </w:r>
      <w:r w:rsidRPr="0011274F" w:rsidR="00A0733B">
        <w:rPr>
          <w:i/>
          <w:iCs/>
        </w:rPr>
        <w:t xml:space="preserve"> </w:t>
      </w:r>
    </w:p>
    <w:p w:rsidRPr="0011274F" w:rsidR="004D592E" w:rsidP="0011274F" w:rsidRDefault="00A10340" w14:paraId="5329A544" w14:textId="0F07D506">
      <w:r w:rsidRPr="0011274F">
        <w:t xml:space="preserve">Ontheffingen voor </w:t>
      </w:r>
      <w:r w:rsidRPr="0011274F" w:rsidR="000B73A0">
        <w:t>nul</w:t>
      </w:r>
      <w:r w:rsidRPr="0011274F">
        <w:t>-emissiezones vallen onder de bevoegdheid van gemeenten.</w:t>
      </w:r>
      <w:r w:rsidRPr="0011274F" w:rsidR="00A0733B">
        <w:t xml:space="preserve"> </w:t>
      </w:r>
      <w:r w:rsidRPr="0011274F" w:rsidR="00DC7C54">
        <w:t xml:space="preserve">Gemeenten hebben de RDW gemandateerd om namens hen ontheffingen te verlenen via het Centraal Loket. IenW zal dit adviespunt meegeven aan gemeenten en aan de RDW, maar is niet bevoegd om dit zelf te wijzigen. </w:t>
      </w:r>
    </w:p>
    <w:p w:rsidRPr="0011274F" w:rsidR="00DC7C54" w:rsidP="0011274F" w:rsidRDefault="00DC7C54" w14:paraId="4F81405B" w14:textId="77777777"/>
    <w:p w:rsidRPr="0011274F" w:rsidR="00196C98" w:rsidP="0011274F" w:rsidRDefault="00196C98" w14:paraId="4577A3AE" w14:textId="71F7047E">
      <w:pPr>
        <w:rPr>
          <w:i/>
          <w:iCs/>
        </w:rPr>
      </w:pPr>
      <w:r w:rsidRPr="0011274F">
        <w:rPr>
          <w:i/>
          <w:iCs/>
        </w:rPr>
        <w:t>Kwantitatief beschrijven gevolgen regeldruk</w:t>
      </w:r>
      <w:r w:rsidRPr="0011274F" w:rsidR="00A0733B">
        <w:rPr>
          <w:i/>
          <w:iCs/>
        </w:rPr>
        <w:t xml:space="preserve"> </w:t>
      </w:r>
    </w:p>
    <w:p w:rsidRPr="0011274F" w:rsidR="00E0277C" w:rsidP="0011274F" w:rsidRDefault="000B73A0" w14:paraId="1DF47EBC" w14:textId="78944689">
      <w:r w:rsidRPr="0011274F">
        <w:t xml:space="preserve">Door </w:t>
      </w:r>
      <w:r w:rsidRPr="0011274F" w:rsidR="00196C98">
        <w:t xml:space="preserve">het verlengen van de overgangsregeling tot en met 31 december 2028 zullen circa </w:t>
      </w:r>
      <w:r w:rsidRPr="0011274F" w:rsidR="000E2E31">
        <w:t>50.000 t</w:t>
      </w:r>
      <w:r w:rsidRPr="0011274F" w:rsidR="008B3CF4">
        <w:t>o</w:t>
      </w:r>
      <w:r w:rsidRPr="0011274F" w:rsidR="000E2E31">
        <w:t>t 80.000</w:t>
      </w:r>
      <w:r w:rsidRPr="0011274F" w:rsidR="00196C98">
        <w:t xml:space="preserve"> voertuigeigena</w:t>
      </w:r>
      <w:r w:rsidRPr="0011274F" w:rsidR="000E2E31">
        <w:t>ren</w:t>
      </w:r>
      <w:r w:rsidRPr="0011274F" w:rsidR="00196C98">
        <w:t xml:space="preserve"> langer met hun dieselvoertuig in de zones rijden, zonder een ontheffing</w:t>
      </w:r>
      <w:r w:rsidRPr="0011274F" w:rsidR="0092494B">
        <w:t xml:space="preserve"> of dagontheffing</w:t>
      </w:r>
      <w:r w:rsidRPr="0011274F" w:rsidR="00196C98">
        <w:t xml:space="preserve"> te hoeven aanvragen. Dit zorgt voor regeldrukvermindering, omdat zij geen tijd hoeven te besteden aan een ontheffingsaanvraag. </w:t>
      </w:r>
      <w:r w:rsidRPr="0011274F" w:rsidR="0092494B">
        <w:t>Door de huidige cijfers over de ontheffingsaanvragen bij het Centraal Loket door te trekken naar de groep voertuigbezitters met emissieklasse 6, kan een inschatting worden gemaakt van de vermindering van de regeldruk als gevolg van het uitstel met één jaar.</w:t>
      </w:r>
      <w:r w:rsidRPr="0011274F" w:rsidR="00F86B40">
        <w:t xml:space="preserve"> </w:t>
      </w:r>
      <w:r w:rsidRPr="0011274F" w:rsidR="0092494B">
        <w:t xml:space="preserve">Bij het berekenen van de regeldrukvermindering wordt een aantal </w:t>
      </w:r>
      <w:r w:rsidRPr="0011274F" w:rsidR="00E0277C">
        <w:t>uitgangspunten gehanteerd, mede</w:t>
      </w:r>
      <w:r w:rsidRPr="0011274F" w:rsidR="0092494B">
        <w:t xml:space="preserve"> op basis van het Handboek Meting Regeldrukkosten 2026</w:t>
      </w:r>
      <w:r w:rsidRPr="0011274F" w:rsidR="00E0277C">
        <w:t>.</w:t>
      </w:r>
      <w:r w:rsidRPr="0011274F" w:rsidR="00196C98">
        <w:rPr>
          <w:rStyle w:val="FootnoteReference"/>
        </w:rPr>
        <w:footnoteReference w:id="21"/>
      </w:r>
    </w:p>
    <w:p w:rsidRPr="0011274F" w:rsidR="0072109E" w:rsidP="0011274F" w:rsidRDefault="0072109E" w14:paraId="7E5E66CC" w14:textId="77777777"/>
    <w:p w:rsidRPr="0011274F" w:rsidR="0072109E" w:rsidP="0011274F" w:rsidRDefault="00E0277C" w14:paraId="4473F968" w14:textId="77777777">
      <w:pPr>
        <w:rPr>
          <w:i/>
          <w:iCs/>
        </w:rPr>
      </w:pPr>
      <w:r w:rsidRPr="0011274F">
        <w:rPr>
          <w:i/>
          <w:iCs/>
        </w:rPr>
        <w:t>Dagontheffingen</w:t>
      </w:r>
    </w:p>
    <w:p w:rsidRPr="0011274F" w:rsidR="00E0277C" w:rsidP="0011274F" w:rsidRDefault="0072109E" w14:paraId="1C03D82B" w14:textId="2EFC1835">
      <w:r w:rsidRPr="0011274F">
        <w:t xml:space="preserve">Ondernemers kunnen tot twaalf keer per stad per jaar een dagontheffing aanvragen. </w:t>
      </w:r>
      <w:r w:rsidRPr="0011274F" w:rsidR="00E0277C">
        <w:t>Momenteel wor</w:t>
      </w:r>
      <w:r w:rsidRPr="0011274F">
        <w:t>d</w:t>
      </w:r>
      <w:r w:rsidRPr="0011274F" w:rsidR="00E0277C">
        <w:t>en</w:t>
      </w:r>
      <w:r w:rsidRPr="0011274F">
        <w:t xml:space="preserve"> bij het Centraal Loket </w:t>
      </w:r>
      <w:r w:rsidRPr="0011274F" w:rsidR="00F86B40">
        <w:t>circa</w:t>
      </w:r>
      <w:r w:rsidRPr="0011274F" w:rsidR="00E0277C">
        <w:t xml:space="preserve"> 2.500 dagontheffingen </w:t>
      </w:r>
      <w:r w:rsidRPr="0011274F">
        <w:t xml:space="preserve">per maand </w:t>
      </w:r>
      <w:r w:rsidRPr="0011274F" w:rsidR="00E0277C">
        <w:t>aangevraagd voor</w:t>
      </w:r>
      <w:r w:rsidRPr="0011274F">
        <w:t xml:space="preserve"> bedrijfsauto’s met emissieklasse 0 </w:t>
      </w:r>
      <w:r w:rsidRPr="0011274F" w:rsidR="00F86B40">
        <w:t>t/m</w:t>
      </w:r>
      <w:r w:rsidRPr="0011274F">
        <w:t xml:space="preserve"> 4. </w:t>
      </w:r>
      <w:r w:rsidRPr="0011274F" w:rsidR="00E0277C">
        <w:t xml:space="preserve">De populatie </w:t>
      </w:r>
      <w:r w:rsidRPr="0011274F">
        <w:t>bedrijfsauto’s</w:t>
      </w:r>
      <w:r w:rsidRPr="0011274F" w:rsidR="00E0277C">
        <w:t xml:space="preserve"> met </w:t>
      </w:r>
      <w:r w:rsidRPr="0011274F">
        <w:t>e</w:t>
      </w:r>
      <w:r w:rsidRPr="0011274F" w:rsidR="00E0277C">
        <w:t xml:space="preserve">missieklasse 6 (616.000) is ten opzichte van </w:t>
      </w:r>
      <w:r w:rsidRPr="0011274F">
        <w:t>de bedrijfsauto’s</w:t>
      </w:r>
      <w:r w:rsidRPr="0011274F" w:rsidR="00E0277C">
        <w:t xml:space="preserve"> met </w:t>
      </w:r>
      <w:r w:rsidRPr="0011274F">
        <w:t>e</w:t>
      </w:r>
      <w:r w:rsidRPr="0011274F" w:rsidR="00E0277C">
        <w:t>missieklasse 0 t</w:t>
      </w:r>
      <w:r w:rsidRPr="0011274F">
        <w:t>/m 4</w:t>
      </w:r>
      <w:r w:rsidRPr="0011274F" w:rsidR="00E0277C">
        <w:t xml:space="preserve"> (168.000) een factor 3.67 groter. Wanneer dit doorgetrokken wordt zullen er naar verwachting per maand ongeveer 9.175 dagontheffingen worden aangevraagd voor </w:t>
      </w:r>
      <w:r w:rsidRPr="0011274F">
        <w:t xml:space="preserve">bedrijfsauto’s met emissieklasse 6, </w:t>
      </w:r>
      <w:r w:rsidRPr="0011274F" w:rsidR="00E0277C">
        <w:t>vanaf 1 januari 2028. Dat is 110.000 per jaar</w:t>
      </w:r>
      <w:r w:rsidRPr="0011274F" w:rsidR="00F86B40">
        <w:t xml:space="preserve">. </w:t>
      </w:r>
      <w:r w:rsidRPr="0011274F" w:rsidR="00E0277C">
        <w:t xml:space="preserve">Het </w:t>
      </w:r>
      <w:r w:rsidRPr="0011274F" w:rsidR="00F86B40">
        <w:t xml:space="preserve">aanvragen van een dagontheffing </w:t>
      </w:r>
      <w:r w:rsidRPr="0011274F" w:rsidR="00E0277C">
        <w:t xml:space="preserve">duurt </w:t>
      </w:r>
      <w:r w:rsidRPr="0011274F" w:rsidR="00F86B40">
        <w:t>circa</w:t>
      </w:r>
      <w:r w:rsidRPr="0011274F" w:rsidR="00E0277C">
        <w:t xml:space="preserve"> 5 minuten</w:t>
      </w:r>
      <w:r w:rsidRPr="0011274F" w:rsidR="00F86B40">
        <w:t xml:space="preserve">. </w:t>
      </w:r>
      <w:r w:rsidRPr="0011274F" w:rsidR="00E0277C">
        <w:t xml:space="preserve">Omdat </w:t>
      </w:r>
      <w:r w:rsidRPr="0011274F">
        <w:t>nul</w:t>
      </w:r>
      <w:r w:rsidRPr="0011274F" w:rsidR="00E0277C">
        <w:t>-emissiezones sector-overstijgend gelden, wordt uitgegaan van een standaard uurtarief van €56,- voor bedrijven</w:t>
      </w:r>
      <w:r w:rsidRPr="0011274F" w:rsidR="00F86B40">
        <w:t>, dus</w:t>
      </w:r>
      <w:r w:rsidRPr="0011274F" w:rsidR="00E0277C">
        <w:t xml:space="preserve"> €4.67 per aanvraag. </w:t>
      </w:r>
    </w:p>
    <w:p w:rsidRPr="0011274F" w:rsidR="00F86B40" w:rsidP="0011274F" w:rsidRDefault="00F86B40" w14:paraId="7E9F5F75" w14:textId="77777777"/>
    <w:p w:rsidRPr="0011274F" w:rsidR="00F86B40" w:rsidP="0011274F" w:rsidRDefault="0072109E" w14:paraId="07823A46" w14:textId="77777777">
      <w:pPr>
        <w:rPr>
          <w:i/>
          <w:iCs/>
        </w:rPr>
      </w:pPr>
      <w:r w:rsidRPr="0011274F">
        <w:rPr>
          <w:i/>
          <w:iCs/>
        </w:rPr>
        <w:t>Langdurige ontheffingen</w:t>
      </w:r>
    </w:p>
    <w:p w:rsidRPr="0011274F" w:rsidR="0072109E" w:rsidP="0011274F" w:rsidRDefault="0072109E" w14:paraId="3907A6C4" w14:textId="186734C8">
      <w:r w:rsidRPr="0011274F">
        <w:t xml:space="preserve">Voor de huidige populatie </w:t>
      </w:r>
      <w:r w:rsidRPr="0011274F" w:rsidR="00F86B40">
        <w:t>bedrijfsauto’s</w:t>
      </w:r>
      <w:r w:rsidRPr="0011274F">
        <w:t xml:space="preserve"> die al niet meer in de zones mogen komen</w:t>
      </w:r>
      <w:r w:rsidRPr="0011274F" w:rsidR="00F86B40">
        <w:t>,</w:t>
      </w:r>
      <w:r w:rsidRPr="0011274F">
        <w:t xml:space="preserve"> zijn tot </w:t>
      </w:r>
      <w:r w:rsidRPr="0011274F" w:rsidR="00F86B40">
        <w:t xml:space="preserve">en met </w:t>
      </w:r>
      <w:r w:rsidRPr="0011274F">
        <w:t>mei 2026 in totaal 7.500 langdurige ontheffingen aangevraagd. Op een populatie van 168.000 voertuigen is dit ongeveer 4,5%. De groep met emissieklasse 6 is een factor 3.67 groter en daarom wordt geschat dat ondernemers voor ongeveer (7500*3.67) = 27.500 voertuigen een langdurige ontheffing zullen gaan aanvragen. Uit cijfers van het Centraal Loket blijkt dat van de langdurige ontheffingen 60% door ondernemers wordt aangevraagd en 40% door particulieren. Verder dient gekeken te worden naar welke ondernemers door het jaar uitstel geen aanspraak meer hoeven doen op een langdurige ontheffing. Hiervoor wordt gekeken naar het percentage autonome verschoning, dat afhankelijk is van de gemiddelde leeftijd van de bedrijfsauto’s. Voor ondernemers wordt deze gemiddelde leeftijd geschat op ruim 9 jaar (exclusief oldtimers)</w:t>
      </w:r>
      <w:r w:rsidRPr="0011274F">
        <w:rPr>
          <w:rStyle w:val="FootnoteReference"/>
        </w:rPr>
        <w:footnoteReference w:id="22"/>
      </w:r>
      <w:r w:rsidRPr="0011274F">
        <w:t xml:space="preserve">. Dit komt neer op een jaarlijkse autonome verschoning van ongeveer 12%. </w:t>
      </w:r>
    </w:p>
    <w:p w:rsidRPr="0011274F" w:rsidR="0072109E" w:rsidP="0011274F" w:rsidRDefault="0072109E" w14:paraId="75958C95" w14:textId="6CC1D147">
      <w:r w:rsidRPr="0011274F">
        <w:t>De duur en complexiteit van een ontheffingsaanvraag verschilt per type ontheffing en per aanvrager. Daarom wordt uitgegaan van een gemiddelde voor matig complexe handelingen, wat neerkomt op 46 minuten per ontheffingsaanvraag</w:t>
      </w:r>
      <w:r w:rsidRPr="0011274F">
        <w:rPr>
          <w:rStyle w:val="FootnoteReference"/>
        </w:rPr>
        <w:footnoteReference w:id="23"/>
      </w:r>
      <w:r w:rsidRPr="0011274F">
        <w:t xml:space="preserve">. Dat komt neer op €43,- voor ondernemers (46 minuten/ €56,- per uur). </w:t>
      </w:r>
    </w:p>
    <w:p w:rsidRPr="0011274F" w:rsidR="00F86B40" w:rsidP="0011274F" w:rsidRDefault="00F86B40" w14:paraId="3C066BB6" w14:textId="77777777"/>
    <w:p w:rsidRPr="0011274F" w:rsidR="00F86B40" w:rsidP="0011274F" w:rsidRDefault="0072109E" w14:paraId="01A6DF2B" w14:textId="77777777">
      <w:pPr>
        <w:rPr>
          <w:i/>
          <w:iCs/>
        </w:rPr>
      </w:pPr>
      <w:r w:rsidRPr="0011274F">
        <w:rPr>
          <w:i/>
          <w:iCs/>
        </w:rPr>
        <w:t>Particulieren</w:t>
      </w:r>
    </w:p>
    <w:p w:rsidRPr="0011274F" w:rsidR="0072109E" w:rsidP="0011274F" w:rsidRDefault="0072109E" w14:paraId="053F391A" w14:textId="6EE13D8D">
      <w:r w:rsidRPr="0011274F">
        <w:t xml:space="preserve">In deze berekening </w:t>
      </w:r>
      <w:r w:rsidRPr="0011274F" w:rsidR="00F86B40">
        <w:t>is het uitgangspunt</w:t>
      </w:r>
      <w:r w:rsidRPr="0011274F">
        <w:t xml:space="preserve"> dat de bovengenoemde 60%/40%-verhouding hetzelfde blijft voor be</w:t>
      </w:r>
      <w:r w:rsidRPr="0011274F" w:rsidR="00F86B40">
        <w:t>drijfsauto’s</w:t>
      </w:r>
      <w:r w:rsidRPr="0011274F">
        <w:t xml:space="preserve"> met </w:t>
      </w:r>
      <w:r w:rsidRPr="0011274F" w:rsidR="00F86B40">
        <w:t>e</w:t>
      </w:r>
      <w:r w:rsidRPr="0011274F">
        <w:t xml:space="preserve">missieklasse 6. Tussen 1 juli 2024 en 31 augustus 2026 bestond 40% van het totaal aangevraagde langdurige ontheffingen uit ontheffingen voor particulieren. Voor </w:t>
      </w:r>
      <w:r w:rsidRPr="0011274F" w:rsidR="00F86B40">
        <w:t>e</w:t>
      </w:r>
      <w:r w:rsidRPr="0011274F">
        <w:t xml:space="preserve">missieklasse 6 komt dit dan neer op 11.000 voertuigen. Hierbij geldt ook dat de regeldruk voor het grootste gedeelte slechts een jaar naar achter verplaatst zal worden. Voor particulieren is bekend dat zij hun bestelauto’s minder intensief gebruiken dan ondernemers. Daarom wordt uitgegaan van een gemiddelde leeftijd van 15 jaar van dit wagenpark. Er wordt daarmee ingeschat dat van deze groep ongeveer 7% na dit jaar geen ontheffing meer aan zal vragen door autonome verschoning. Voor particulieren met een bestelauto wordt uitgegaan van het standaarduurtarief voor burgers van €17,-. Dat betekent dat een ontheffingsaanvraag €13,- kost voor particulieren (46 minuten/ €17,- per uur). </w:t>
      </w:r>
    </w:p>
    <w:p w:rsidRPr="0011274F" w:rsidR="000B68E5" w:rsidP="0011274F" w:rsidRDefault="000B68E5" w14:paraId="20B50F75" w14:textId="77777777"/>
    <w:p w:rsidRPr="0011274F" w:rsidR="0072109E" w:rsidP="0011274F" w:rsidRDefault="0072109E" w14:paraId="657E4F6B" w14:textId="34BF0D08">
      <w:r w:rsidRPr="0011274F">
        <w:t xml:space="preserve">Uit deze </w:t>
      </w:r>
      <w:r w:rsidRPr="0011274F" w:rsidR="00F86B40">
        <w:t>uitgangspunten</w:t>
      </w:r>
      <w:r w:rsidRPr="0011274F">
        <w:t xml:space="preserve"> volgt de volgende berekening:</w:t>
      </w:r>
    </w:p>
    <w:p w:rsidRPr="0011274F" w:rsidR="0072109E" w:rsidP="0011274F" w:rsidRDefault="0072109E" w14:paraId="39B9A5D2" w14:textId="64ADDD5B">
      <w:pPr>
        <w:numPr>
          <w:ilvl w:val="0"/>
          <w:numId w:val="35"/>
        </w:numPr>
        <w:autoSpaceDN/>
        <w:textAlignment w:val="auto"/>
      </w:pPr>
      <w:r w:rsidRPr="0011274F">
        <w:t xml:space="preserve">Ondernemers die geen dagontheffing(en) hoeven aan te vragen: 110.000 dagontheffingen * 4,67 euro = ongeveer </w:t>
      </w:r>
      <w:r w:rsidRPr="0011274F" w:rsidR="00F906A4">
        <w:t>513.700</w:t>
      </w:r>
      <w:r w:rsidRPr="0011274F">
        <w:t xml:space="preserve"> euro regeldrukvermindering in 2028. </w:t>
      </w:r>
    </w:p>
    <w:p w:rsidRPr="0011274F" w:rsidR="0072109E" w:rsidP="0011274F" w:rsidRDefault="0072109E" w14:paraId="221B3CFC" w14:textId="756C3E5C">
      <w:pPr>
        <w:numPr>
          <w:ilvl w:val="0"/>
          <w:numId w:val="35"/>
        </w:numPr>
        <w:autoSpaceDN/>
        <w:textAlignment w:val="auto"/>
      </w:pPr>
      <w:r w:rsidRPr="0011274F">
        <w:t>Ondernemers die geen langdurige ontheffingen hoeven aan te vragen: naar schatting 12% van de 16.500 ondernemers zullen door het jaar uitstel geen aanvraag meer doen</w:t>
      </w:r>
      <w:r w:rsidRPr="0011274F" w:rsidR="00F86B40">
        <w:t>.</w:t>
      </w:r>
      <w:r w:rsidRPr="0011274F">
        <w:t xml:space="preserve"> De kosten die daarom niet gemaakt worden zijn naar schatting 1.980 * 43 euro = ongeveer </w:t>
      </w:r>
      <w:r w:rsidRPr="0011274F" w:rsidR="00F906A4">
        <w:t>85.140</w:t>
      </w:r>
      <w:r w:rsidRPr="0011274F">
        <w:t xml:space="preserve"> euro regeldrukvermindering in 2028.</w:t>
      </w:r>
    </w:p>
    <w:p w:rsidRPr="0011274F" w:rsidR="0072109E" w:rsidP="0011274F" w:rsidRDefault="0072109E" w14:paraId="09FF6545" w14:textId="556B1536">
      <w:pPr>
        <w:numPr>
          <w:ilvl w:val="0"/>
          <w:numId w:val="35"/>
        </w:numPr>
        <w:autoSpaceDN/>
        <w:textAlignment w:val="auto"/>
      </w:pPr>
      <w:r w:rsidRPr="0011274F">
        <w:t xml:space="preserve">Particulieren: naar schatting 7% van de 11.000 particulier gebruikte voertuigen zal door het jaar uitstel geen aanvraag voor ontheffing meer doen. Dit geeft 770 * 13 euro = ongeveer </w:t>
      </w:r>
      <w:r w:rsidRPr="0011274F" w:rsidR="00F906A4">
        <w:t>10</w:t>
      </w:r>
      <w:r w:rsidRPr="0011274F">
        <w:t>.0</w:t>
      </w:r>
      <w:r w:rsidRPr="0011274F" w:rsidR="00F906A4">
        <w:t>1</w:t>
      </w:r>
      <w:r w:rsidRPr="0011274F">
        <w:t>0 euro regeldrukvermindering in 2028.</w:t>
      </w:r>
    </w:p>
    <w:p w:rsidRPr="0011274F" w:rsidR="00B909EF" w:rsidP="0011274F" w:rsidRDefault="0072109E" w14:paraId="36B74527" w14:textId="0A428618">
      <w:pPr>
        <w:numPr>
          <w:ilvl w:val="0"/>
          <w:numId w:val="35"/>
        </w:numPr>
        <w:autoSpaceDN/>
        <w:textAlignment w:val="auto"/>
      </w:pPr>
      <w:r w:rsidRPr="0011274F">
        <w:t xml:space="preserve">Bij elkaar opgeteld zorgt deze wijziging voor ongeveer </w:t>
      </w:r>
      <w:r w:rsidRPr="0011274F" w:rsidR="00F906A4">
        <w:t>513.700</w:t>
      </w:r>
      <w:r w:rsidRPr="0011274F">
        <w:t xml:space="preserve"> + </w:t>
      </w:r>
      <w:r w:rsidRPr="0011274F" w:rsidR="00F906A4">
        <w:t>85.140</w:t>
      </w:r>
      <w:r w:rsidRPr="0011274F">
        <w:t xml:space="preserve"> + </w:t>
      </w:r>
      <w:r w:rsidRPr="0011274F" w:rsidR="00F906A4">
        <w:t>10</w:t>
      </w:r>
      <w:r w:rsidRPr="0011274F">
        <w:t>.0</w:t>
      </w:r>
      <w:r w:rsidRPr="0011274F" w:rsidR="00F906A4">
        <w:t>1</w:t>
      </w:r>
      <w:r w:rsidRPr="0011274F">
        <w:t xml:space="preserve">0 = </w:t>
      </w:r>
      <w:r w:rsidRPr="0011274F" w:rsidR="00F906A4">
        <w:t>608.850</w:t>
      </w:r>
      <w:r w:rsidRPr="0011274F">
        <w:t xml:space="preserve"> euro regeldrukvermindering in 2028.</w:t>
      </w:r>
    </w:p>
    <w:p w:rsidRPr="0011274F" w:rsidR="000B68E5" w:rsidP="0011274F" w:rsidRDefault="000B68E5" w14:paraId="284C2818" w14:textId="77777777">
      <w:pPr>
        <w:autoSpaceDN/>
        <w:ind w:left="720"/>
        <w:textAlignment w:val="auto"/>
      </w:pPr>
    </w:p>
    <w:p w:rsidRPr="0011274F" w:rsidR="00B909EF" w:rsidP="0011274F" w:rsidRDefault="00B909EF" w14:paraId="77A79EAC" w14:textId="35B3A515">
      <w:pPr>
        <w:rPr>
          <w:i/>
          <w:iCs/>
        </w:rPr>
      </w:pPr>
      <w:r w:rsidRPr="0011274F">
        <w:rPr>
          <w:i/>
          <w:iCs/>
        </w:rPr>
        <w:t>Financiële lasten</w:t>
      </w:r>
    </w:p>
    <w:p w:rsidRPr="0011274F" w:rsidR="00B909EF" w:rsidP="0011274F" w:rsidRDefault="00E2438C" w14:paraId="7EF4DDCF" w14:textId="0967DCB5">
      <w:r w:rsidRPr="0011274F">
        <w:t>De kostendekkende leges voor een gemeentelijke ontheffing die ondernemers niet langer hoeven te betalen, leiden tot een daling van de financiële lasten. De leges voor een dagontheffing zijn €30,-. De leges voor de langdurige ontheffingen variëren tussen de €25,- en €250,-. Omdat de meeste langdurige ontheffingen €100,- kosten, wordt hier gerekend met een legesbedrag van €100,- voor ondernemers. Voor particulieren geldt een legesbedrag van €60,-.</w:t>
      </w:r>
    </w:p>
    <w:p w:rsidRPr="0011274F" w:rsidR="00F906A4" w:rsidP="0011274F" w:rsidRDefault="00F906A4" w14:paraId="21F11337" w14:textId="77777777"/>
    <w:p w:rsidRPr="0011274F" w:rsidR="00B909EF" w:rsidP="0011274F" w:rsidRDefault="00F906A4" w14:paraId="7D1A2852" w14:textId="236A8BD7">
      <w:pPr>
        <w:rPr>
          <w:i/>
          <w:iCs/>
          <w:highlight w:val="yellow"/>
        </w:rPr>
      </w:pPr>
      <w:r w:rsidRPr="0011274F">
        <w:t xml:space="preserve">Wanneer dezelfde aantallen ontheffingen wordt genomen als bij de regeldrukvermindering, dan volgt: dagontheffingen (110.000 * 30 euro = 3.300.000) + langdurige ontheffingen (1.980 * 100 euro = 198.000) + particuliere ontheffingen (770 * 60 euro = </w:t>
      </w:r>
      <w:r w:rsidRPr="0011274F" w:rsidR="005F3034">
        <w:t>64.200</w:t>
      </w:r>
      <w:r w:rsidRPr="0011274F">
        <w:t xml:space="preserve">) = </w:t>
      </w:r>
      <w:r w:rsidRPr="0011274F" w:rsidR="005F3034">
        <w:t xml:space="preserve">3.544.200 aan </w:t>
      </w:r>
      <w:r w:rsidRPr="0011274F">
        <w:t>totale vermindering van de financiële lasten in 2028</w:t>
      </w:r>
      <w:r w:rsidRPr="0011274F" w:rsidR="005F3034">
        <w:t>.</w:t>
      </w:r>
    </w:p>
    <w:p w:rsidRPr="0011274F" w:rsidR="00F906A4" w:rsidP="0011274F" w:rsidRDefault="00F906A4" w14:paraId="1DC82857" w14:textId="77777777">
      <w:pPr>
        <w:rPr>
          <w:i/>
          <w:iCs/>
          <w:highlight w:val="yellow"/>
        </w:rPr>
      </w:pPr>
    </w:p>
    <w:p w:rsidRPr="0011274F" w:rsidR="003A50DE" w:rsidP="0011274F" w:rsidRDefault="003A50DE" w14:paraId="45F5AF2C" w14:textId="086174BD">
      <w:pPr>
        <w:rPr>
          <w:i/>
          <w:iCs/>
        </w:rPr>
      </w:pPr>
      <w:r w:rsidRPr="0011274F">
        <w:rPr>
          <w:i/>
          <w:iCs/>
          <w:highlight w:val="yellow"/>
        </w:rPr>
        <w:t>PM - voorhang</w:t>
      </w:r>
    </w:p>
    <w:p w:rsidRPr="0011274F" w:rsidR="008343D2" w:rsidP="0011274F" w:rsidRDefault="008343D2" w14:paraId="7039123E" w14:textId="77777777">
      <w:pPr>
        <w:rPr>
          <w:b/>
          <w:bCs/>
        </w:rPr>
      </w:pPr>
    </w:p>
    <w:p w:rsidRPr="0011274F" w:rsidR="008343D2" w:rsidP="0011274F" w:rsidRDefault="008343D2" w14:paraId="7AA4DC46" w14:textId="77777777">
      <w:pPr>
        <w:rPr>
          <w:b/>
          <w:bCs/>
        </w:rPr>
      </w:pPr>
      <w:r w:rsidRPr="0011274F">
        <w:rPr>
          <w:b/>
          <w:bCs/>
        </w:rPr>
        <w:t>Artikelsgewijze toelichting</w:t>
      </w:r>
    </w:p>
    <w:p w:rsidRPr="0011274F" w:rsidR="008343D2" w:rsidP="0011274F" w:rsidRDefault="008343D2" w14:paraId="06E97367" w14:textId="77777777">
      <w:pPr>
        <w:rPr>
          <w:b/>
          <w:bCs/>
        </w:rPr>
      </w:pPr>
    </w:p>
    <w:p w:rsidRPr="0011274F" w:rsidR="000E5712" w:rsidP="0011274F" w:rsidRDefault="008343D2" w14:paraId="40CEA875" w14:textId="21A35CE5">
      <w:pPr>
        <w:rPr>
          <w:b/>
          <w:bCs/>
          <w:i/>
          <w:iCs/>
        </w:rPr>
      </w:pPr>
      <w:r w:rsidRPr="0011274F">
        <w:rPr>
          <w:b/>
          <w:bCs/>
          <w:i/>
          <w:iCs/>
        </w:rPr>
        <w:t>Artikel I</w:t>
      </w:r>
    </w:p>
    <w:p w:rsidRPr="0011274F" w:rsidR="002878B4" w:rsidP="0011274F" w:rsidRDefault="002878B4" w14:paraId="331913D0" w14:textId="77777777">
      <w:pPr>
        <w:rPr>
          <w:b/>
          <w:bCs/>
          <w:i/>
          <w:iCs/>
        </w:rPr>
      </w:pPr>
    </w:p>
    <w:p w:rsidRPr="0011274F" w:rsidR="008343D2" w:rsidP="0011274F" w:rsidRDefault="008343D2" w14:paraId="38324A82" w14:textId="400CE18D">
      <w:r w:rsidRPr="0011274F">
        <w:t xml:space="preserve">In het algemeen deel is toegelicht dat de overgangsperiode </w:t>
      </w:r>
      <w:r w:rsidRPr="0011274F" w:rsidR="000C752E">
        <w:t xml:space="preserve">voor voertuigeigenaren met een emissieklasse 6 </w:t>
      </w:r>
      <w:r w:rsidRPr="0011274F" w:rsidR="00545118">
        <w:t>bedrijfs</w:t>
      </w:r>
      <w:r w:rsidRPr="0011274F" w:rsidR="000C752E">
        <w:t xml:space="preserve">voertuig en een DET van maximaal 2024 is </w:t>
      </w:r>
      <w:r w:rsidRPr="0011274F">
        <w:t>verlengd met een jaar</w:t>
      </w:r>
      <w:r w:rsidRPr="0011274F" w:rsidR="000C752E">
        <w:t>, en daarmee loopt</w:t>
      </w:r>
      <w:r w:rsidRPr="0011274F">
        <w:t xml:space="preserve"> tot </w:t>
      </w:r>
      <w:r w:rsidRPr="0011274F" w:rsidR="001E4756">
        <w:t xml:space="preserve">en met </w:t>
      </w:r>
      <w:r w:rsidRPr="0011274F">
        <w:t>31 december 202</w:t>
      </w:r>
      <w:r w:rsidRPr="0011274F" w:rsidR="001E4756">
        <w:t>8</w:t>
      </w:r>
      <w:r w:rsidRPr="0011274F">
        <w:t>.</w:t>
      </w:r>
    </w:p>
    <w:p w:rsidRPr="0011274F" w:rsidR="002878B4" w:rsidP="0011274F" w:rsidRDefault="002878B4" w14:paraId="4D78AC2A" w14:textId="77777777"/>
    <w:p w:rsidRPr="0011274F" w:rsidR="008343D2" w:rsidP="0011274F" w:rsidRDefault="008343D2" w14:paraId="799A7346" w14:textId="44AE374C">
      <w:pPr>
        <w:rPr>
          <w:b/>
          <w:bCs/>
          <w:i/>
          <w:iCs/>
        </w:rPr>
      </w:pPr>
      <w:r w:rsidRPr="0011274F">
        <w:rPr>
          <w:b/>
          <w:bCs/>
          <w:i/>
          <w:iCs/>
        </w:rPr>
        <w:t>Artikel II</w:t>
      </w:r>
    </w:p>
    <w:p w:rsidRPr="0011274F" w:rsidR="002878B4" w:rsidP="0011274F" w:rsidRDefault="002878B4" w14:paraId="07C247CF" w14:textId="77777777">
      <w:pPr>
        <w:rPr>
          <w:b/>
          <w:bCs/>
          <w:i/>
          <w:iCs/>
        </w:rPr>
      </w:pPr>
    </w:p>
    <w:p w:rsidRPr="0011274F" w:rsidR="007B6606" w:rsidP="0011274F" w:rsidRDefault="0022458E" w14:paraId="77D05963" w14:textId="03DB314F">
      <w:r w:rsidRPr="0011274F">
        <w:t>Met</w:t>
      </w:r>
      <w:r w:rsidRPr="0011274F" w:rsidR="00E95CD4">
        <w:t xml:space="preserve"> de</w:t>
      </w:r>
      <w:r w:rsidRPr="0011274F">
        <w:t xml:space="preserve"> </w:t>
      </w:r>
      <w:r w:rsidRPr="0011274F" w:rsidR="008343D2">
        <w:t xml:space="preserve">inwerkingtreding </w:t>
      </w:r>
      <w:r w:rsidRPr="0011274F">
        <w:t>op 1 juli 2027</w:t>
      </w:r>
      <w:r w:rsidRPr="0011274F" w:rsidR="008343D2">
        <w:t xml:space="preserve"> </w:t>
      </w:r>
      <w:r w:rsidRPr="0011274F">
        <w:t>wordt aangesloten</w:t>
      </w:r>
      <w:r w:rsidRPr="0011274F" w:rsidR="008343D2">
        <w:t xml:space="preserve"> bij de vaste verandermomenten</w:t>
      </w:r>
      <w:r w:rsidRPr="0011274F" w:rsidR="006666E2">
        <w:t>. Ook wordt</w:t>
      </w:r>
      <w:r w:rsidRPr="0011274F">
        <w:t xml:space="preserve"> de minimuminvoeringstermijn</w:t>
      </w:r>
      <w:r w:rsidRPr="0011274F" w:rsidR="006666E2">
        <w:t xml:space="preserve"> in acht genomen, zoals neergelegd in aanwijzing 4.17 van de Aanwijzingen voor de regelgeving. Op grond van dat beleid treedt een algemene maatregel van bestuur op 1 januari of 1 juli in werking en vindt publicatie plaats uiterlijk twee maanden voor inwerkingtreding</w:t>
      </w:r>
      <w:r w:rsidRPr="0011274F" w:rsidR="008343D2">
        <w:t xml:space="preserve">. </w:t>
      </w:r>
    </w:p>
    <w:p w:rsidRPr="0011274F" w:rsidR="000E5712" w:rsidP="0011274F" w:rsidRDefault="000E5712" w14:paraId="53216F83" w14:textId="77777777"/>
    <w:p w:rsidRPr="0011274F" w:rsidR="00C22F3F" w:rsidP="0011274F" w:rsidRDefault="00C22F3F" w14:paraId="32E3F43B" w14:textId="77777777"/>
    <w:p w:rsidRPr="0011274F" w:rsidR="009E3EC8" w:rsidP="0011274F" w:rsidRDefault="002B20E9" w14:paraId="6B1AB259" w14:textId="6E1D4D67">
      <w:pPr>
        <w:pStyle w:val="HBJZ-Kamerstukken-regelafstand13"/>
        <w:spacing w:line="240" w:lineRule="atLeast"/>
      </w:pPr>
      <w:r w:rsidRPr="0011274F">
        <w:t>DE</w:t>
      </w:r>
      <w:r w:rsidRPr="0011274F" w:rsidR="009E3EC8">
        <w:t xml:space="preserve"> STAATSSECRETARIS</w:t>
      </w:r>
      <w:r w:rsidRPr="0011274F">
        <w:t xml:space="preserve"> VAN INFRASTRUCTUUR EN WATERSTAAT</w:t>
      </w:r>
      <w:r w:rsidRPr="0011274F" w:rsidR="009E3EC8">
        <w:t xml:space="preserve">, </w:t>
      </w:r>
    </w:p>
    <w:p w:rsidRPr="0011274F" w:rsidR="00441F86" w:rsidP="0011274F" w:rsidRDefault="00441F86" w14:paraId="236284F8" w14:textId="209CF367"/>
    <w:sectPr w:rsidRPr="0011274F" w:rsidR="00441F86">
      <w:headerReference w:type="default" r:id="rId12"/>
      <w:footerReference w:type="default" r:id="rId13"/>
      <w:headerReference w:type="first" r:id="rId14"/>
      <w:footerReference w:type="first" r:id="rId15"/>
      <w:pgSz w:w="11905" w:h="16837"/>
      <w:pgMar w:top="2545" w:right="1757" w:bottom="1360" w:left="2040" w:header="0" w:footer="0" w:gutter="0"/>
      <w:cols w:space="708"/>
      <w:titlePg/>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B812EEC" w14:textId="77777777" w:rsidR="00EB7A9B" w:rsidRDefault="00EB7A9B">
      <w:pPr>
        <w:spacing w:line="240" w:lineRule="auto"/>
      </w:pPr>
      <w:r>
        <w:separator/>
      </w:r>
    </w:p>
  </w:endnote>
  <w:endnote w:type="continuationSeparator" w:id="0">
    <w:p w14:paraId="50F9C6B2" w14:textId="77777777" w:rsidR="00EB7A9B" w:rsidRDefault="00EB7A9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10006FF" w:usb1="4000205B" w:usb2="00000010" w:usb3="00000000" w:csb0="0000019F" w:csb1="00000000"/>
  </w:font>
  <w:font w:name="DejaVu Sans">
    <w:altName w:val="Arial"/>
    <w:charset w:val="00"/>
    <w:family w:val="swiss"/>
    <w:pitch w:val="variable"/>
    <w:sig w:usb0="E7000EFF" w:usb1="5200FDFF" w:usb2="0A042021" w:usb3="00000000" w:csb0="000001BF" w:csb1="00000000"/>
  </w:font>
  <w:font w:name="Lohit Hindi">
    <w:altName w:val="Times New Roman"/>
    <w:charset w:val="00"/>
    <w:family w:val="auto"/>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BF786B" w14:textId="77777777" w:rsidR="00441F86" w:rsidRDefault="00441F86">
    <w:pPr>
      <w:pStyle w:val="MarginlessContain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C92980" w14:textId="77777777" w:rsidR="00441F86" w:rsidRDefault="00441F86">
    <w:pPr>
      <w:pStyle w:val="MarginlessContain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1BBD407" w14:textId="77777777" w:rsidR="00EB7A9B" w:rsidRDefault="00EB7A9B">
      <w:pPr>
        <w:spacing w:line="240" w:lineRule="auto"/>
      </w:pPr>
      <w:r>
        <w:separator/>
      </w:r>
    </w:p>
  </w:footnote>
  <w:footnote w:type="continuationSeparator" w:id="0">
    <w:p w14:paraId="0423F973" w14:textId="77777777" w:rsidR="00EB7A9B" w:rsidRDefault="00EB7A9B">
      <w:pPr>
        <w:spacing w:line="240" w:lineRule="auto"/>
      </w:pPr>
      <w:r>
        <w:continuationSeparator/>
      </w:r>
    </w:p>
  </w:footnote>
  <w:footnote w:id="1">
    <w:p w14:paraId="1BA45B8B" w14:textId="4D1D3067" w:rsidR="008343D2" w:rsidRPr="00116E30" w:rsidRDefault="008343D2" w:rsidP="008343D2">
      <w:pPr>
        <w:pStyle w:val="FootnoteText"/>
        <w:rPr>
          <w:sz w:val="16"/>
          <w:szCs w:val="16"/>
        </w:rPr>
      </w:pPr>
      <w:r w:rsidRPr="00116E30">
        <w:rPr>
          <w:rStyle w:val="FootnoteReference"/>
          <w:sz w:val="16"/>
          <w:szCs w:val="16"/>
        </w:rPr>
        <w:footnoteRef/>
      </w:r>
      <w:r w:rsidRPr="00116E30">
        <w:rPr>
          <w:sz w:val="16"/>
          <w:szCs w:val="16"/>
        </w:rPr>
        <w:t xml:space="preserve"> </w:t>
      </w:r>
      <w:hyperlink r:id="rId1" w:history="1">
        <w:r w:rsidRPr="00116E30">
          <w:rPr>
            <w:rStyle w:val="Hyperlink"/>
            <w:sz w:val="16"/>
            <w:szCs w:val="16"/>
          </w:rPr>
          <w:t>Besluitenlijst ministerraad 14 maart 2025</w:t>
        </w:r>
      </w:hyperlink>
      <w:r w:rsidR="00116E30" w:rsidRPr="00116E30">
        <w:rPr>
          <w:sz w:val="16"/>
          <w:szCs w:val="16"/>
        </w:rPr>
        <w:t>, kenmerk 4446011</w:t>
      </w:r>
      <w:r w:rsidR="00116E30">
        <w:rPr>
          <w:sz w:val="16"/>
          <w:szCs w:val="16"/>
        </w:rPr>
        <w:t xml:space="preserve">. </w:t>
      </w:r>
    </w:p>
  </w:footnote>
  <w:footnote w:id="2">
    <w:p w14:paraId="487DFF87" w14:textId="764C8C75" w:rsidR="00116E30" w:rsidRDefault="00116E30">
      <w:pPr>
        <w:pStyle w:val="FootnoteText"/>
      </w:pPr>
      <w:r w:rsidRPr="00116E30">
        <w:rPr>
          <w:rStyle w:val="FootnoteReference"/>
          <w:sz w:val="16"/>
          <w:szCs w:val="16"/>
        </w:rPr>
        <w:footnoteRef/>
      </w:r>
      <w:r w:rsidRPr="00116E30">
        <w:rPr>
          <w:sz w:val="16"/>
          <w:szCs w:val="16"/>
        </w:rPr>
        <w:t xml:space="preserve"> Ten behoeve van de leesbaarheid wordt in de rest van deze toelichting niet telkens toegevoegd ‘met een DET van </w:t>
      </w:r>
      <w:r w:rsidR="00697468">
        <w:rPr>
          <w:sz w:val="16"/>
          <w:szCs w:val="16"/>
        </w:rPr>
        <w:t>vóór 2025</w:t>
      </w:r>
      <w:r w:rsidRPr="00116E30">
        <w:rPr>
          <w:sz w:val="16"/>
          <w:szCs w:val="16"/>
        </w:rPr>
        <w:t>’. Het gaat echter overal om b</w:t>
      </w:r>
      <w:r w:rsidR="00545118">
        <w:rPr>
          <w:sz w:val="16"/>
          <w:szCs w:val="16"/>
        </w:rPr>
        <w:t>edrijfs</w:t>
      </w:r>
      <w:r w:rsidRPr="00116E30">
        <w:rPr>
          <w:sz w:val="16"/>
          <w:szCs w:val="16"/>
        </w:rPr>
        <w:t xml:space="preserve">auto’s met emissieklasse 6 en een DET van </w:t>
      </w:r>
      <w:r w:rsidR="00697468">
        <w:rPr>
          <w:sz w:val="16"/>
          <w:szCs w:val="16"/>
        </w:rPr>
        <w:t>vóór 2025. Be</w:t>
      </w:r>
      <w:r w:rsidR="00545118">
        <w:rPr>
          <w:sz w:val="16"/>
          <w:szCs w:val="16"/>
        </w:rPr>
        <w:t>drijfs</w:t>
      </w:r>
      <w:r w:rsidR="00697468">
        <w:rPr>
          <w:sz w:val="16"/>
          <w:szCs w:val="16"/>
        </w:rPr>
        <w:t>auto’s die na 1 januari 2025 op kenteken worden gezet moeten uitstootvrij zijn om de nul-emissiezones in te mogen</w:t>
      </w:r>
      <w:r w:rsidRPr="00116E30">
        <w:rPr>
          <w:sz w:val="16"/>
          <w:szCs w:val="16"/>
        </w:rPr>
        <w:t>.</w:t>
      </w:r>
      <w:r>
        <w:t xml:space="preserve"> </w:t>
      </w:r>
    </w:p>
  </w:footnote>
  <w:footnote w:id="3">
    <w:p w14:paraId="6C58C1DD" w14:textId="2E03725A" w:rsidR="008C60DE" w:rsidRDefault="008C60DE">
      <w:pPr>
        <w:pStyle w:val="FootnoteText"/>
        <w:rPr>
          <w:sz w:val="16"/>
          <w:szCs w:val="16"/>
        </w:rPr>
      </w:pPr>
      <w:r>
        <w:rPr>
          <w:rStyle w:val="FootnoteReference"/>
        </w:rPr>
        <w:footnoteRef/>
      </w:r>
      <w:r>
        <w:rPr>
          <w:sz w:val="16"/>
          <w:szCs w:val="16"/>
        </w:rPr>
        <w:t xml:space="preserve"> Uitvoeringsagenda Stadslogistiek (UAS), 9 februari 2021</w:t>
      </w:r>
    </w:p>
    <w:p w14:paraId="08AE085F" w14:textId="7D6F8DA4" w:rsidR="008C60DE" w:rsidRPr="00DB794A" w:rsidRDefault="00563330">
      <w:pPr>
        <w:pStyle w:val="FootnoteText"/>
        <w:rPr>
          <w:sz w:val="16"/>
          <w:szCs w:val="16"/>
        </w:rPr>
      </w:pPr>
      <w:hyperlink r:id="rId2" w:history="1">
        <w:r w:rsidR="008C60DE" w:rsidRPr="00093CD9">
          <w:rPr>
            <w:rStyle w:val="Hyperlink"/>
            <w:sz w:val="16"/>
            <w:szCs w:val="16"/>
          </w:rPr>
          <w:t>https://open.overheid.nl/documenten/ronl-5418a5d4-7b82-481d-a901-594128709363/pdf</w:t>
        </w:r>
      </w:hyperlink>
      <w:r w:rsidR="008C60DE">
        <w:rPr>
          <w:sz w:val="16"/>
          <w:szCs w:val="16"/>
        </w:rPr>
        <w:t xml:space="preserve"> </w:t>
      </w:r>
    </w:p>
  </w:footnote>
  <w:footnote w:id="4">
    <w:p w14:paraId="0B5896D3" w14:textId="77777777" w:rsidR="008343D2" w:rsidRPr="006B55E2" w:rsidRDefault="008343D2" w:rsidP="008343D2">
      <w:pPr>
        <w:pStyle w:val="FootnoteText"/>
        <w:rPr>
          <w:sz w:val="16"/>
          <w:szCs w:val="16"/>
        </w:rPr>
      </w:pPr>
      <w:r w:rsidRPr="006B55E2">
        <w:rPr>
          <w:rStyle w:val="FootnoteReference"/>
          <w:sz w:val="16"/>
          <w:szCs w:val="16"/>
        </w:rPr>
        <w:footnoteRef/>
      </w:r>
      <w:r w:rsidRPr="006B55E2">
        <w:rPr>
          <w:sz w:val="16"/>
          <w:szCs w:val="16"/>
        </w:rPr>
        <w:t xml:space="preserve"> Kamerstukken II 2024/25, 36600-XII, nr. 37.</w:t>
      </w:r>
    </w:p>
  </w:footnote>
  <w:footnote w:id="5">
    <w:p w14:paraId="609EE063" w14:textId="77777777" w:rsidR="008343D2" w:rsidRPr="006B55E2" w:rsidRDefault="008343D2" w:rsidP="008343D2">
      <w:pPr>
        <w:pStyle w:val="FootnoteText"/>
        <w:rPr>
          <w:sz w:val="16"/>
          <w:szCs w:val="16"/>
        </w:rPr>
      </w:pPr>
      <w:r w:rsidRPr="006B55E2">
        <w:rPr>
          <w:rStyle w:val="FootnoteReference"/>
          <w:sz w:val="16"/>
          <w:szCs w:val="16"/>
        </w:rPr>
        <w:footnoteRef/>
      </w:r>
      <w:r w:rsidRPr="006B55E2">
        <w:rPr>
          <w:sz w:val="16"/>
          <w:szCs w:val="16"/>
        </w:rPr>
        <w:t xml:space="preserve"> Kamerstukken II 2024/25, 30175, nr. 471.</w:t>
      </w:r>
    </w:p>
  </w:footnote>
  <w:footnote w:id="6">
    <w:p w14:paraId="1B9F7144" w14:textId="36A94F08" w:rsidR="006C2C16" w:rsidRPr="006B55E2" w:rsidRDefault="006C2C16">
      <w:pPr>
        <w:pStyle w:val="FootnoteText"/>
        <w:rPr>
          <w:color w:val="auto"/>
          <w:sz w:val="16"/>
          <w:szCs w:val="16"/>
        </w:rPr>
      </w:pPr>
      <w:r w:rsidRPr="006B55E2">
        <w:rPr>
          <w:rStyle w:val="FootnoteReference"/>
          <w:sz w:val="16"/>
          <w:szCs w:val="16"/>
        </w:rPr>
        <w:footnoteRef/>
      </w:r>
      <w:r w:rsidRPr="006B55E2">
        <w:rPr>
          <w:sz w:val="16"/>
          <w:szCs w:val="16"/>
        </w:rPr>
        <w:t xml:space="preserve"> Uitvoeringsagenda Zero-Emissiezones (</w:t>
      </w:r>
      <w:r w:rsidRPr="006B55E2">
        <w:rPr>
          <w:color w:val="auto"/>
          <w:sz w:val="16"/>
          <w:szCs w:val="16"/>
        </w:rPr>
        <w:t>UAZ),</w:t>
      </w:r>
      <w:r w:rsidR="00697468" w:rsidRPr="006B55E2">
        <w:rPr>
          <w:color w:val="auto"/>
          <w:sz w:val="16"/>
          <w:szCs w:val="16"/>
        </w:rPr>
        <w:t xml:space="preserve"> 2025,</w:t>
      </w:r>
      <w:r w:rsidRPr="006B55E2">
        <w:rPr>
          <w:color w:val="auto"/>
          <w:sz w:val="16"/>
          <w:szCs w:val="16"/>
        </w:rPr>
        <w:t xml:space="preserve"> </w:t>
      </w:r>
      <w:hyperlink r:id="rId3" w:history="1">
        <w:r w:rsidRPr="006B55E2">
          <w:rPr>
            <w:rStyle w:val="Hyperlink"/>
            <w:color w:val="auto"/>
            <w:sz w:val="16"/>
            <w:szCs w:val="16"/>
          </w:rPr>
          <w:t>Uitvoeringsagenda Zero-emissiezones - Op weg met zero-emissiezones | Rapport | Rijksoverheid.nl</w:t>
        </w:r>
      </w:hyperlink>
      <w:r w:rsidRPr="006B55E2">
        <w:rPr>
          <w:color w:val="auto"/>
          <w:sz w:val="16"/>
          <w:szCs w:val="16"/>
        </w:rPr>
        <w:t>.</w:t>
      </w:r>
    </w:p>
  </w:footnote>
  <w:footnote w:id="7">
    <w:p w14:paraId="382F2623" w14:textId="77777777" w:rsidR="007C6190" w:rsidRPr="007C6190" w:rsidRDefault="007C6190" w:rsidP="007C6190">
      <w:pPr>
        <w:pStyle w:val="FootnoteText"/>
        <w:rPr>
          <w:color w:val="auto"/>
          <w:sz w:val="16"/>
          <w:szCs w:val="16"/>
        </w:rPr>
      </w:pPr>
      <w:r w:rsidRPr="007C6190">
        <w:rPr>
          <w:rStyle w:val="FootnoteReference"/>
          <w:color w:val="auto"/>
          <w:sz w:val="16"/>
          <w:szCs w:val="16"/>
        </w:rPr>
        <w:footnoteRef/>
      </w:r>
      <w:r w:rsidRPr="007C6190">
        <w:rPr>
          <w:color w:val="auto"/>
          <w:sz w:val="16"/>
          <w:szCs w:val="16"/>
        </w:rPr>
        <w:t xml:space="preserve"> Dashboard Elektrisch Vervoer - Aantal lichte bedrijfsvoertuigen in het wagenpark, </w:t>
      </w:r>
      <w:hyperlink r:id="rId4" w:history="1">
        <w:r w:rsidRPr="007C6190">
          <w:rPr>
            <w:rStyle w:val="Hyperlink"/>
            <w:color w:val="auto"/>
            <w:sz w:val="16"/>
            <w:szCs w:val="16"/>
          </w:rPr>
          <w:t>www.duurzamemobiliteit.databank.nl</w:t>
        </w:r>
      </w:hyperlink>
      <w:r w:rsidRPr="007C6190">
        <w:rPr>
          <w:color w:val="auto"/>
          <w:sz w:val="16"/>
          <w:szCs w:val="16"/>
        </w:rPr>
        <w:t>.</w:t>
      </w:r>
    </w:p>
  </w:footnote>
  <w:footnote w:id="8">
    <w:p w14:paraId="79D90993" w14:textId="6ADEC2E4" w:rsidR="007C6190" w:rsidRPr="007C6190" w:rsidRDefault="00EE0B39" w:rsidP="00EE0B39">
      <w:pPr>
        <w:rPr>
          <w:sz w:val="16"/>
          <w:szCs w:val="16"/>
        </w:rPr>
      </w:pPr>
      <w:r w:rsidRPr="007C6190">
        <w:rPr>
          <w:rStyle w:val="FootnoteReference"/>
          <w:sz w:val="16"/>
          <w:szCs w:val="16"/>
        </w:rPr>
        <w:footnoteRef/>
      </w:r>
      <w:r w:rsidRPr="007C6190">
        <w:rPr>
          <w:sz w:val="16"/>
          <w:szCs w:val="16"/>
        </w:rPr>
        <w:t xml:space="preserve"> </w:t>
      </w:r>
      <w:r w:rsidR="007C6190" w:rsidRPr="007C6190">
        <w:rPr>
          <w:sz w:val="16"/>
          <w:szCs w:val="16"/>
        </w:rPr>
        <w:t>Interne analyse van Haskoning &amp; Buck Consul</w:t>
      </w:r>
      <w:r w:rsidR="001C3884">
        <w:rPr>
          <w:sz w:val="16"/>
          <w:szCs w:val="16"/>
        </w:rPr>
        <w:t>t</w:t>
      </w:r>
      <w:r w:rsidR="007C6190" w:rsidRPr="007C6190">
        <w:rPr>
          <w:sz w:val="16"/>
          <w:szCs w:val="16"/>
        </w:rPr>
        <w:t xml:space="preserve">ants International, 2026. </w:t>
      </w:r>
    </w:p>
    <w:p w14:paraId="3639F182" w14:textId="04F9FBE2" w:rsidR="00EE0B39" w:rsidRPr="00EE0B39" w:rsidRDefault="00EE0B39" w:rsidP="00EE0B39">
      <w:pPr>
        <w:rPr>
          <w:color w:val="auto"/>
        </w:rPr>
      </w:pPr>
    </w:p>
  </w:footnote>
  <w:footnote w:id="9">
    <w:p w14:paraId="77C739AD" w14:textId="1C55F286" w:rsidR="00C262CB" w:rsidRDefault="00C262CB">
      <w:pPr>
        <w:pStyle w:val="FootnoteText"/>
      </w:pPr>
      <w:r>
        <w:rPr>
          <w:rStyle w:val="FootnoteReference"/>
        </w:rPr>
        <w:footnoteRef/>
      </w:r>
      <w:r>
        <w:t xml:space="preserve"> </w:t>
      </w:r>
      <w:r w:rsidRPr="004E3FD9">
        <w:rPr>
          <w:color w:val="auto"/>
          <w:sz w:val="16"/>
          <w:szCs w:val="16"/>
        </w:rPr>
        <w:t xml:space="preserve">Trendrapport Lichte Bedrijfsvoertuigen, RVO &amp; Revnext, 2025, </w:t>
      </w:r>
      <w:hyperlink r:id="rId5" w:history="1">
        <w:r w:rsidRPr="004E3FD9">
          <w:rPr>
            <w:rStyle w:val="Hyperlink"/>
            <w:color w:val="auto"/>
            <w:sz w:val="16"/>
            <w:szCs w:val="16"/>
          </w:rPr>
          <w:t>https://duurzamemobiliteit.databank.nl/documents/trendrapport-lichte-bedrijfsvoertuigen</w:t>
        </w:r>
      </w:hyperlink>
      <w:r w:rsidRPr="004E3FD9">
        <w:rPr>
          <w:color w:val="auto"/>
          <w:sz w:val="16"/>
          <w:szCs w:val="16"/>
        </w:rPr>
        <w:t>.</w:t>
      </w:r>
    </w:p>
  </w:footnote>
  <w:footnote w:id="10">
    <w:p w14:paraId="15BB5624" w14:textId="77777777" w:rsidR="00BE369D" w:rsidRPr="004E3FD9" w:rsidRDefault="00BE369D" w:rsidP="00BE369D">
      <w:pPr>
        <w:pStyle w:val="FootnoteText"/>
        <w:rPr>
          <w:color w:val="auto"/>
          <w:sz w:val="16"/>
          <w:szCs w:val="16"/>
        </w:rPr>
      </w:pPr>
      <w:r>
        <w:rPr>
          <w:rStyle w:val="FootnoteReference"/>
        </w:rPr>
        <w:footnoteRef/>
      </w:r>
      <w:r>
        <w:t xml:space="preserve"> </w:t>
      </w:r>
      <w:r w:rsidRPr="004E3FD9">
        <w:rPr>
          <w:color w:val="auto"/>
          <w:sz w:val="16"/>
          <w:szCs w:val="16"/>
        </w:rPr>
        <w:t xml:space="preserve">Trendrapport Lichte Bedrijfsvoertuigen, RVO &amp; Revnext, 2025, </w:t>
      </w:r>
      <w:hyperlink r:id="rId6" w:history="1">
        <w:r w:rsidRPr="004E3FD9">
          <w:rPr>
            <w:rStyle w:val="Hyperlink"/>
            <w:color w:val="auto"/>
            <w:sz w:val="16"/>
            <w:szCs w:val="16"/>
          </w:rPr>
          <w:t>https://duurzamemobiliteit.databank.nl/documents/trendrapport-lichte-bedrijfsvoertuigen</w:t>
        </w:r>
      </w:hyperlink>
      <w:r w:rsidRPr="004E3FD9">
        <w:rPr>
          <w:color w:val="auto"/>
          <w:sz w:val="16"/>
          <w:szCs w:val="16"/>
        </w:rPr>
        <w:t>.</w:t>
      </w:r>
    </w:p>
  </w:footnote>
  <w:footnote w:id="11">
    <w:p w14:paraId="4EE46876" w14:textId="77777777" w:rsidR="00BE369D" w:rsidRPr="00726E5B" w:rsidRDefault="00BE369D" w:rsidP="00BE369D">
      <w:pPr>
        <w:pStyle w:val="FootnoteText"/>
        <w:rPr>
          <w:color w:val="auto"/>
          <w:sz w:val="16"/>
          <w:szCs w:val="16"/>
        </w:rPr>
      </w:pPr>
      <w:r w:rsidRPr="004E3FD9">
        <w:rPr>
          <w:rStyle w:val="FootnoteReference"/>
          <w:color w:val="auto"/>
          <w:sz w:val="16"/>
          <w:szCs w:val="16"/>
        </w:rPr>
        <w:footnoteRef/>
      </w:r>
      <w:r w:rsidRPr="004E3FD9">
        <w:rPr>
          <w:color w:val="auto"/>
          <w:sz w:val="16"/>
          <w:szCs w:val="16"/>
        </w:rPr>
        <w:t xml:space="preserve"> RVO, 2026, </w:t>
      </w:r>
      <w:hyperlink r:id="rId7" w:history="1">
        <w:r w:rsidRPr="00726E5B">
          <w:rPr>
            <w:rStyle w:val="Hyperlink"/>
            <w:color w:val="auto"/>
            <w:sz w:val="16"/>
            <w:szCs w:val="16"/>
          </w:rPr>
          <w:t>Elektrisch vervoer - Lichte bedrijfsvoertuigen - Nederland</w:t>
        </w:r>
      </w:hyperlink>
    </w:p>
  </w:footnote>
  <w:footnote w:id="12">
    <w:p w14:paraId="2B88585A" w14:textId="77777777" w:rsidR="00BE369D" w:rsidRPr="00484983" w:rsidRDefault="00BE369D" w:rsidP="00BE369D">
      <w:pPr>
        <w:pStyle w:val="FootnoteText"/>
        <w:rPr>
          <w:sz w:val="16"/>
          <w:szCs w:val="16"/>
        </w:rPr>
      </w:pPr>
      <w:r w:rsidRPr="00726E5B">
        <w:rPr>
          <w:rStyle w:val="FootnoteReference"/>
          <w:color w:val="auto"/>
          <w:sz w:val="16"/>
          <w:szCs w:val="16"/>
        </w:rPr>
        <w:footnoteRef/>
      </w:r>
      <w:r w:rsidRPr="00726E5B">
        <w:rPr>
          <w:color w:val="auto"/>
          <w:sz w:val="16"/>
          <w:szCs w:val="16"/>
        </w:rPr>
        <w:t xml:space="preserve"> Haskoning &amp; Buck Consultants International, 2025, </w:t>
      </w:r>
      <w:hyperlink r:id="rId8" w:history="1">
        <w:r w:rsidRPr="00726E5B">
          <w:rPr>
            <w:rStyle w:val="Hyperlink"/>
            <w:color w:val="auto"/>
            <w:sz w:val="16"/>
            <w:szCs w:val="16"/>
          </w:rPr>
          <w:t>Actualisatie landelijke effecten zero-emissiezones stadslogistiek</w:t>
        </w:r>
      </w:hyperlink>
      <w:r w:rsidRPr="00726E5B">
        <w:rPr>
          <w:color w:val="auto"/>
          <w:sz w:val="16"/>
          <w:szCs w:val="16"/>
        </w:rPr>
        <w:t>.</w:t>
      </w:r>
      <w:r w:rsidRPr="00484983">
        <w:rPr>
          <w:color w:val="auto"/>
          <w:sz w:val="16"/>
          <w:szCs w:val="16"/>
        </w:rPr>
        <w:t xml:space="preserve"> </w:t>
      </w:r>
    </w:p>
  </w:footnote>
  <w:footnote w:id="13">
    <w:p w14:paraId="28B2343C" w14:textId="2E042A27" w:rsidR="00BE369D" w:rsidRDefault="00BE369D" w:rsidP="00BE369D">
      <w:pPr>
        <w:pStyle w:val="FootnoteText"/>
      </w:pPr>
      <w:r w:rsidRPr="00F540BA">
        <w:rPr>
          <w:rStyle w:val="FootnoteReference"/>
          <w:sz w:val="16"/>
          <w:szCs w:val="16"/>
        </w:rPr>
        <w:footnoteRef/>
      </w:r>
      <w:r w:rsidRPr="00F540BA">
        <w:rPr>
          <w:sz w:val="16"/>
          <w:szCs w:val="16"/>
        </w:rPr>
        <w:t xml:space="preserve"> Evaluatie </w:t>
      </w:r>
      <w:r w:rsidR="00E61BEC" w:rsidRPr="00F540BA">
        <w:rPr>
          <w:sz w:val="16"/>
          <w:szCs w:val="16"/>
        </w:rPr>
        <w:t>Subsidieregeling</w:t>
      </w:r>
      <w:r w:rsidRPr="00F540BA">
        <w:rPr>
          <w:sz w:val="16"/>
          <w:szCs w:val="16"/>
        </w:rPr>
        <w:t xml:space="preserve"> Emissieloze Bedrijfsauto’s (SEBA). </w:t>
      </w:r>
      <w:hyperlink r:id="rId9" w:history="1">
        <w:r w:rsidRPr="00F540BA">
          <w:rPr>
            <w:rStyle w:val="Hyperlink"/>
            <w:sz w:val="16"/>
            <w:szCs w:val="16"/>
          </w:rPr>
          <w:t>Decisio, 2025</w:t>
        </w:r>
      </w:hyperlink>
      <w:r w:rsidRPr="00F540BA">
        <w:rPr>
          <w:sz w:val="16"/>
          <w:szCs w:val="16"/>
        </w:rPr>
        <w:t>.</w:t>
      </w:r>
      <w:r>
        <w:t xml:space="preserve"> </w:t>
      </w:r>
    </w:p>
  </w:footnote>
  <w:footnote w:id="14">
    <w:p w14:paraId="578ABCD5" w14:textId="02526C7F" w:rsidR="00BE369D" w:rsidRPr="005553C6" w:rsidRDefault="00BE369D" w:rsidP="00BE369D">
      <w:pPr>
        <w:pStyle w:val="FootnoteText"/>
        <w:rPr>
          <w:sz w:val="16"/>
          <w:szCs w:val="16"/>
        </w:rPr>
      </w:pPr>
      <w:r w:rsidRPr="005553C6">
        <w:rPr>
          <w:rStyle w:val="FootnoteReference"/>
          <w:sz w:val="16"/>
          <w:szCs w:val="16"/>
        </w:rPr>
        <w:footnoteRef/>
      </w:r>
      <w:r w:rsidRPr="005553C6">
        <w:rPr>
          <w:sz w:val="16"/>
          <w:szCs w:val="16"/>
        </w:rPr>
        <w:t xml:space="preserve"> </w:t>
      </w:r>
      <w:r w:rsidRPr="004E3FD9">
        <w:rPr>
          <w:color w:val="auto"/>
          <w:sz w:val="16"/>
          <w:szCs w:val="16"/>
        </w:rPr>
        <w:t>Trendrapport Lichte Bedrijfsvoertuigen, RVO &amp; Revnext, 2025,</w:t>
      </w:r>
      <w:r w:rsidR="00E61BEC">
        <w:rPr>
          <w:color w:val="auto"/>
          <w:sz w:val="16"/>
          <w:szCs w:val="16"/>
        </w:rPr>
        <w:t xml:space="preserve"> </w:t>
      </w:r>
      <w:hyperlink r:id="rId10" w:history="1">
        <w:r w:rsidR="00E61BEC" w:rsidRPr="006C2C16">
          <w:rPr>
            <w:rStyle w:val="Hyperlink"/>
            <w:color w:val="auto"/>
            <w:sz w:val="16"/>
            <w:szCs w:val="16"/>
          </w:rPr>
          <w:t>https://duurzamemobiliteit.databank.nl/documents/trendrapport-lichte-bedrijfsvoertuigen</w:t>
        </w:r>
      </w:hyperlink>
      <w:r w:rsidR="00E61BEC" w:rsidRPr="006C2C16">
        <w:rPr>
          <w:color w:val="auto"/>
          <w:sz w:val="16"/>
          <w:szCs w:val="16"/>
        </w:rPr>
        <w:t>.</w:t>
      </w:r>
    </w:p>
  </w:footnote>
  <w:footnote w:id="15">
    <w:p w14:paraId="6636C880" w14:textId="77777777" w:rsidR="00027905" w:rsidRPr="006C2C16" w:rsidRDefault="00027905" w:rsidP="00027905">
      <w:pPr>
        <w:pStyle w:val="FootnoteText"/>
        <w:rPr>
          <w:sz w:val="16"/>
          <w:szCs w:val="16"/>
        </w:rPr>
      </w:pPr>
      <w:r w:rsidRPr="006C2C16">
        <w:rPr>
          <w:rStyle w:val="FootnoteReference"/>
          <w:color w:val="auto"/>
          <w:sz w:val="16"/>
          <w:szCs w:val="16"/>
        </w:rPr>
        <w:footnoteRef/>
      </w:r>
      <w:r w:rsidRPr="006C2C16">
        <w:rPr>
          <w:color w:val="auto"/>
          <w:sz w:val="16"/>
          <w:szCs w:val="16"/>
        </w:rPr>
        <w:t xml:space="preserve"> Trendrapport Lichte Bedrijfsvoertuigen, RVO &amp; Revnext, 2025, </w:t>
      </w:r>
      <w:hyperlink r:id="rId11" w:history="1">
        <w:r w:rsidRPr="006C2C16">
          <w:rPr>
            <w:rStyle w:val="Hyperlink"/>
            <w:color w:val="auto"/>
            <w:sz w:val="16"/>
            <w:szCs w:val="16"/>
          </w:rPr>
          <w:t>https://duurzamemobiliteit.databank.nl/documents/trendrapport-lichte-bedrijfsvoertuigen</w:t>
        </w:r>
      </w:hyperlink>
      <w:r w:rsidRPr="006C2C16">
        <w:rPr>
          <w:color w:val="auto"/>
          <w:sz w:val="16"/>
          <w:szCs w:val="16"/>
        </w:rPr>
        <w:t>.</w:t>
      </w:r>
    </w:p>
  </w:footnote>
  <w:footnote w:id="16">
    <w:p w14:paraId="6CDAAB0A" w14:textId="77777777" w:rsidR="00D5242D" w:rsidRPr="000E2E31" w:rsidRDefault="00D5242D" w:rsidP="00D5242D">
      <w:pPr>
        <w:pStyle w:val="FootnoteText"/>
        <w:rPr>
          <w:sz w:val="16"/>
          <w:szCs w:val="16"/>
        </w:rPr>
      </w:pPr>
      <w:r w:rsidRPr="000E2E31">
        <w:rPr>
          <w:rStyle w:val="FootnoteReference"/>
          <w:sz w:val="16"/>
          <w:szCs w:val="16"/>
        </w:rPr>
        <w:footnoteRef/>
      </w:r>
      <w:r w:rsidRPr="000E2E31">
        <w:rPr>
          <w:sz w:val="16"/>
          <w:szCs w:val="16"/>
        </w:rPr>
        <w:t xml:space="preserve"> Dashboard Laadinfrastructuur, RVO, 2026</w:t>
      </w:r>
      <w:r w:rsidRPr="000E2E31">
        <w:rPr>
          <w:color w:val="auto"/>
          <w:sz w:val="16"/>
          <w:szCs w:val="16"/>
        </w:rPr>
        <w:t xml:space="preserve">, </w:t>
      </w:r>
      <w:hyperlink r:id="rId12" w:history="1">
        <w:r w:rsidRPr="000E2E31">
          <w:rPr>
            <w:rStyle w:val="Hyperlink"/>
            <w:color w:val="auto"/>
            <w:sz w:val="16"/>
            <w:szCs w:val="16"/>
          </w:rPr>
          <w:t>Laadinfrastructuur - Stekkervoertuigen per laadpunt voor licht vervoer - Nederland</w:t>
        </w:r>
      </w:hyperlink>
      <w:r w:rsidRPr="000E2E31">
        <w:rPr>
          <w:color w:val="auto"/>
          <w:sz w:val="16"/>
          <w:szCs w:val="16"/>
        </w:rPr>
        <w:t xml:space="preserve">. </w:t>
      </w:r>
    </w:p>
  </w:footnote>
  <w:footnote w:id="17">
    <w:p w14:paraId="3F8E21D0" w14:textId="77777777" w:rsidR="00E61BEC" w:rsidRDefault="00E61BEC" w:rsidP="00E61BEC">
      <w:pPr>
        <w:pStyle w:val="FootnoteText"/>
      </w:pPr>
      <w:r w:rsidRPr="005553C6">
        <w:rPr>
          <w:rStyle w:val="FootnoteReference"/>
          <w:sz w:val="16"/>
          <w:szCs w:val="16"/>
        </w:rPr>
        <w:footnoteRef/>
      </w:r>
      <w:r w:rsidRPr="005553C6">
        <w:rPr>
          <w:sz w:val="16"/>
          <w:szCs w:val="16"/>
        </w:rPr>
        <w:t xml:space="preserve"> Interne analyse van NAL/RVO</w:t>
      </w:r>
      <w:r>
        <w:rPr>
          <w:sz w:val="16"/>
          <w:szCs w:val="16"/>
        </w:rPr>
        <w:t xml:space="preserve">. Zie ook de </w:t>
      </w:r>
      <w:hyperlink r:id="rId13" w:history="1">
        <w:r w:rsidRPr="007E4CC8">
          <w:rPr>
            <w:rStyle w:val="Hyperlink"/>
            <w:sz w:val="16"/>
            <w:szCs w:val="16"/>
          </w:rPr>
          <w:t>achtste monitoringsbrief zero-emissiezones.</w:t>
        </w:r>
      </w:hyperlink>
      <w:r>
        <w:rPr>
          <w:sz w:val="16"/>
          <w:szCs w:val="16"/>
        </w:rPr>
        <w:t xml:space="preserve"> </w:t>
      </w:r>
    </w:p>
  </w:footnote>
  <w:footnote w:id="18">
    <w:p w14:paraId="1F1A92C5" w14:textId="77777777" w:rsidR="00E44A73" w:rsidRPr="000E2E31" w:rsidRDefault="00E44A73" w:rsidP="00E44A73">
      <w:pPr>
        <w:pStyle w:val="FootnoteText"/>
        <w:rPr>
          <w:sz w:val="16"/>
          <w:szCs w:val="16"/>
        </w:rPr>
      </w:pPr>
      <w:r w:rsidRPr="000E2E31">
        <w:rPr>
          <w:rStyle w:val="FootnoteReference"/>
          <w:sz w:val="16"/>
          <w:szCs w:val="16"/>
        </w:rPr>
        <w:footnoteRef/>
      </w:r>
      <w:r w:rsidRPr="000E2E31">
        <w:rPr>
          <w:sz w:val="16"/>
          <w:szCs w:val="16"/>
        </w:rPr>
        <w:t xml:space="preserve"> </w:t>
      </w:r>
      <w:hyperlink r:id="rId14" w:anchor="van-prognose-naar-netimpact" w:history="1">
        <w:r w:rsidRPr="000E2E31">
          <w:rPr>
            <w:rStyle w:val="Hyperlink"/>
            <w:sz w:val="16"/>
            <w:szCs w:val="16"/>
          </w:rPr>
          <w:t>Outlook Mobiliteit</w:t>
        </w:r>
      </w:hyperlink>
      <w:r w:rsidRPr="000E2E31">
        <w:rPr>
          <w:sz w:val="16"/>
          <w:szCs w:val="16"/>
        </w:rPr>
        <w:t>, Elaad, 2026.</w:t>
      </w:r>
    </w:p>
  </w:footnote>
  <w:footnote w:id="19">
    <w:p w14:paraId="597D160F" w14:textId="4CAF935E" w:rsidR="008343D2" w:rsidRPr="0022458E" w:rsidRDefault="008343D2" w:rsidP="0022458E">
      <w:pPr>
        <w:pStyle w:val="FootnoteText"/>
        <w:rPr>
          <w:sz w:val="16"/>
          <w:szCs w:val="16"/>
        </w:rPr>
      </w:pPr>
      <w:r w:rsidRPr="000E2E31">
        <w:rPr>
          <w:rStyle w:val="FootnoteReference"/>
          <w:sz w:val="16"/>
          <w:szCs w:val="16"/>
        </w:rPr>
        <w:footnoteRef/>
      </w:r>
      <w:r w:rsidRPr="000E2E31">
        <w:rPr>
          <w:sz w:val="16"/>
          <w:szCs w:val="16"/>
        </w:rPr>
        <w:t xml:space="preserve"> </w:t>
      </w:r>
      <w:r w:rsidR="0022458E" w:rsidRPr="000E2E31">
        <w:rPr>
          <w:sz w:val="16"/>
          <w:szCs w:val="16"/>
        </w:rPr>
        <w:t xml:space="preserve">Actualisatie landelijke effecten zero-emissiezones stadslogistiek, Integraal beeld van maatschappelijke kosten en baten invoering zero-emissiezones stadslogistiek in 30 gemeentes in Nederland, SPES, Haskoning en Buck Consultants International, 14 oktober 2025, </w:t>
      </w:r>
      <w:hyperlink r:id="rId15" w:history="1">
        <w:r w:rsidR="0022458E" w:rsidRPr="000E2E31">
          <w:rPr>
            <w:rStyle w:val="Hyperlink"/>
            <w:sz w:val="16"/>
            <w:szCs w:val="16"/>
          </w:rPr>
          <w:t>www.opwegnaarzes.nl</w:t>
        </w:r>
      </w:hyperlink>
      <w:r w:rsidR="0022458E" w:rsidRPr="000E2E31">
        <w:rPr>
          <w:sz w:val="16"/>
          <w:szCs w:val="16"/>
        </w:rPr>
        <w:t>.</w:t>
      </w:r>
      <w:r w:rsidR="0022458E">
        <w:rPr>
          <w:sz w:val="16"/>
          <w:szCs w:val="16"/>
        </w:rPr>
        <w:t xml:space="preserve"> </w:t>
      </w:r>
    </w:p>
  </w:footnote>
  <w:footnote w:id="20">
    <w:p w14:paraId="775D71E8" w14:textId="434D16EE" w:rsidR="00DA7AB1" w:rsidRDefault="00DA7AB1">
      <w:pPr>
        <w:pStyle w:val="FootnoteText"/>
      </w:pPr>
      <w:r w:rsidRPr="00DA7AB1">
        <w:rPr>
          <w:rStyle w:val="FootnoteReference"/>
          <w:sz w:val="16"/>
          <w:szCs w:val="16"/>
        </w:rPr>
        <w:footnoteRef/>
      </w:r>
      <w:r w:rsidRPr="00DA7AB1">
        <w:rPr>
          <w:sz w:val="16"/>
          <w:szCs w:val="16"/>
        </w:rPr>
        <w:t xml:space="preserve"> </w:t>
      </w:r>
      <w:hyperlink r:id="rId16" w:history="1">
        <w:r w:rsidRPr="0005015F">
          <w:rPr>
            <w:rStyle w:val="Hyperlink"/>
            <w:sz w:val="16"/>
            <w:szCs w:val="16"/>
          </w:rPr>
          <w:t>Coalitieakkoord ‘Voor Den Haag, met Den Haag’</w:t>
        </w:r>
      </w:hyperlink>
      <w:r w:rsidRPr="00DA7AB1">
        <w:rPr>
          <w:sz w:val="16"/>
          <w:szCs w:val="16"/>
        </w:rPr>
        <w:t xml:space="preserve">, van Hart voor den haag, VVD, CDA en Denk. </w:t>
      </w:r>
    </w:p>
  </w:footnote>
  <w:footnote w:id="21">
    <w:p w14:paraId="2EA221AF" w14:textId="77777777" w:rsidR="00196C98" w:rsidRPr="004C6022" w:rsidRDefault="00196C98" w:rsidP="00196C98">
      <w:pPr>
        <w:pStyle w:val="FootnoteText"/>
        <w:rPr>
          <w:sz w:val="16"/>
          <w:szCs w:val="16"/>
        </w:rPr>
      </w:pPr>
      <w:r w:rsidRPr="004C6022">
        <w:rPr>
          <w:rStyle w:val="FootnoteReference"/>
          <w:sz w:val="16"/>
          <w:szCs w:val="16"/>
        </w:rPr>
        <w:footnoteRef/>
      </w:r>
      <w:r w:rsidRPr="004C6022">
        <w:rPr>
          <w:sz w:val="16"/>
          <w:szCs w:val="16"/>
        </w:rPr>
        <w:t xml:space="preserve"> </w:t>
      </w:r>
      <w:hyperlink r:id="rId17" w:history="1">
        <w:r w:rsidRPr="004C6022">
          <w:rPr>
            <w:rStyle w:val="Hyperlink"/>
            <w:sz w:val="16"/>
            <w:szCs w:val="16"/>
          </w:rPr>
          <w:t>Handboek meting regeldrukkosten | Adviescollege toetsing regeldruk</w:t>
        </w:r>
      </w:hyperlink>
    </w:p>
  </w:footnote>
  <w:footnote w:id="22">
    <w:p w14:paraId="5DB36761" w14:textId="77777777" w:rsidR="0072109E" w:rsidRPr="00D02A08" w:rsidRDefault="0072109E" w:rsidP="0072109E">
      <w:pPr>
        <w:pStyle w:val="FootnoteText"/>
        <w:rPr>
          <w:sz w:val="16"/>
          <w:szCs w:val="16"/>
        </w:rPr>
      </w:pPr>
      <w:r>
        <w:rPr>
          <w:rStyle w:val="FootnoteReference"/>
        </w:rPr>
        <w:footnoteRef/>
      </w:r>
      <w:r>
        <w:t xml:space="preserve"> </w:t>
      </w:r>
      <w:r w:rsidRPr="00D02A08">
        <w:rPr>
          <w:sz w:val="16"/>
          <w:szCs w:val="16"/>
        </w:rPr>
        <w:t>Tren</w:t>
      </w:r>
      <w:r>
        <w:rPr>
          <w:sz w:val="16"/>
          <w:szCs w:val="16"/>
        </w:rPr>
        <w:t>d</w:t>
      </w:r>
      <w:r w:rsidRPr="00D02A08">
        <w:rPr>
          <w:sz w:val="16"/>
          <w:szCs w:val="16"/>
        </w:rPr>
        <w:t>rapport Lichte Bedrijfsvoertuigen, Revnext 2025.</w:t>
      </w:r>
    </w:p>
    <w:p w14:paraId="4691E83A" w14:textId="77777777" w:rsidR="0072109E" w:rsidRDefault="00563330" w:rsidP="0072109E">
      <w:pPr>
        <w:pStyle w:val="FootnoteText"/>
      </w:pPr>
      <w:hyperlink r:id="rId18" w:history="1">
        <w:r w:rsidR="0072109E" w:rsidRPr="008B6CEC">
          <w:rPr>
            <w:rStyle w:val="Hyperlink"/>
            <w:sz w:val="16"/>
            <w:szCs w:val="16"/>
          </w:rPr>
          <w:t>https://www.rvo.nl/sites/default/files/2024-11/Trendrapport%20Lichte%20Bedrijfsvoertuigen%202024_0.pdf</w:t>
        </w:r>
      </w:hyperlink>
      <w:r w:rsidR="0072109E">
        <w:rPr>
          <w:sz w:val="16"/>
          <w:szCs w:val="16"/>
        </w:rPr>
        <w:t xml:space="preserve"> </w:t>
      </w:r>
    </w:p>
  </w:footnote>
  <w:footnote w:id="23">
    <w:p w14:paraId="6686D9CD" w14:textId="77777777" w:rsidR="0072109E" w:rsidRDefault="0072109E" w:rsidP="0072109E">
      <w:pPr>
        <w:pStyle w:val="FootnoteText"/>
      </w:pPr>
      <w:r>
        <w:rPr>
          <w:rStyle w:val="FootnoteReference"/>
        </w:rPr>
        <w:footnoteRef/>
      </w:r>
      <w:r>
        <w:t xml:space="preserve"> </w:t>
      </w:r>
      <w:r>
        <w:rPr>
          <w:sz w:val="16"/>
          <w:szCs w:val="16"/>
        </w:rPr>
        <w:t>Daarbij komt kijken: kennisnemen van de verplichting (5 minuten), verzamelen van gegevens (10 minuten), formulieren invullen (5 minuten), controleren van gegevens (10 minuten), corrigeren van fouten (10 minuten), data versturen (2 minuten) en uitvoeren van betalingsopdrachten (4 minuten). Gezamenlijk maakt dit gemiddeld 46 minuten per ontheffingsaanvraag.</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F51633" w14:textId="77777777" w:rsidR="00441F86" w:rsidRDefault="00842A28">
    <w:pPr>
      <w:pStyle w:val="MarginlessContainer"/>
    </w:pPr>
    <w:r>
      <w:rPr>
        <w:noProof/>
        <w:lang w:val="en-GB" w:eastAsia="en-GB"/>
      </w:rPr>
      <mc:AlternateContent>
        <mc:Choice Requires="wps">
          <w:drawing>
            <wp:anchor distT="0" distB="0" distL="0" distR="0" simplePos="0" relativeHeight="251658240" behindDoc="0" locked="1" layoutInCell="1" allowOverlap="1" wp14:anchorId="404B027F" wp14:editId="18ABA7D1">
              <wp:simplePos x="0" y="0"/>
              <wp:positionH relativeFrom="page">
                <wp:posOffset>6317615</wp:posOffset>
              </wp:positionH>
              <wp:positionV relativeFrom="page">
                <wp:posOffset>9633585</wp:posOffset>
              </wp:positionV>
              <wp:extent cx="361315" cy="180975"/>
              <wp:effectExtent l="0" t="0" r="0" b="0"/>
              <wp:wrapNone/>
              <wp:docPr id="5" name="Paginanummer vervolgpagina"/>
              <wp:cNvGraphicFramePr/>
              <a:graphic xmlns:a="http://schemas.openxmlformats.org/drawingml/2006/main">
                <a:graphicData uri="http://schemas.microsoft.com/office/word/2010/wordprocessingShape">
                  <wps:wsp>
                    <wps:cNvSpPr txBox="1"/>
                    <wps:spPr>
                      <a:xfrm>
                        <a:off x="0" y="0"/>
                        <a:ext cx="361315" cy="180975"/>
                      </a:xfrm>
                      <a:prstGeom prst="rect">
                        <a:avLst/>
                      </a:prstGeom>
                      <a:noFill/>
                    </wps:spPr>
                    <wps:txbx>
                      <w:txbxContent>
                        <w:p w14:paraId="73AFFC9C" w14:textId="7940D20F" w:rsidR="00441F86" w:rsidRDefault="00842A28">
                          <w:r>
                            <w:fldChar w:fldCharType="begin"/>
                          </w:r>
                          <w:r>
                            <w:instrText>PAGE</w:instrText>
                          </w:r>
                          <w:r>
                            <w:fldChar w:fldCharType="separate"/>
                          </w:r>
                          <w:r w:rsidR="000E5712">
                            <w:rPr>
                              <w:noProof/>
                            </w:rPr>
                            <w:t>2</w:t>
                          </w:r>
                          <w:r>
                            <w:fldChar w:fldCharType="end"/>
                          </w:r>
                        </w:p>
                      </w:txbxContent>
                    </wps:txbx>
                    <wps:bodyPr vert="horz" wrap="square" lIns="0" tIns="0" rIns="0" bIns="0" anchor="t" anchorCtr="0"/>
                  </wps:wsp>
                </a:graphicData>
              </a:graphic>
            </wp:anchor>
          </w:drawing>
        </mc:Choice>
        <mc:Fallback>
          <w:pict>
            <v:shapetype w14:anchorId="404B027F" id="_x0000_t202" coordsize="21600,21600" o:spt="202" path="m,l,21600r21600,l21600,xe">
              <v:stroke joinstyle="miter"/>
              <v:path gradientshapeok="t" o:connecttype="rect"/>
            </v:shapetype>
            <v:shape id="Paginanummer vervolgpagina" o:spid="_x0000_s1026" type="#_x0000_t202" style="position:absolute;margin-left:497.45pt;margin-top:758.55pt;width:28.45pt;height:14.25pt;z-index:2516582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" filled="f" stroked="f">
              <v:textbox inset="0,0,0,0">
                <w:txbxContent>
                  <w:p w14:paraId="73AFFC9C" w14:textId="7940D20F" w:rsidR="00441F86" w:rsidRDefault="00842A28">
                    <w:r>
                      <w:fldChar w:fldCharType="begin"/>
                    </w:r>
                    <w:r>
                      <w:instrText>PAGE</w:instrText>
                    </w:r>
                    <w:r>
                      <w:fldChar w:fldCharType="separate"/>
                    </w:r>
                    <w:r w:rsidR="000E5712">
                      <w:rPr>
                        <w:noProof/>
                      </w:rPr>
                      <w:t>2</w:t>
                    </w:r>
                    <w:r>
                      <w:fldChar w:fldCharType="end"/>
                    </w:r>
                  </w:p>
                </w:txbxContent>
              </v:textbox>
              <w10:wrap anchorx="page" anchory="page"/>
              <w10:anchorlock/>
            </v:shape>
          </w:pict>
        </mc:Fallback>
      </mc:AlternateContent>
    </w:r>
    <w:r>
      <w:rPr>
        <w:noProof/>
        <w:lang w:val="en-GB" w:eastAsia="en-GB"/>
      </w:rPr>
      <mc:AlternateContent>
        <mc:Choice Requires="wps">
          <w:drawing>
            <wp:anchor distT="0" distB="0" distL="0" distR="0" simplePos="0" relativeHeight="251658241" behindDoc="0" locked="1" layoutInCell="1" allowOverlap="1" wp14:anchorId="0C51C310" wp14:editId="37B4F0E3">
              <wp:simplePos x="0" y="0"/>
              <wp:positionH relativeFrom="page">
                <wp:posOffset>1007744</wp:posOffset>
              </wp:positionH>
              <wp:positionV relativeFrom="page">
                <wp:posOffset>1198245</wp:posOffset>
              </wp:positionV>
              <wp:extent cx="2383155" cy="282575"/>
              <wp:effectExtent l="0" t="0" r="0" b="0"/>
              <wp:wrapNone/>
              <wp:docPr id="6" name="Merking tweede pagina"/>
              <wp:cNvGraphicFramePr/>
              <a:graphic xmlns:a="http://schemas.openxmlformats.org/drawingml/2006/main">
                <a:graphicData uri="http://schemas.microsoft.com/office/word/2010/wordprocessingShape">
                  <wps:wsp>
                    <wps:cNvSpPr txBox="1"/>
                    <wps:spPr>
                      <a:xfrm>
                        <a:off x="0" y="0"/>
                        <a:ext cx="2383155" cy="282575"/>
                      </a:xfrm>
                      <a:prstGeom prst="rect">
                        <a:avLst/>
                      </a:prstGeom>
                      <a:noFill/>
                    </wps:spPr>
                    <wps:txbx>
                      <w:txbxContent>
                        <w:p w14:paraId="21D2F6A9" w14:textId="77777777" w:rsidR="00DC03D9" w:rsidRDefault="00DC03D9"/>
                      </w:txbxContent>
                    </wps:txbx>
                    <wps:bodyPr vert="horz" wrap="square" lIns="0" tIns="0" rIns="0" bIns="0" anchor="t" anchorCtr="0"/>
                  </wps:wsp>
                </a:graphicData>
              </a:graphic>
            </wp:anchor>
          </w:drawing>
        </mc:Choice>
        <mc:Fallback>
          <w:pict>
            <v:shape w14:anchorId="0C51C310" id="Merking tweede pagina" o:spid="_x0000_s1027" type="#_x0000_t202" style="position:absolute;margin-left:79.35pt;margin-top:94.35pt;width:187.65pt;height:22.25pt;z-index:251658241;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" filled="f" stroked="f">
              <v:textbox inset="0,0,0,0">
                <w:txbxContent>
                  <w:p w14:paraId="21D2F6A9" w14:textId="77777777" w:rsidR="00DC03D9" w:rsidRDefault="00DC03D9"/>
                </w:txbxContent>
              </v:textbox>
              <w10:wrap anchorx="page" anchory="page"/>
              <w10:anchorlock/>
            </v:shape>
          </w:pict>
        </mc:Fallback>
      </mc:AlternateContent>
    </w:r>
    <w:r>
      <w:rPr>
        <w:noProof/>
        <w:lang w:val="en-GB" w:eastAsia="en-GB"/>
      </w:rPr>
      <mc:AlternateContent>
        <mc:Choice Requires="wps">
          <w:drawing>
            <wp:anchor distT="0" distB="0" distL="0" distR="0" simplePos="0" relativeHeight="251658242" behindDoc="0" locked="1" layoutInCell="1" allowOverlap="1" wp14:anchorId="338A1785" wp14:editId="53B5281A">
              <wp:simplePos x="0" y="0"/>
              <wp:positionH relativeFrom="page">
                <wp:posOffset>1007744</wp:posOffset>
              </wp:positionH>
              <wp:positionV relativeFrom="page">
                <wp:posOffset>10223500</wp:posOffset>
              </wp:positionV>
              <wp:extent cx="1799589" cy="179705"/>
              <wp:effectExtent l="0" t="0" r="0" b="0"/>
              <wp:wrapNone/>
              <wp:docPr id="7" name="Rubricering tweede pagina"/>
              <wp:cNvGraphicFramePr/>
              <a:graphic xmlns:a="http://schemas.openxmlformats.org/drawingml/2006/main">
                <a:graphicData uri="http://schemas.microsoft.com/office/word/2010/wordprocessingShape">
                  <wps:wsp>
                    <wps:cNvSpPr txBox="1"/>
                    <wps:spPr>
                      <a:xfrm>
                        <a:off x="0" y="0"/>
                        <a:ext cx="1799589" cy="179705"/>
                      </a:xfrm>
                      <a:prstGeom prst="rect">
                        <a:avLst/>
                      </a:prstGeom>
                      <a:noFill/>
                    </wps:spPr>
                    <wps:txbx>
                      <w:txbxContent>
                        <w:p w14:paraId="794840F6" w14:textId="77777777" w:rsidR="00DC03D9" w:rsidRDefault="00DC03D9"/>
                      </w:txbxContent>
                    </wps:txbx>
                    <wps:bodyPr vert="horz" wrap="square" lIns="0" tIns="0" rIns="0" bIns="0" anchor="t" anchorCtr="0"/>
                  </wps:wsp>
                </a:graphicData>
              </a:graphic>
            </wp:anchor>
          </w:drawing>
        </mc:Choice>
        <mc:Fallback>
          <w:pict>
            <v:shape w14:anchorId="338A1785" id="Rubricering tweede pagina" o:spid="_x0000_s1028" type="#_x0000_t202" style="position:absolute;margin-left:79.35pt;margin-top:805pt;width:141.7pt;height:14.15pt;z-index:25165824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" filled="f" stroked="f">
              <v:textbox inset="0,0,0,0">
                <w:txbxContent>
                  <w:p w14:paraId="794840F6" w14:textId="77777777" w:rsidR="00DC03D9" w:rsidRDefault="00DC03D9"/>
                </w:txbxContent>
              </v:textbox>
              <w10:wrap anchorx="page" anchory="page"/>
              <w10:anchorlock/>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5B700D" w14:textId="77777777" w:rsidR="00441F86" w:rsidRDefault="00842A28">
    <w:pPr>
      <w:pStyle w:val="MarginlessContainer"/>
      <w:spacing w:after="5096" w:line="14" w:lineRule="exact"/>
    </w:pPr>
    <w:r>
      <w:rPr>
        <w:noProof/>
        <w:lang w:val="en-GB" w:eastAsia="en-GB"/>
      </w:rPr>
      <mc:AlternateContent>
        <mc:Choice Requires="wps">
          <w:drawing>
            <wp:anchor distT="0" distB="0" distL="0" distR="0" simplePos="0" relativeHeight="251658243" behindDoc="0" locked="1" layoutInCell="1" allowOverlap="1" wp14:anchorId="67D03EAA" wp14:editId="3B00FC11">
              <wp:simplePos x="0" y="0"/>
              <wp:positionH relativeFrom="page">
                <wp:posOffset>-215900</wp:posOffset>
              </wp:positionH>
              <wp:positionV relativeFrom="page">
                <wp:posOffset>151130</wp:posOffset>
              </wp:positionV>
              <wp:extent cx="6657340" cy="2514600"/>
              <wp:effectExtent l="0" t="0" r="0" b="0"/>
              <wp:wrapNone/>
              <wp:docPr id="1" name="Woordmerk_Koninkrijk"/>
              <wp:cNvGraphicFramePr/>
              <a:graphic xmlns:a="http://schemas.openxmlformats.org/drawingml/2006/main">
                <a:graphicData uri="http://schemas.microsoft.com/office/word/2010/wordprocessingShape">
                  <wps:wsp>
                    <wps:cNvSpPr txBox="1"/>
                    <wps:spPr>
                      <a:xfrm>
                        <a:off x="0" y="0"/>
                        <a:ext cx="6657340" cy="2514600"/>
                      </a:xfrm>
                      <a:prstGeom prst="rect">
                        <a:avLst/>
                      </a:prstGeom>
                      <a:noFill/>
                    </wps:spPr>
                    <wps:txbx>
                      <w:txbxContent>
                        <w:p w14:paraId="304B06ED" w14:textId="77777777" w:rsidR="00441F86" w:rsidRDefault="00842A28">
                          <w:pPr>
                            <w:pStyle w:val="MarginlessContainer"/>
                          </w:pPr>
                          <w:r>
                            <w:rPr>
                              <w:noProof/>
                              <w:lang w:val="en-GB" w:eastAsia="en-GB"/>
                            </w:rPr>
                            <w:drawing>
                              <wp:inline distT="0" distB="0" distL="0" distR="0" wp14:anchorId="14AC07EA" wp14:editId="26B86B82">
                                <wp:extent cx="6657340" cy="2378273"/>
                                <wp:effectExtent l="0" t="0" r="0" b="0"/>
                                <wp:docPr id="2" name="Wij_Willem_Alexander"/>
                                <wp:cNvGraphicFramePr/>
                                <a:graphic xmlns:a="http://schemas.openxmlformats.org/drawingml/2006/main">
                                  <a:graphicData uri="http://schemas.openxmlformats.org/drawingml/2006/picture">
                                    <pic:pic xmlns:pic="http://schemas.openxmlformats.org/drawingml/2006/picture">
                                      <pic:nvPicPr>
                                        <pic:cNvPr id="2" name="Wij_Willem_Alexander"/>
                                        <pic:cNvPicPr/>
                                      </pic:nvPicPr>
                                      <pic:blipFill>
                                        <a:blip r:embed="rId1"/>
                                        <a:stretch>
                                          <a:fillRect/>
                                        </a:stretch>
                                      </pic:blipFill>
                                      <pic:spPr bwMode="auto">
                                        <a:xfrm>
                                          <a:off x="0" y="0"/>
                                          <a:ext cx="6657340" cy="2378273"/>
                                        </a:xfrm>
                                        <a:prstGeom prst="rect">
                                          <a:avLst/>
                                        </a:prstGeom>
                                      </pic:spPr>
                                    </pic:pic>
                                  </a:graphicData>
                                </a:graphic>
                              </wp:inline>
                            </w:drawing>
                          </w:r>
                        </w:p>
                      </w:txbxContent>
                    </wps:txbx>
                    <wps:bodyPr vert="horz" wrap="square" lIns="0" tIns="0" rIns="0" bIns="0" anchor="t" anchorCtr="0"/>
                  </wps:wsp>
                </a:graphicData>
              </a:graphic>
            </wp:anchor>
          </w:drawing>
        </mc:Choice>
        <mc:Fallback>
          <w:pict>
            <v:shapetype w14:anchorId="67D03EAA" id="_x0000_t202" coordsize="21600,21600" o:spt="202" path="m,l,21600r21600,l21600,xe">
              <v:stroke joinstyle="miter"/>
              <v:path gradientshapeok="t" o:connecttype="rect"/>
            </v:shapetype>
            <v:shape id="Woordmerk_Koninkrijk" o:spid="_x0000_s1029" type="#_x0000_t202" style="position:absolute;margin-left:-17pt;margin-top:11.9pt;width:524.2pt;height:198pt;z-index:251658243;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" filled="f" stroked="f">
              <v:textbox inset="0,0,0,0">
                <w:txbxContent>
                  <w:p w14:paraId="304B06ED" w14:textId="77777777" w:rsidR="00441F86" w:rsidRDefault="00842A28">
                    <w:pPr>
                      <w:pStyle w:val="MarginlessContainer"/>
                    </w:pPr>
                    <w:r>
                      <w:rPr>
                        <w:noProof/>
                        <w:lang w:val="en-GB" w:eastAsia="en-GB"/>
                      </w:rPr>
                      <w:drawing>
                        <wp:inline distT="0" distB="0" distL="0" distR="0" wp14:anchorId="14AC07EA" wp14:editId="26B86B82">
                          <wp:extent cx="6657340" cy="2378273"/>
                          <wp:effectExtent l="0" t="0" r="0" b="0"/>
                          <wp:docPr id="2" name="Wij_Willem_Alexander"/>
                          <wp:cNvGraphicFramePr/>
                          <a:graphic xmlns:a="http://schemas.openxmlformats.org/drawingml/2006/main">
                            <a:graphicData uri="http://schemas.openxmlformats.org/drawingml/2006/picture">
                              <pic:pic xmlns:pic="http://schemas.openxmlformats.org/drawingml/2006/picture">
                                <pic:nvPicPr>
                                  <pic:cNvPr id="2" name="Wij_Willem_Alexander"/>
                                  <pic:cNvPicPr/>
                                </pic:nvPicPr>
                                <pic:blipFill>
                                  <a:blip r:embed="rId1"/>
                                  <a:stretch>
                                    <a:fillRect/>
                                  </a:stretch>
                                </pic:blipFill>
                                <pic:spPr bwMode="auto">
                                  <a:xfrm>
                                    <a:off x="0" y="0"/>
                                    <a:ext cx="6657340" cy="2378273"/>
                                  </a:xfrm>
                                  <a:prstGeom prst="rect">
                                    <a:avLst/>
                                  </a:prstGeom>
                                </pic:spPr>
                              </pic:pic>
                            </a:graphicData>
                          </a:graphic>
                        </wp:inline>
                      </w:drawing>
                    </w:r>
                  </w:p>
                </w:txbxContent>
              </v:textbox>
              <w10:wrap anchorx="page" anchory="page"/>
              <w10:anchorlock/>
            </v:shape>
          </w:pict>
        </mc:Fallback>
      </mc:AlternateContent>
    </w:r>
    <w:r>
      <w:rPr>
        <w:noProof/>
        <w:lang w:val="en-GB" w:eastAsia="en-GB"/>
      </w:rPr>
      <mc:AlternateContent>
        <mc:Choice Requires="wps">
          <w:drawing>
            <wp:anchor distT="0" distB="0" distL="0" distR="0" simplePos="0" relativeHeight="251658244" behindDoc="0" locked="1" layoutInCell="1" allowOverlap="1" wp14:anchorId="2FD2D8C4" wp14:editId="46D2A0B5">
              <wp:simplePos x="0" y="0"/>
              <wp:positionH relativeFrom="page">
                <wp:posOffset>1007744</wp:posOffset>
              </wp:positionH>
              <wp:positionV relativeFrom="page">
                <wp:posOffset>1198245</wp:posOffset>
              </wp:positionV>
              <wp:extent cx="2383155" cy="282575"/>
              <wp:effectExtent l="0" t="0" r="0" b="0"/>
              <wp:wrapNone/>
              <wp:docPr id="3" name="Merking eerste pagina"/>
              <wp:cNvGraphicFramePr/>
              <a:graphic xmlns:a="http://schemas.openxmlformats.org/drawingml/2006/main">
                <a:graphicData uri="http://schemas.microsoft.com/office/word/2010/wordprocessingShape">
                  <wps:wsp>
                    <wps:cNvSpPr txBox="1"/>
                    <wps:spPr>
                      <a:xfrm>
                        <a:off x="0" y="0"/>
                        <a:ext cx="2383155" cy="282575"/>
                      </a:xfrm>
                      <a:prstGeom prst="rect">
                        <a:avLst/>
                      </a:prstGeom>
                      <a:noFill/>
                    </wps:spPr>
                    <wps:txbx>
                      <w:txbxContent>
                        <w:p w14:paraId="729B5FB6" w14:textId="77777777" w:rsidR="00DC03D9" w:rsidRDefault="00DC03D9"/>
                      </w:txbxContent>
                    </wps:txbx>
                    <wps:bodyPr vert="horz" wrap="square" lIns="0" tIns="0" rIns="0" bIns="0" anchor="t" anchorCtr="0"/>
                  </wps:wsp>
                </a:graphicData>
              </a:graphic>
            </wp:anchor>
          </w:drawing>
        </mc:Choice>
        <mc:Fallback>
          <w:pict>
            <v:shape w14:anchorId="2FD2D8C4" id="Merking eerste pagina" o:spid="_x0000_s1030" type="#_x0000_t202" style="position:absolute;margin-left:79.35pt;margin-top:94.35pt;width:187.65pt;height:22.25pt;z-index:2516582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" filled="f" stroked="f">
              <v:textbox inset="0,0,0,0">
                <w:txbxContent>
                  <w:p w14:paraId="729B5FB6" w14:textId="77777777" w:rsidR="00DC03D9" w:rsidRDefault="00DC03D9"/>
                </w:txbxContent>
              </v:textbox>
              <w10:wrap anchorx="page" anchory="page"/>
              <w10:anchorlock/>
            </v:shape>
          </w:pict>
        </mc:Fallback>
      </mc:AlternateContent>
    </w:r>
    <w:r>
      <w:rPr>
        <w:noProof/>
        <w:lang w:val="en-GB" w:eastAsia="en-GB"/>
      </w:rPr>
      <mc:AlternateContent>
        <mc:Choice Requires="wps">
          <w:drawing>
            <wp:anchor distT="0" distB="0" distL="0" distR="0" simplePos="0" relativeHeight="251658245" behindDoc="0" locked="1" layoutInCell="1" allowOverlap="1" wp14:anchorId="196C20DD" wp14:editId="64358158">
              <wp:simplePos x="0" y="0"/>
              <wp:positionH relativeFrom="page">
                <wp:posOffset>1007744</wp:posOffset>
              </wp:positionH>
              <wp:positionV relativeFrom="page">
                <wp:posOffset>10223500</wp:posOffset>
              </wp:positionV>
              <wp:extent cx="1799589" cy="179705"/>
              <wp:effectExtent l="0" t="0" r="0" b="0"/>
              <wp:wrapNone/>
              <wp:docPr id="4" name="Rubricering eerste pagina"/>
              <wp:cNvGraphicFramePr/>
              <a:graphic xmlns:a="http://schemas.openxmlformats.org/drawingml/2006/main">
                <a:graphicData uri="http://schemas.microsoft.com/office/word/2010/wordprocessingShape">
                  <wps:wsp>
                    <wps:cNvSpPr txBox="1"/>
                    <wps:spPr>
                      <a:xfrm>
                        <a:off x="0" y="0"/>
                        <a:ext cx="1799589" cy="179705"/>
                      </a:xfrm>
                      <a:prstGeom prst="rect">
                        <a:avLst/>
                      </a:prstGeom>
                      <a:noFill/>
                    </wps:spPr>
                    <wps:txbx>
                      <w:txbxContent>
                        <w:p w14:paraId="00C43411" w14:textId="77777777" w:rsidR="00DC03D9" w:rsidRDefault="00DC03D9"/>
                      </w:txbxContent>
                    </wps:txbx>
                    <wps:bodyPr vert="horz" wrap="square" lIns="0" tIns="0" rIns="0" bIns="0" anchor="t" anchorCtr="0"/>
                  </wps:wsp>
                </a:graphicData>
              </a:graphic>
            </wp:anchor>
          </w:drawing>
        </mc:Choice>
        <mc:Fallback>
          <w:pict>
            <v:shape w14:anchorId="196C20DD" id="Rubricering eerste pagina" o:spid="_x0000_s1031" type="#_x0000_t202" style="position:absolute;margin-left:79.35pt;margin-top:805pt;width:141.7pt;height:14.15pt;z-index:251658245;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" filled="f" stroked="f">
              <v:textbox inset="0,0,0,0">
                <w:txbxContent>
                  <w:p w14:paraId="00C43411" w14:textId="77777777" w:rsidR="00DC03D9" w:rsidRDefault="00DC03D9"/>
                </w:txbxContent>
              </v:textbox>
              <w10:wrap anchorx="page" anchory="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8477F3A8"/>
    <w:multiLevelType w:val="multilevel"/>
    <w:tmpl w:val="C125957C"/>
    <w:name w:val="Standaard opsomming lijst"/>
    <w:lvl w:ilvl="0">
      <w:start w:val="1"/>
      <w:numFmt w:val="bullet"/>
      <w:pStyle w:val="Standaardopsomming"/>
      <w:lvlText w:val="●"/>
      <w:lvlJc w:val="left"/>
      <w:pPr>
        <w:ind w:left="283" w:hanging="283"/>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948BCD75"/>
    <w:multiLevelType w:val="multilevel"/>
    <w:tmpl w:val="79F1933A"/>
    <w:name w:val="SSF nummering overeenkomst (letters)"/>
    <w:lvl w:ilvl="0">
      <w:start w:val="1"/>
      <w:numFmt w:val="upperLetter"/>
      <w:pStyle w:val="SSFNummeringKredietovereenkomstA"/>
      <w:lvlText w:val="%1."/>
      <w:lvlJc w:val="left"/>
      <w:pPr>
        <w:ind w:left="720" w:hanging="72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9870647B"/>
    <w:multiLevelType w:val="multilevel"/>
    <w:tmpl w:val="3A0282E8"/>
    <w:name w:val="Huisstijl opsomming colofon en inleiding"/>
    <w:lvl w:ilvl="0">
      <w:start w:val="1"/>
      <w:numFmt w:val="bullet"/>
      <w:pStyle w:val="Huisstijl-Colofon"/>
      <w:lvlText w:val="●"/>
      <w:lvlJc w:val="left"/>
      <w:pPr>
        <w:ind w:left="0" w:firstLine="0"/>
      </w:pPr>
      <w:rPr>
        <w:color w:val="FFFFFF"/>
      </w:rPr>
    </w:lvl>
    <w:lvl w:ilvl="1">
      <w:start w:val="1"/>
      <w:numFmt w:val="bullet"/>
      <w:pStyle w:val="Huisstijl-Bijlagezletter"/>
      <w:lvlText w:val="●"/>
      <w:lvlJc w:val="left"/>
      <w:pPr>
        <w:ind w:left="-1120" w:firstLine="1120"/>
      </w:pPr>
      <w:rPr>
        <w:color w:val="FFFFFF"/>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B66F8918"/>
    <w:multiLevelType w:val="multilevel"/>
    <w:tmpl w:val="F3BA8E40"/>
    <w:name w:val="OIM Rapport Opsomminglijst"/>
    <w:lvl w:ilvl="0">
      <w:start w:val="1"/>
      <w:numFmt w:val="bullet"/>
      <w:pStyle w:val="OIMRapportNummering"/>
      <w:lvlText w:val="●"/>
      <w:lvlJc w:val="left"/>
      <w:pPr>
        <w:ind w:left="283" w:hanging="283"/>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D817033F"/>
    <w:multiLevelType w:val="multilevel"/>
    <w:tmpl w:val="FCC5D4C3"/>
    <w:name w:val="NEa opsomming (letters) 2"/>
    <w:lvl w:ilvl="0">
      <w:start w:val="1"/>
      <w:numFmt w:val="lowerLetter"/>
      <w:pStyle w:val="NEaopsommingletters"/>
      <w:lvlText w:val="%1."/>
      <w:lvlJc w:val="left"/>
      <w:pPr>
        <w:ind w:left="720" w:hanging="72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DC1EB852"/>
    <w:multiLevelType w:val="multilevel"/>
    <w:tmpl w:val="A50AC609"/>
    <w:name w:val="NEa opsomming extra lijst"/>
    <w:lvl w:ilvl="0">
      <w:start w:val="1"/>
      <w:numFmt w:val="decimal"/>
      <w:pStyle w:val="NEaopsommingextra"/>
      <w:lvlText w:val="%1."/>
      <w:lvlJc w:val="left"/>
      <w:pPr>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01414321"/>
    <w:multiLevelType w:val="multilevel"/>
    <w:tmpl w:val="4AF97A46"/>
    <w:name w:val="NEa opsomming"/>
    <w:lvl w:ilvl="0">
      <w:start w:val="1"/>
      <w:numFmt w:val="decimal"/>
      <w:pStyle w:val="NEastandaardopsomming"/>
      <w:lvlText w:val="%1."/>
      <w:lvlJc w:val="left"/>
      <w:pPr>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0316252D"/>
    <w:multiLevelType w:val="hybridMultilevel"/>
    <w:tmpl w:val="D130B886"/>
    <w:lvl w:ilvl="0" w:tplc="5E6CB058">
      <w:numFmt w:val="bullet"/>
      <w:lvlText w:val="-"/>
      <w:lvlJc w:val="left"/>
      <w:pPr>
        <w:ind w:left="720" w:hanging="360"/>
      </w:pPr>
      <w:rPr>
        <w:rFonts w:ascii="Verdana" w:eastAsia="DejaVu Sans" w:hAnsi="Verdana" w:cs="Lohit Hin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06483486"/>
    <w:multiLevelType w:val="multilevel"/>
    <w:tmpl w:val="567C5900"/>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9" w15:restartNumberingAfterBreak="0">
    <w:nsid w:val="110A5FC3"/>
    <w:multiLevelType w:val="hybridMultilevel"/>
    <w:tmpl w:val="2FBA6AA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18315750"/>
    <w:multiLevelType w:val="hybridMultilevel"/>
    <w:tmpl w:val="AADC363C"/>
    <w:lvl w:ilvl="0" w:tplc="04130001">
      <w:start w:val="1"/>
      <w:numFmt w:val="bullet"/>
      <w:lvlText w:val=""/>
      <w:lvlJc w:val="left"/>
      <w:pPr>
        <w:ind w:left="1428" w:hanging="360"/>
      </w:pPr>
      <w:rPr>
        <w:rFonts w:ascii="Symbol" w:hAnsi="Symbol" w:hint="default"/>
      </w:rPr>
    </w:lvl>
    <w:lvl w:ilvl="1" w:tplc="04130003">
      <w:start w:val="1"/>
      <w:numFmt w:val="bullet"/>
      <w:lvlText w:val="o"/>
      <w:lvlJc w:val="left"/>
      <w:pPr>
        <w:ind w:left="2148" w:hanging="360"/>
      </w:pPr>
      <w:rPr>
        <w:rFonts w:ascii="Courier New" w:hAnsi="Courier New" w:cs="Courier New" w:hint="default"/>
      </w:rPr>
    </w:lvl>
    <w:lvl w:ilvl="2" w:tplc="04130005" w:tentative="1">
      <w:start w:val="1"/>
      <w:numFmt w:val="bullet"/>
      <w:lvlText w:val=""/>
      <w:lvlJc w:val="left"/>
      <w:pPr>
        <w:ind w:left="2868" w:hanging="360"/>
      </w:pPr>
      <w:rPr>
        <w:rFonts w:ascii="Wingdings" w:hAnsi="Wingdings" w:hint="default"/>
      </w:rPr>
    </w:lvl>
    <w:lvl w:ilvl="3" w:tplc="04130001" w:tentative="1">
      <w:start w:val="1"/>
      <w:numFmt w:val="bullet"/>
      <w:lvlText w:val=""/>
      <w:lvlJc w:val="left"/>
      <w:pPr>
        <w:ind w:left="3588" w:hanging="360"/>
      </w:pPr>
      <w:rPr>
        <w:rFonts w:ascii="Symbol" w:hAnsi="Symbol" w:hint="default"/>
      </w:rPr>
    </w:lvl>
    <w:lvl w:ilvl="4" w:tplc="04130003" w:tentative="1">
      <w:start w:val="1"/>
      <w:numFmt w:val="bullet"/>
      <w:lvlText w:val="o"/>
      <w:lvlJc w:val="left"/>
      <w:pPr>
        <w:ind w:left="4308" w:hanging="360"/>
      </w:pPr>
      <w:rPr>
        <w:rFonts w:ascii="Courier New" w:hAnsi="Courier New" w:cs="Courier New" w:hint="default"/>
      </w:rPr>
    </w:lvl>
    <w:lvl w:ilvl="5" w:tplc="04130005" w:tentative="1">
      <w:start w:val="1"/>
      <w:numFmt w:val="bullet"/>
      <w:lvlText w:val=""/>
      <w:lvlJc w:val="left"/>
      <w:pPr>
        <w:ind w:left="5028" w:hanging="360"/>
      </w:pPr>
      <w:rPr>
        <w:rFonts w:ascii="Wingdings" w:hAnsi="Wingdings" w:hint="default"/>
      </w:rPr>
    </w:lvl>
    <w:lvl w:ilvl="6" w:tplc="04130001" w:tentative="1">
      <w:start w:val="1"/>
      <w:numFmt w:val="bullet"/>
      <w:lvlText w:val=""/>
      <w:lvlJc w:val="left"/>
      <w:pPr>
        <w:ind w:left="5748" w:hanging="360"/>
      </w:pPr>
      <w:rPr>
        <w:rFonts w:ascii="Symbol" w:hAnsi="Symbol" w:hint="default"/>
      </w:rPr>
    </w:lvl>
    <w:lvl w:ilvl="7" w:tplc="04130003" w:tentative="1">
      <w:start w:val="1"/>
      <w:numFmt w:val="bullet"/>
      <w:lvlText w:val="o"/>
      <w:lvlJc w:val="left"/>
      <w:pPr>
        <w:ind w:left="6468" w:hanging="360"/>
      </w:pPr>
      <w:rPr>
        <w:rFonts w:ascii="Courier New" w:hAnsi="Courier New" w:cs="Courier New" w:hint="default"/>
      </w:rPr>
    </w:lvl>
    <w:lvl w:ilvl="8" w:tplc="04130005" w:tentative="1">
      <w:start w:val="1"/>
      <w:numFmt w:val="bullet"/>
      <w:lvlText w:val=""/>
      <w:lvlJc w:val="left"/>
      <w:pPr>
        <w:ind w:left="7188" w:hanging="360"/>
      </w:pPr>
      <w:rPr>
        <w:rFonts w:ascii="Wingdings" w:hAnsi="Wingdings" w:hint="default"/>
      </w:rPr>
    </w:lvl>
  </w:abstractNum>
  <w:abstractNum w:abstractNumId="11" w15:restartNumberingAfterBreak="0">
    <w:nsid w:val="1E0E245C"/>
    <w:multiLevelType w:val="hybridMultilevel"/>
    <w:tmpl w:val="02A277CA"/>
    <w:lvl w:ilvl="0" w:tplc="D6C86376">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1F2B646B"/>
    <w:multiLevelType w:val="hybridMultilevel"/>
    <w:tmpl w:val="8E6EAC9C"/>
    <w:lvl w:ilvl="0" w:tplc="FF4EDB66">
      <w:numFmt w:val="bullet"/>
      <w:lvlText w:val=""/>
      <w:lvlJc w:val="left"/>
      <w:pPr>
        <w:ind w:left="720" w:hanging="360"/>
      </w:pPr>
      <w:rPr>
        <w:rFonts w:ascii="Symbol" w:eastAsia="DejaVu Sans" w:hAnsi="Symbol" w:cs="Lohit Hindi"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24A168C3"/>
    <w:multiLevelType w:val="hybridMultilevel"/>
    <w:tmpl w:val="58308D4A"/>
    <w:lvl w:ilvl="0" w:tplc="CE2277FA">
      <w:start w:val="2"/>
      <w:numFmt w:val="bullet"/>
      <w:lvlText w:val="-"/>
      <w:lvlJc w:val="left"/>
      <w:pPr>
        <w:ind w:left="720" w:hanging="360"/>
      </w:pPr>
      <w:rPr>
        <w:rFonts w:ascii="Verdana" w:eastAsia="DejaVu Sans" w:hAnsi="Verdana" w:cs="Lohit Hindi"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251555FD"/>
    <w:multiLevelType w:val="hybridMultilevel"/>
    <w:tmpl w:val="BAE8EB62"/>
    <w:lvl w:ilvl="0" w:tplc="AB4AD9C4">
      <w:start w:val="4"/>
      <w:numFmt w:val="bullet"/>
      <w:lvlText w:val="-"/>
      <w:lvlJc w:val="left"/>
      <w:pPr>
        <w:ind w:left="720" w:hanging="360"/>
      </w:pPr>
      <w:rPr>
        <w:rFonts w:ascii="Verdana" w:eastAsia="DejaVu Sans" w:hAnsi="Verdana" w:cs="Lohit Hin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2595F004"/>
    <w:multiLevelType w:val="multilevel"/>
    <w:tmpl w:val="6B740BB2"/>
    <w:name w:val="ILT Opsomming lijst"/>
    <w:lvl w:ilvl="0">
      <w:start w:val="1"/>
      <w:numFmt w:val="decimal"/>
      <w:pStyle w:val="ILTOpsomming"/>
      <w:lvlText w:val="%1."/>
      <w:lvlJc w:val="left"/>
      <w:pPr>
        <w:ind w:left="740" w:hanging="380"/>
      </w:pPr>
    </w:lvl>
    <w:lvl w:ilvl="1">
      <w:start w:val="1"/>
      <w:numFmt w:val="decimal"/>
      <w:pStyle w:val="ILTOpsomming15"/>
      <w:lvlText w:val="%2."/>
      <w:lvlJc w:val="left"/>
      <w:pPr>
        <w:ind w:left="760" w:hanging="400"/>
      </w:pPr>
    </w:lvl>
    <w:lvl w:ilvl="2">
      <w:start w:val="1"/>
      <w:numFmt w:val="bullet"/>
      <w:pStyle w:val="ILTOpsommingbullet"/>
      <w:lvlText w:val="●"/>
      <w:lvlJc w:val="left"/>
      <w:pPr>
        <w:ind w:left="284" w:hanging="284"/>
      </w:p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259E3978"/>
    <w:multiLevelType w:val="multilevel"/>
    <w:tmpl w:val="58A01AD9"/>
    <w:name w:val="OIM Rapport hfst en paragraafnummering"/>
    <w:lvl w:ilvl="0">
      <w:start w:val="1"/>
      <w:numFmt w:val="decimal"/>
      <w:pStyle w:val="OIMRapportHoofdstuk"/>
      <w:lvlText w:val="%1."/>
      <w:lvlJc w:val="left"/>
      <w:pPr>
        <w:ind w:left="0" w:hanging="1120"/>
      </w:pPr>
    </w:lvl>
    <w:lvl w:ilvl="1">
      <w:start w:val="1"/>
      <w:numFmt w:val="decimal"/>
      <w:pStyle w:val="OIMRapportParagraaf"/>
      <w:lvlText w:val="%1.%2."/>
      <w:lvlJc w:val="left"/>
      <w:pPr>
        <w:ind w:left="0" w:hanging="1120"/>
      </w:pPr>
    </w:lvl>
    <w:lvl w:ilvl="2">
      <w:start w:val="1"/>
      <w:numFmt w:val="decimal"/>
      <w:pStyle w:val="OIMRapportAlineakop"/>
      <w:lvlText w:val="%1.%2.%3."/>
      <w:lvlJc w:val="left"/>
      <w:pPr>
        <w:ind w:left="0" w:hanging="1120"/>
      </w:p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28C0E028"/>
    <w:multiLevelType w:val="multilevel"/>
    <w:tmpl w:val="1E0DF438"/>
    <w:name w:val="DP opsomming"/>
    <w:lvl w:ilvl="0">
      <w:start w:val="1"/>
      <w:numFmt w:val="decimal"/>
      <w:pStyle w:val="DPstandaardopsomming"/>
      <w:lvlText w:val="%1."/>
      <w:lvlJc w:val="left"/>
      <w:pPr>
        <w:ind w:left="360" w:hanging="360"/>
      </w:pPr>
    </w:lvl>
    <w:lvl w:ilvl="1">
      <w:start w:val="1"/>
      <w:numFmt w:val="decimal"/>
      <w:pStyle w:val="DPstandaardopsomming2"/>
      <w:lvlText w:val="%2."/>
      <w:lvlJc w:val="left"/>
      <w:pPr>
        <w:ind w:left="740" w:hanging="340"/>
      </w:p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2D9C73F7"/>
    <w:multiLevelType w:val="hybridMultilevel"/>
    <w:tmpl w:val="5BF2B5C0"/>
    <w:lvl w:ilvl="0" w:tplc="B53C6CAC">
      <w:start w:val="5"/>
      <w:numFmt w:val="bullet"/>
      <w:lvlText w:val="-"/>
      <w:lvlJc w:val="left"/>
      <w:pPr>
        <w:ind w:left="720" w:hanging="360"/>
      </w:pPr>
      <w:rPr>
        <w:rFonts w:ascii="Verdana" w:eastAsia="DejaVu Sans" w:hAnsi="Verdana" w:cs="Lohit Hin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362D1A3E"/>
    <w:multiLevelType w:val="hybridMultilevel"/>
    <w:tmpl w:val="0C849400"/>
    <w:lvl w:ilvl="0" w:tplc="88C09AAA">
      <w:start w:val="2"/>
      <w:numFmt w:val="bullet"/>
      <w:lvlText w:val="-"/>
      <w:lvlJc w:val="left"/>
      <w:pPr>
        <w:ind w:left="720" w:hanging="360"/>
      </w:pPr>
      <w:rPr>
        <w:rFonts w:ascii="Verdana" w:eastAsia="DejaVu Sans" w:hAnsi="Verdana" w:cs="Lohit Hin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15:restartNumberingAfterBreak="0">
    <w:nsid w:val="3FD700D7"/>
    <w:multiLevelType w:val="multilevel"/>
    <w:tmpl w:val="7116E84D"/>
    <w:name w:val="NEa Opsommingsteken korte streep"/>
    <w:lvl w:ilvl="0">
      <w:start w:val="1"/>
      <w:numFmt w:val="decimal"/>
      <w:pStyle w:val="NEaOpsommingstekst"/>
      <w:lvlText w:val="-"/>
      <w:lvlJc w:val="left"/>
      <w:pPr>
        <w:ind w:left="353" w:hanging="353"/>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41D3B978"/>
    <w:multiLevelType w:val="multilevel"/>
    <w:tmpl w:val="BC158AF4"/>
    <w:name w:val="NEa memo bestuur opsomming"/>
    <w:lvl w:ilvl="0">
      <w:start w:val="1"/>
      <w:numFmt w:val="none"/>
      <w:pStyle w:val="NEamemobestuur"/>
      <w:lvlText w:val="-%1"/>
      <w:lvlJc w:val="left"/>
      <w:pPr>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46D69C55"/>
    <w:multiLevelType w:val="multilevel"/>
    <w:tmpl w:val="7158F184"/>
    <w:name w:val="ANVS - Hoofdstuknummering"/>
    <w:lvl w:ilvl="0">
      <w:start w:val="1"/>
      <w:numFmt w:val="decimal"/>
      <w:pStyle w:val="ANVS-Hoofdstuk"/>
      <w:lvlText w:val="%1"/>
      <w:lvlJc w:val="left"/>
      <w:pPr>
        <w:ind w:left="0" w:hanging="1020"/>
      </w:pPr>
    </w:lvl>
    <w:lvl w:ilvl="1">
      <w:start w:val="1"/>
      <w:numFmt w:val="decimal"/>
      <w:pStyle w:val="ANVS-Paragraaf"/>
      <w:lvlText w:val="%1.%2."/>
      <w:lvlJc w:val="left"/>
      <w:pPr>
        <w:ind w:left="0" w:hanging="1020"/>
      </w:pPr>
    </w:lvl>
    <w:lvl w:ilvl="2">
      <w:start w:val="1"/>
      <w:numFmt w:val="decimal"/>
      <w:pStyle w:val="ANVS-Subparagraaf"/>
      <w:lvlText w:val="%1.%2.%3."/>
      <w:lvlJc w:val="left"/>
      <w:pPr>
        <w:ind w:left="0" w:hanging="1020"/>
      </w:pPr>
    </w:lvl>
    <w:lvl w:ilvl="3">
      <w:start w:val="1"/>
      <w:numFmt w:val="decimal"/>
      <w:pStyle w:val="ANVS-Subsubparagraaf"/>
      <w:lvlText w:val="%1.%2.%3.%4."/>
      <w:lvlJc w:val="left"/>
      <w:pPr>
        <w:ind w:left="0" w:hanging="1020"/>
      </w:p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49A95684"/>
    <w:multiLevelType w:val="multilevel"/>
    <w:tmpl w:val="E3B989CF"/>
    <w:name w:val="ANVS - Opsomming"/>
    <w:lvl w:ilvl="0">
      <w:start w:val="1"/>
      <w:numFmt w:val="bullet"/>
      <w:pStyle w:val="ANVS-Opsommingstekens"/>
      <w:lvlText w:val="●"/>
      <w:lvlJc w:val="left"/>
      <w:pPr>
        <w:ind w:left="226" w:hanging="226"/>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4A3DB623"/>
    <w:multiLevelType w:val="multilevel"/>
    <w:tmpl w:val="1D484E53"/>
    <w:name w:val="ILT Rapport 16a nummering"/>
    <w:lvl w:ilvl="0">
      <w:start w:val="1"/>
      <w:numFmt w:val="decimal"/>
      <w:pStyle w:val="ILTRapportnummerniv1"/>
      <w:lvlText w:val="%1."/>
      <w:lvlJc w:val="left"/>
      <w:pPr>
        <w:ind w:left="0" w:hanging="1120"/>
      </w:pPr>
    </w:lvl>
    <w:lvl w:ilvl="1">
      <w:start w:val="1"/>
      <w:numFmt w:val="decimal"/>
      <w:pStyle w:val="ILTRapport-je"/>
      <w:lvlText w:val="-"/>
      <w:lvlJc w:val="left"/>
      <w:pPr>
        <w:ind w:left="280" w:hanging="280"/>
      </w:p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4B8A32EF"/>
    <w:multiLevelType w:val="multilevel"/>
    <w:tmpl w:val="07E0C25E"/>
    <w:name w:val="Huisstijl nummering zonder nummer"/>
    <w:lvl w:ilvl="0">
      <w:start w:val="1"/>
      <w:numFmt w:val="bullet"/>
      <w:pStyle w:val="Huisstijl-Kopznr1"/>
      <w:lvlText w:val="●"/>
      <w:lvlJc w:val="left"/>
      <w:pPr>
        <w:ind w:left="0" w:firstLine="0"/>
      </w:pPr>
      <w:rPr>
        <w:color w:val="FFFFFF"/>
      </w:rPr>
    </w:lvl>
    <w:lvl w:ilvl="1">
      <w:start w:val="1"/>
      <w:numFmt w:val="bullet"/>
      <w:pStyle w:val="Huisstijl-Kopznr2"/>
      <w:lvlText w:val="●"/>
      <w:lvlJc w:val="left"/>
      <w:pPr>
        <w:ind w:left="0" w:firstLine="0"/>
      </w:pPr>
      <w:rPr>
        <w:color w:val="FFFFFF"/>
      </w:rPr>
    </w:lvl>
    <w:lvl w:ilvl="2">
      <w:start w:val="1"/>
      <w:numFmt w:val="bullet"/>
      <w:pStyle w:val="Huisstijl-Kopznr3"/>
      <w:lvlText w:val="●"/>
      <w:lvlJc w:val="left"/>
      <w:pPr>
        <w:ind w:left="0" w:firstLine="0"/>
      </w:pPr>
      <w:rPr>
        <w:color w:val="FFFFFF"/>
      </w:rPr>
    </w:lvl>
    <w:lvl w:ilvl="3">
      <w:start w:val="1"/>
      <w:numFmt w:val="bullet"/>
      <w:pStyle w:val="Huisstijl-Kopznr4"/>
      <w:lvlText w:val="●"/>
      <w:lvlJc w:val="left"/>
      <w:pPr>
        <w:ind w:left="0" w:firstLine="0"/>
      </w:pPr>
      <w:rPr>
        <w:color w:val="FFFFFF"/>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4BF67404"/>
    <w:multiLevelType w:val="hybridMultilevel"/>
    <w:tmpl w:val="E64A5D5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7" w15:restartNumberingAfterBreak="0">
    <w:nsid w:val="553FC7E2"/>
    <w:multiLevelType w:val="multilevel"/>
    <w:tmpl w:val="617B2EA1"/>
    <w:name w:val="Huisstijl nummering met nummer"/>
    <w:lvl w:ilvl="0">
      <w:start w:val="1"/>
      <w:numFmt w:val="decimal"/>
      <w:pStyle w:val="Huisstijl-Kop1"/>
      <w:lvlText w:val="%1"/>
      <w:lvlJc w:val="left"/>
      <w:pPr>
        <w:ind w:left="0" w:firstLine="0"/>
      </w:pPr>
    </w:lvl>
    <w:lvl w:ilvl="1">
      <w:start w:val="1"/>
      <w:numFmt w:val="decimal"/>
      <w:pStyle w:val="Huisstijl-Kop2"/>
      <w:lvlText w:val="%1.%2"/>
      <w:lvlJc w:val="left"/>
      <w:pPr>
        <w:ind w:left="0" w:firstLine="0"/>
      </w:pPr>
    </w:lvl>
    <w:lvl w:ilvl="2">
      <w:start w:val="1"/>
      <w:numFmt w:val="decimal"/>
      <w:pStyle w:val="Huisstijl-Kop3"/>
      <w:lvlText w:val="%1.%2.%3"/>
      <w:lvlJc w:val="left"/>
      <w:pPr>
        <w:ind w:left="0" w:firstLine="0"/>
      </w:pPr>
    </w:lvl>
    <w:lvl w:ilvl="3">
      <w:start w:val="1"/>
      <w:numFmt w:val="decimal"/>
      <w:pStyle w:val="Huisstijl-Kop4"/>
      <w:lvlText w:val="%1.%2.%3.%4"/>
      <w:lvlJc w:val="left"/>
      <w:pPr>
        <w:ind w:left="0" w:firstLine="0"/>
      </w:p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594B761F"/>
    <w:multiLevelType w:val="multilevel"/>
    <w:tmpl w:val="69E5EB02"/>
    <w:name w:val="OIM Rapport Nummerlijst"/>
    <w:lvl w:ilvl="0">
      <w:start w:val="1"/>
      <w:numFmt w:val="decimal"/>
      <w:lvlText w:val="%1."/>
      <w:lvlJc w:val="left"/>
      <w:pPr>
        <w:ind w:left="283" w:hanging="283"/>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15:restartNumberingAfterBreak="0">
    <w:nsid w:val="5BE23AD0"/>
    <w:multiLevelType w:val="multilevel"/>
    <w:tmpl w:val="00041526"/>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0" w15:restartNumberingAfterBreak="0">
    <w:nsid w:val="5EDB3B9A"/>
    <w:multiLevelType w:val="multilevel"/>
    <w:tmpl w:val="46B4E130"/>
    <w:lvl w:ilvl="0">
      <w:start w:val="2"/>
      <w:numFmt w:val="decimal"/>
      <w:lvlText w:val="%1"/>
      <w:lvlJc w:val="left"/>
      <w:pPr>
        <w:ind w:left="360" w:hanging="360"/>
      </w:pPr>
      <w:rPr>
        <w:rFonts w:hint="default"/>
        <w:i w:val="0"/>
      </w:rPr>
    </w:lvl>
    <w:lvl w:ilvl="1">
      <w:start w:val="1"/>
      <w:numFmt w:val="decimal"/>
      <w:lvlText w:val="%1.%2"/>
      <w:lvlJc w:val="left"/>
      <w:pPr>
        <w:ind w:left="360" w:hanging="360"/>
      </w:pPr>
      <w:rPr>
        <w:rFonts w:hint="default"/>
        <w:i/>
        <w:iCs w:val="0"/>
        <w:sz w:val="18"/>
        <w:szCs w:val="18"/>
      </w:rPr>
    </w:lvl>
    <w:lvl w:ilvl="2">
      <w:start w:val="1"/>
      <w:numFmt w:val="decimal"/>
      <w:lvlText w:val="%1.%2.%3"/>
      <w:lvlJc w:val="left"/>
      <w:pPr>
        <w:ind w:left="720" w:hanging="720"/>
      </w:pPr>
      <w:rPr>
        <w:rFonts w:hint="default"/>
        <w:i w:val="0"/>
      </w:rPr>
    </w:lvl>
    <w:lvl w:ilvl="3">
      <w:start w:val="1"/>
      <w:numFmt w:val="decimal"/>
      <w:lvlText w:val="%1.%2.%3.%4"/>
      <w:lvlJc w:val="left"/>
      <w:pPr>
        <w:ind w:left="1080" w:hanging="1080"/>
      </w:pPr>
      <w:rPr>
        <w:rFonts w:hint="default"/>
        <w:i w:val="0"/>
      </w:rPr>
    </w:lvl>
    <w:lvl w:ilvl="4">
      <w:start w:val="1"/>
      <w:numFmt w:val="decimal"/>
      <w:lvlText w:val="%1.%2.%3.%4.%5"/>
      <w:lvlJc w:val="left"/>
      <w:pPr>
        <w:ind w:left="1080" w:hanging="1080"/>
      </w:pPr>
      <w:rPr>
        <w:rFonts w:hint="default"/>
        <w:i w:val="0"/>
      </w:rPr>
    </w:lvl>
    <w:lvl w:ilvl="5">
      <w:start w:val="1"/>
      <w:numFmt w:val="decimal"/>
      <w:lvlText w:val="%1.%2.%3.%4.%5.%6"/>
      <w:lvlJc w:val="left"/>
      <w:pPr>
        <w:ind w:left="1440" w:hanging="1440"/>
      </w:pPr>
      <w:rPr>
        <w:rFonts w:hint="default"/>
        <w:i w:val="0"/>
      </w:rPr>
    </w:lvl>
    <w:lvl w:ilvl="6">
      <w:start w:val="1"/>
      <w:numFmt w:val="decimal"/>
      <w:lvlText w:val="%1.%2.%3.%4.%5.%6.%7"/>
      <w:lvlJc w:val="left"/>
      <w:pPr>
        <w:ind w:left="1440" w:hanging="1440"/>
      </w:pPr>
      <w:rPr>
        <w:rFonts w:hint="default"/>
        <w:i w:val="0"/>
      </w:rPr>
    </w:lvl>
    <w:lvl w:ilvl="7">
      <w:start w:val="1"/>
      <w:numFmt w:val="decimal"/>
      <w:lvlText w:val="%1.%2.%3.%4.%5.%6.%7.%8"/>
      <w:lvlJc w:val="left"/>
      <w:pPr>
        <w:ind w:left="1800" w:hanging="1800"/>
      </w:pPr>
      <w:rPr>
        <w:rFonts w:hint="default"/>
        <w:i w:val="0"/>
      </w:rPr>
    </w:lvl>
    <w:lvl w:ilvl="8">
      <w:start w:val="1"/>
      <w:numFmt w:val="decimal"/>
      <w:lvlText w:val="%1.%2.%3.%4.%5.%6.%7.%8.%9"/>
      <w:lvlJc w:val="left"/>
      <w:pPr>
        <w:ind w:left="2160" w:hanging="2160"/>
      </w:pPr>
      <w:rPr>
        <w:rFonts w:hint="default"/>
        <w:i w:val="0"/>
      </w:rPr>
    </w:lvl>
  </w:abstractNum>
  <w:abstractNum w:abstractNumId="31" w15:restartNumberingAfterBreak="0">
    <w:nsid w:val="64B42CB7"/>
    <w:multiLevelType w:val="hybridMultilevel"/>
    <w:tmpl w:val="ED22DA6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2" w15:restartNumberingAfterBreak="0">
    <w:nsid w:val="690A01FA"/>
    <w:multiLevelType w:val="hybridMultilevel"/>
    <w:tmpl w:val="4B94D498"/>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3" w15:restartNumberingAfterBreak="0">
    <w:nsid w:val="72D65AB8"/>
    <w:multiLevelType w:val="multilevel"/>
    <w:tmpl w:val="B5214243"/>
    <w:name w:val="SSF nummering overeenkomst"/>
    <w:lvl w:ilvl="0">
      <w:start w:val="1"/>
      <w:numFmt w:val="decimal"/>
      <w:pStyle w:val="SSFNummeringKredietovereenkomst"/>
      <w:lvlText w:val="%1"/>
      <w:lvlJc w:val="left"/>
      <w:pPr>
        <w:ind w:left="720" w:hanging="72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15:restartNumberingAfterBreak="0">
    <w:nsid w:val="75E1D513"/>
    <w:multiLevelType w:val="multilevel"/>
    <w:tmpl w:val="2062C296"/>
    <w:name w:val="ANVS - Inhoudsopgave 9"/>
    <w:lvl w:ilvl="0">
      <w:start w:val="1"/>
      <w:numFmt w:val="bullet"/>
      <w:pStyle w:val="ANVS-Hoofdstukongenummerd"/>
      <w:lvlText w:val="●"/>
      <w:lvlJc w:val="left"/>
      <w:pPr>
        <w:ind w:left="0" w:hanging="1020"/>
      </w:pPr>
      <w:rPr>
        <w:color w:va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15:restartNumberingAfterBreak="0">
    <w:nsid w:val="760A2680"/>
    <w:multiLevelType w:val="hybridMultilevel"/>
    <w:tmpl w:val="761A34A2"/>
    <w:lvl w:ilvl="0" w:tplc="C352C3D6">
      <w:start w:val="2"/>
      <w:numFmt w:val="bullet"/>
      <w:lvlText w:val="-"/>
      <w:lvlJc w:val="left"/>
      <w:pPr>
        <w:ind w:left="720" w:hanging="360"/>
      </w:pPr>
      <w:rPr>
        <w:rFonts w:ascii="Verdana" w:eastAsia="DejaVu Sans" w:hAnsi="Verdana" w:cs="Lohit Hin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6" w15:restartNumberingAfterBreak="0">
    <w:nsid w:val="78AD520A"/>
    <w:multiLevelType w:val="multilevel"/>
    <w:tmpl w:val="0D88901C"/>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7" w15:restartNumberingAfterBreak="0">
    <w:nsid w:val="7E46A1D9"/>
    <w:multiLevelType w:val="multilevel"/>
    <w:tmpl w:val="8518B3C8"/>
    <w:name w:val="Huisstijl - Bijlage A"/>
    <w:lvl w:ilvl="0">
      <w:start w:val="1"/>
      <w:numFmt w:val="upperLetter"/>
      <w:pStyle w:val="Huisstijl-Bijlage"/>
      <w:lvlText w:val="Bijlage %1"/>
      <w:lvlJc w:val="left"/>
      <w:pPr>
        <w:ind w:left="0" w:hanging="142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8" w15:restartNumberingAfterBreak="0">
    <w:nsid w:val="7E9459CC"/>
    <w:multiLevelType w:val="multilevel"/>
    <w:tmpl w:val="7BE0B540"/>
    <w:lvl w:ilvl="0">
      <w:start w:val="1"/>
      <w:numFmt w:val="decimal"/>
      <w:lvlText w:val="%1."/>
      <w:lvlJc w:val="left"/>
      <w:pPr>
        <w:ind w:left="420" w:hanging="420"/>
      </w:pPr>
      <w:rPr>
        <w:rFonts w:hint="default"/>
      </w:rPr>
    </w:lvl>
    <w:lvl w:ilvl="1">
      <w:start w:val="1"/>
      <w:numFmt w:val="decimal"/>
      <w:lvlText w:val="%1.%2."/>
      <w:lvlJc w:val="left"/>
      <w:pPr>
        <w:ind w:left="1428" w:hanging="72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3204" w:hanging="108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6048" w:hanging="180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39" w15:restartNumberingAfterBreak="0">
    <w:nsid w:val="7FD43EA9"/>
    <w:multiLevelType w:val="hybridMultilevel"/>
    <w:tmpl w:val="43E05A74"/>
    <w:lvl w:ilvl="0" w:tplc="8950399A">
      <w:start w:val="1"/>
      <w:numFmt w:val="decimal"/>
      <w:lvlText w:val="%1)"/>
      <w:lvlJc w:val="left"/>
      <w:pPr>
        <w:ind w:left="1160" w:hanging="360"/>
      </w:pPr>
    </w:lvl>
    <w:lvl w:ilvl="1" w:tplc="2014135A">
      <w:start w:val="1"/>
      <w:numFmt w:val="decimal"/>
      <w:lvlText w:val="%2)"/>
      <w:lvlJc w:val="left"/>
      <w:pPr>
        <w:ind w:left="1160" w:hanging="360"/>
      </w:pPr>
    </w:lvl>
    <w:lvl w:ilvl="2" w:tplc="D048DA4E">
      <w:start w:val="1"/>
      <w:numFmt w:val="decimal"/>
      <w:lvlText w:val="%3)"/>
      <w:lvlJc w:val="left"/>
      <w:pPr>
        <w:ind w:left="1160" w:hanging="360"/>
      </w:pPr>
    </w:lvl>
    <w:lvl w:ilvl="3" w:tplc="939EA91A">
      <w:start w:val="1"/>
      <w:numFmt w:val="decimal"/>
      <w:lvlText w:val="%4)"/>
      <w:lvlJc w:val="left"/>
      <w:pPr>
        <w:ind w:left="1160" w:hanging="360"/>
      </w:pPr>
    </w:lvl>
    <w:lvl w:ilvl="4" w:tplc="DDE41812">
      <w:start w:val="1"/>
      <w:numFmt w:val="decimal"/>
      <w:lvlText w:val="%5)"/>
      <w:lvlJc w:val="left"/>
      <w:pPr>
        <w:ind w:left="1160" w:hanging="360"/>
      </w:pPr>
    </w:lvl>
    <w:lvl w:ilvl="5" w:tplc="CC381A3C">
      <w:start w:val="1"/>
      <w:numFmt w:val="decimal"/>
      <w:lvlText w:val="%6)"/>
      <w:lvlJc w:val="left"/>
      <w:pPr>
        <w:ind w:left="1160" w:hanging="360"/>
      </w:pPr>
    </w:lvl>
    <w:lvl w:ilvl="6" w:tplc="F3D85606">
      <w:start w:val="1"/>
      <w:numFmt w:val="decimal"/>
      <w:lvlText w:val="%7)"/>
      <w:lvlJc w:val="left"/>
      <w:pPr>
        <w:ind w:left="1160" w:hanging="360"/>
      </w:pPr>
    </w:lvl>
    <w:lvl w:ilvl="7" w:tplc="88884830">
      <w:start w:val="1"/>
      <w:numFmt w:val="decimal"/>
      <w:lvlText w:val="%8)"/>
      <w:lvlJc w:val="left"/>
      <w:pPr>
        <w:ind w:left="1160" w:hanging="360"/>
      </w:pPr>
    </w:lvl>
    <w:lvl w:ilvl="8" w:tplc="BC766DCA">
      <w:start w:val="1"/>
      <w:numFmt w:val="decimal"/>
      <w:lvlText w:val="%9)"/>
      <w:lvlJc w:val="left"/>
      <w:pPr>
        <w:ind w:left="1160" w:hanging="360"/>
      </w:pPr>
    </w:lvl>
  </w:abstractNum>
  <w:num w:numId="1">
    <w:abstractNumId w:val="22"/>
  </w:num>
  <w:num w:numId="2">
    <w:abstractNumId w:val="34"/>
  </w:num>
  <w:num w:numId="3">
    <w:abstractNumId w:val="23"/>
  </w:num>
  <w:num w:numId="4">
    <w:abstractNumId w:val="17"/>
  </w:num>
  <w:num w:numId="5">
    <w:abstractNumId w:val="37"/>
  </w:num>
  <w:num w:numId="6">
    <w:abstractNumId w:val="27"/>
  </w:num>
  <w:num w:numId="7">
    <w:abstractNumId w:val="25"/>
  </w:num>
  <w:num w:numId="8">
    <w:abstractNumId w:val="2"/>
  </w:num>
  <w:num w:numId="9">
    <w:abstractNumId w:val="15"/>
  </w:num>
  <w:num w:numId="10">
    <w:abstractNumId w:val="24"/>
  </w:num>
  <w:num w:numId="11">
    <w:abstractNumId w:val="21"/>
  </w:num>
  <w:num w:numId="12">
    <w:abstractNumId w:val="6"/>
  </w:num>
  <w:num w:numId="13">
    <w:abstractNumId w:val="4"/>
  </w:num>
  <w:num w:numId="14">
    <w:abstractNumId w:val="5"/>
  </w:num>
  <w:num w:numId="15">
    <w:abstractNumId w:val="20"/>
  </w:num>
  <w:num w:numId="16">
    <w:abstractNumId w:val="16"/>
  </w:num>
  <w:num w:numId="17">
    <w:abstractNumId w:val="28"/>
  </w:num>
  <w:num w:numId="18">
    <w:abstractNumId w:val="3"/>
  </w:num>
  <w:num w:numId="19">
    <w:abstractNumId w:val="33"/>
  </w:num>
  <w:num w:numId="20">
    <w:abstractNumId w:val="1"/>
  </w:num>
  <w:num w:numId="21">
    <w:abstractNumId w:val="0"/>
  </w:num>
  <w:num w:numId="22">
    <w:abstractNumId w:val="19"/>
  </w:num>
  <w:num w:numId="23">
    <w:abstractNumId w:val="30"/>
  </w:num>
  <w:num w:numId="24">
    <w:abstractNumId w:val="26"/>
  </w:num>
  <w:num w:numId="25">
    <w:abstractNumId w:val="31"/>
  </w:num>
  <w:num w:numId="26">
    <w:abstractNumId w:val="32"/>
  </w:num>
  <w:num w:numId="27">
    <w:abstractNumId w:val="9"/>
  </w:num>
  <w:num w:numId="28">
    <w:abstractNumId w:val="36"/>
  </w:num>
  <w:num w:numId="29">
    <w:abstractNumId w:val="8"/>
  </w:num>
  <w:num w:numId="30">
    <w:abstractNumId w:val="29"/>
  </w:num>
  <w:num w:numId="31">
    <w:abstractNumId w:val="35"/>
  </w:num>
  <w:num w:numId="32">
    <w:abstractNumId w:val="13"/>
  </w:num>
  <w:num w:numId="33">
    <w:abstractNumId w:val="11"/>
  </w:num>
  <w:num w:numId="34">
    <w:abstractNumId w:val="7"/>
  </w:num>
  <w:num w:numId="35">
    <w:abstractNumId w:val="14"/>
  </w:num>
  <w:num w:numId="36">
    <w:abstractNumId w:val="12"/>
  </w:num>
  <w:num w:numId="37">
    <w:abstractNumId w:val="39"/>
  </w:num>
  <w:num w:numId="38">
    <w:abstractNumId w:val="10"/>
  </w:num>
  <w:num w:numId="39">
    <w:abstractNumId w:val="38"/>
  </w:num>
  <w:num w:numId="40">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attachedTemplate r:id="rId1"/>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E5712"/>
    <w:rsid w:val="000016D9"/>
    <w:rsid w:val="000123FB"/>
    <w:rsid w:val="00014D56"/>
    <w:rsid w:val="00015580"/>
    <w:rsid w:val="00025A15"/>
    <w:rsid w:val="00026DBC"/>
    <w:rsid w:val="00027905"/>
    <w:rsid w:val="00033E5A"/>
    <w:rsid w:val="00034F4D"/>
    <w:rsid w:val="00036855"/>
    <w:rsid w:val="0004768F"/>
    <w:rsid w:val="0005015F"/>
    <w:rsid w:val="00057638"/>
    <w:rsid w:val="00062AF6"/>
    <w:rsid w:val="0006642C"/>
    <w:rsid w:val="00084D5B"/>
    <w:rsid w:val="00090A23"/>
    <w:rsid w:val="0009644F"/>
    <w:rsid w:val="000A31EC"/>
    <w:rsid w:val="000A33B9"/>
    <w:rsid w:val="000A4A45"/>
    <w:rsid w:val="000B68E5"/>
    <w:rsid w:val="000B73A0"/>
    <w:rsid w:val="000C1E64"/>
    <w:rsid w:val="000C752E"/>
    <w:rsid w:val="000D34FF"/>
    <w:rsid w:val="000D4694"/>
    <w:rsid w:val="000D6368"/>
    <w:rsid w:val="000E0731"/>
    <w:rsid w:val="000E2289"/>
    <w:rsid w:val="000E2C1F"/>
    <w:rsid w:val="000E2E31"/>
    <w:rsid w:val="000E3831"/>
    <w:rsid w:val="000E5712"/>
    <w:rsid w:val="000F02DE"/>
    <w:rsid w:val="000F12AB"/>
    <w:rsid w:val="000F36A6"/>
    <w:rsid w:val="000F6FCA"/>
    <w:rsid w:val="001031F3"/>
    <w:rsid w:val="00106C3F"/>
    <w:rsid w:val="001118CD"/>
    <w:rsid w:val="0011274F"/>
    <w:rsid w:val="00116E30"/>
    <w:rsid w:val="00131606"/>
    <w:rsid w:val="001327A9"/>
    <w:rsid w:val="001327C3"/>
    <w:rsid w:val="00135480"/>
    <w:rsid w:val="00135E51"/>
    <w:rsid w:val="00141998"/>
    <w:rsid w:val="00146BFF"/>
    <w:rsid w:val="00160125"/>
    <w:rsid w:val="00175FFB"/>
    <w:rsid w:val="00195A6D"/>
    <w:rsid w:val="001962F8"/>
    <w:rsid w:val="00196C98"/>
    <w:rsid w:val="0019799B"/>
    <w:rsid w:val="001C02B2"/>
    <w:rsid w:val="001C3884"/>
    <w:rsid w:val="001C70E4"/>
    <w:rsid w:val="001C7586"/>
    <w:rsid w:val="001D2149"/>
    <w:rsid w:val="001D4DD5"/>
    <w:rsid w:val="001D6599"/>
    <w:rsid w:val="001D7B9B"/>
    <w:rsid w:val="001E2C90"/>
    <w:rsid w:val="001E3391"/>
    <w:rsid w:val="001E4756"/>
    <w:rsid w:val="001E5F54"/>
    <w:rsid w:val="001F3198"/>
    <w:rsid w:val="001F4583"/>
    <w:rsid w:val="00203B67"/>
    <w:rsid w:val="00211DAC"/>
    <w:rsid w:val="00220791"/>
    <w:rsid w:val="00221568"/>
    <w:rsid w:val="00223B01"/>
    <w:rsid w:val="0022458E"/>
    <w:rsid w:val="00226905"/>
    <w:rsid w:val="00231DB3"/>
    <w:rsid w:val="00235EB1"/>
    <w:rsid w:val="002548F1"/>
    <w:rsid w:val="00256CE9"/>
    <w:rsid w:val="00273636"/>
    <w:rsid w:val="002750CA"/>
    <w:rsid w:val="00286BC7"/>
    <w:rsid w:val="002878B4"/>
    <w:rsid w:val="00291A3E"/>
    <w:rsid w:val="002B20E9"/>
    <w:rsid w:val="002C0546"/>
    <w:rsid w:val="002C6A42"/>
    <w:rsid w:val="002D76BE"/>
    <w:rsid w:val="002D7979"/>
    <w:rsid w:val="002E1E39"/>
    <w:rsid w:val="002E2B45"/>
    <w:rsid w:val="002F70FA"/>
    <w:rsid w:val="00300C17"/>
    <w:rsid w:val="00305378"/>
    <w:rsid w:val="00315E93"/>
    <w:rsid w:val="003202AD"/>
    <w:rsid w:val="003202BC"/>
    <w:rsid w:val="003211FD"/>
    <w:rsid w:val="00346623"/>
    <w:rsid w:val="003510FF"/>
    <w:rsid w:val="00357845"/>
    <w:rsid w:val="003609ED"/>
    <w:rsid w:val="00373235"/>
    <w:rsid w:val="003766A2"/>
    <w:rsid w:val="0038165B"/>
    <w:rsid w:val="00381EC9"/>
    <w:rsid w:val="003853AF"/>
    <w:rsid w:val="00385C82"/>
    <w:rsid w:val="00392C45"/>
    <w:rsid w:val="003A29BB"/>
    <w:rsid w:val="003A50DE"/>
    <w:rsid w:val="003A586D"/>
    <w:rsid w:val="003C11C4"/>
    <w:rsid w:val="003C2BF8"/>
    <w:rsid w:val="003C4831"/>
    <w:rsid w:val="003E6192"/>
    <w:rsid w:val="004027DB"/>
    <w:rsid w:val="0040410E"/>
    <w:rsid w:val="0041478F"/>
    <w:rsid w:val="00421341"/>
    <w:rsid w:val="004240CC"/>
    <w:rsid w:val="00424F8F"/>
    <w:rsid w:val="0043062E"/>
    <w:rsid w:val="00441DB1"/>
    <w:rsid w:val="00441F86"/>
    <w:rsid w:val="00443073"/>
    <w:rsid w:val="00450959"/>
    <w:rsid w:val="00451752"/>
    <w:rsid w:val="004541DE"/>
    <w:rsid w:val="0046448C"/>
    <w:rsid w:val="00470AA8"/>
    <w:rsid w:val="00470EE3"/>
    <w:rsid w:val="004714C2"/>
    <w:rsid w:val="00474C0A"/>
    <w:rsid w:val="00484983"/>
    <w:rsid w:val="00486C2E"/>
    <w:rsid w:val="00497D74"/>
    <w:rsid w:val="004A2B35"/>
    <w:rsid w:val="004A305B"/>
    <w:rsid w:val="004C54C6"/>
    <w:rsid w:val="004C6022"/>
    <w:rsid w:val="004D28E9"/>
    <w:rsid w:val="004D5481"/>
    <w:rsid w:val="004D592E"/>
    <w:rsid w:val="004E3FD9"/>
    <w:rsid w:val="004E4827"/>
    <w:rsid w:val="004F4007"/>
    <w:rsid w:val="00511343"/>
    <w:rsid w:val="00514CD6"/>
    <w:rsid w:val="00541D81"/>
    <w:rsid w:val="00545118"/>
    <w:rsid w:val="00547BAB"/>
    <w:rsid w:val="005553C6"/>
    <w:rsid w:val="005623B3"/>
    <w:rsid w:val="00563330"/>
    <w:rsid w:val="00567254"/>
    <w:rsid w:val="00567F3E"/>
    <w:rsid w:val="005707CB"/>
    <w:rsid w:val="005712B9"/>
    <w:rsid w:val="00597312"/>
    <w:rsid w:val="005B45FB"/>
    <w:rsid w:val="005B5960"/>
    <w:rsid w:val="005D38A6"/>
    <w:rsid w:val="005E2493"/>
    <w:rsid w:val="005F2C5A"/>
    <w:rsid w:val="005F3034"/>
    <w:rsid w:val="005F7327"/>
    <w:rsid w:val="00602179"/>
    <w:rsid w:val="006031B6"/>
    <w:rsid w:val="00605299"/>
    <w:rsid w:val="00614D9E"/>
    <w:rsid w:val="00620FF4"/>
    <w:rsid w:val="00623BB4"/>
    <w:rsid w:val="00623ECB"/>
    <w:rsid w:val="006245A1"/>
    <w:rsid w:val="00624616"/>
    <w:rsid w:val="00642DC1"/>
    <w:rsid w:val="00643D1F"/>
    <w:rsid w:val="006473C8"/>
    <w:rsid w:val="006501F5"/>
    <w:rsid w:val="00650271"/>
    <w:rsid w:val="006513E4"/>
    <w:rsid w:val="00661F84"/>
    <w:rsid w:val="006666E2"/>
    <w:rsid w:val="006742BF"/>
    <w:rsid w:val="0067628F"/>
    <w:rsid w:val="006856A6"/>
    <w:rsid w:val="00687448"/>
    <w:rsid w:val="00692022"/>
    <w:rsid w:val="006947B9"/>
    <w:rsid w:val="00697468"/>
    <w:rsid w:val="006A554F"/>
    <w:rsid w:val="006A77FC"/>
    <w:rsid w:val="006B55E2"/>
    <w:rsid w:val="006B6FF1"/>
    <w:rsid w:val="006C2C16"/>
    <w:rsid w:val="006C5742"/>
    <w:rsid w:val="006C6583"/>
    <w:rsid w:val="006D1FBD"/>
    <w:rsid w:val="006E061F"/>
    <w:rsid w:val="006E1117"/>
    <w:rsid w:val="006E1F08"/>
    <w:rsid w:val="0072109E"/>
    <w:rsid w:val="00726E5B"/>
    <w:rsid w:val="00731D61"/>
    <w:rsid w:val="00747EA8"/>
    <w:rsid w:val="007647FB"/>
    <w:rsid w:val="0077003E"/>
    <w:rsid w:val="0077085B"/>
    <w:rsid w:val="007720B9"/>
    <w:rsid w:val="00786EEE"/>
    <w:rsid w:val="007A052A"/>
    <w:rsid w:val="007A0B62"/>
    <w:rsid w:val="007A2511"/>
    <w:rsid w:val="007A6843"/>
    <w:rsid w:val="007B6606"/>
    <w:rsid w:val="007B7CF0"/>
    <w:rsid w:val="007C21B9"/>
    <w:rsid w:val="007C6190"/>
    <w:rsid w:val="007D27E6"/>
    <w:rsid w:val="007D426B"/>
    <w:rsid w:val="007E4CC8"/>
    <w:rsid w:val="007E6D8A"/>
    <w:rsid w:val="00803750"/>
    <w:rsid w:val="00810980"/>
    <w:rsid w:val="008109FD"/>
    <w:rsid w:val="008178DF"/>
    <w:rsid w:val="00827061"/>
    <w:rsid w:val="00830384"/>
    <w:rsid w:val="008343D2"/>
    <w:rsid w:val="00842A28"/>
    <w:rsid w:val="00842FCC"/>
    <w:rsid w:val="00843065"/>
    <w:rsid w:val="008537F4"/>
    <w:rsid w:val="0085386A"/>
    <w:rsid w:val="00857966"/>
    <w:rsid w:val="00857B6A"/>
    <w:rsid w:val="008701BA"/>
    <w:rsid w:val="008749D4"/>
    <w:rsid w:val="00880800"/>
    <w:rsid w:val="00880C81"/>
    <w:rsid w:val="00883650"/>
    <w:rsid w:val="00884064"/>
    <w:rsid w:val="00893899"/>
    <w:rsid w:val="008A0C63"/>
    <w:rsid w:val="008A4CF9"/>
    <w:rsid w:val="008B3CF4"/>
    <w:rsid w:val="008C3D3D"/>
    <w:rsid w:val="008C60DE"/>
    <w:rsid w:val="008D118A"/>
    <w:rsid w:val="008E2705"/>
    <w:rsid w:val="008E5527"/>
    <w:rsid w:val="008F0EE8"/>
    <w:rsid w:val="008F142B"/>
    <w:rsid w:val="008F568A"/>
    <w:rsid w:val="009012DA"/>
    <w:rsid w:val="009038DD"/>
    <w:rsid w:val="00915B49"/>
    <w:rsid w:val="00921BF7"/>
    <w:rsid w:val="0092494B"/>
    <w:rsid w:val="00934137"/>
    <w:rsid w:val="00934DBD"/>
    <w:rsid w:val="00947E14"/>
    <w:rsid w:val="00955DBF"/>
    <w:rsid w:val="00961DA2"/>
    <w:rsid w:val="0096526D"/>
    <w:rsid w:val="00966605"/>
    <w:rsid w:val="0097200E"/>
    <w:rsid w:val="00986100"/>
    <w:rsid w:val="0099647D"/>
    <w:rsid w:val="00996CBD"/>
    <w:rsid w:val="009B7DA6"/>
    <w:rsid w:val="009C61F1"/>
    <w:rsid w:val="009D3FC6"/>
    <w:rsid w:val="009E3EC8"/>
    <w:rsid w:val="009E5A2E"/>
    <w:rsid w:val="009F0357"/>
    <w:rsid w:val="009F5AEC"/>
    <w:rsid w:val="009F686B"/>
    <w:rsid w:val="00A0314A"/>
    <w:rsid w:val="00A038AF"/>
    <w:rsid w:val="00A0733B"/>
    <w:rsid w:val="00A10340"/>
    <w:rsid w:val="00A26C4A"/>
    <w:rsid w:val="00A271CF"/>
    <w:rsid w:val="00A30E58"/>
    <w:rsid w:val="00A41164"/>
    <w:rsid w:val="00A4332B"/>
    <w:rsid w:val="00A45C72"/>
    <w:rsid w:val="00A561B6"/>
    <w:rsid w:val="00A710A1"/>
    <w:rsid w:val="00A7161D"/>
    <w:rsid w:val="00A75795"/>
    <w:rsid w:val="00A77227"/>
    <w:rsid w:val="00A95B15"/>
    <w:rsid w:val="00AA2650"/>
    <w:rsid w:val="00AA7B7C"/>
    <w:rsid w:val="00AB32D7"/>
    <w:rsid w:val="00AB451D"/>
    <w:rsid w:val="00AC0FAA"/>
    <w:rsid w:val="00AC6121"/>
    <w:rsid w:val="00AD695E"/>
    <w:rsid w:val="00AF3FDD"/>
    <w:rsid w:val="00AF48C4"/>
    <w:rsid w:val="00B06ABF"/>
    <w:rsid w:val="00B06C6A"/>
    <w:rsid w:val="00B233DB"/>
    <w:rsid w:val="00B23EB5"/>
    <w:rsid w:val="00B2449F"/>
    <w:rsid w:val="00B262F8"/>
    <w:rsid w:val="00B33EF6"/>
    <w:rsid w:val="00B526F9"/>
    <w:rsid w:val="00B5380E"/>
    <w:rsid w:val="00B54332"/>
    <w:rsid w:val="00B71817"/>
    <w:rsid w:val="00B75B20"/>
    <w:rsid w:val="00B80E30"/>
    <w:rsid w:val="00B909EF"/>
    <w:rsid w:val="00B93E83"/>
    <w:rsid w:val="00B97158"/>
    <w:rsid w:val="00BA19FE"/>
    <w:rsid w:val="00BA5DF0"/>
    <w:rsid w:val="00BA7B4A"/>
    <w:rsid w:val="00BB4A2F"/>
    <w:rsid w:val="00BB4AA0"/>
    <w:rsid w:val="00BB526B"/>
    <w:rsid w:val="00BC37C0"/>
    <w:rsid w:val="00BC3CCB"/>
    <w:rsid w:val="00BC50D0"/>
    <w:rsid w:val="00BE369D"/>
    <w:rsid w:val="00BF0F1E"/>
    <w:rsid w:val="00BF36A3"/>
    <w:rsid w:val="00C03403"/>
    <w:rsid w:val="00C13544"/>
    <w:rsid w:val="00C13E56"/>
    <w:rsid w:val="00C15E98"/>
    <w:rsid w:val="00C22F3F"/>
    <w:rsid w:val="00C262CB"/>
    <w:rsid w:val="00C30680"/>
    <w:rsid w:val="00C33320"/>
    <w:rsid w:val="00C354AB"/>
    <w:rsid w:val="00C47EA4"/>
    <w:rsid w:val="00C521EA"/>
    <w:rsid w:val="00C62D5E"/>
    <w:rsid w:val="00C648F3"/>
    <w:rsid w:val="00C66B86"/>
    <w:rsid w:val="00C80535"/>
    <w:rsid w:val="00C8632D"/>
    <w:rsid w:val="00C87EDF"/>
    <w:rsid w:val="00C939CE"/>
    <w:rsid w:val="00C96B75"/>
    <w:rsid w:val="00CB77A1"/>
    <w:rsid w:val="00CC642E"/>
    <w:rsid w:val="00CE2FEE"/>
    <w:rsid w:val="00CE4FB4"/>
    <w:rsid w:val="00CF16D8"/>
    <w:rsid w:val="00CF484D"/>
    <w:rsid w:val="00D0268E"/>
    <w:rsid w:val="00D10968"/>
    <w:rsid w:val="00D5242D"/>
    <w:rsid w:val="00D531A4"/>
    <w:rsid w:val="00D56C2F"/>
    <w:rsid w:val="00D6251D"/>
    <w:rsid w:val="00D637F5"/>
    <w:rsid w:val="00D71102"/>
    <w:rsid w:val="00D87818"/>
    <w:rsid w:val="00D97FB4"/>
    <w:rsid w:val="00DA653C"/>
    <w:rsid w:val="00DA7AB1"/>
    <w:rsid w:val="00DB794A"/>
    <w:rsid w:val="00DC03D9"/>
    <w:rsid w:val="00DC7C54"/>
    <w:rsid w:val="00DD28FD"/>
    <w:rsid w:val="00DD33E1"/>
    <w:rsid w:val="00DD5838"/>
    <w:rsid w:val="00DE3E78"/>
    <w:rsid w:val="00DF5DDE"/>
    <w:rsid w:val="00E0277C"/>
    <w:rsid w:val="00E045CD"/>
    <w:rsid w:val="00E2438C"/>
    <w:rsid w:val="00E273C7"/>
    <w:rsid w:val="00E33E83"/>
    <w:rsid w:val="00E44A73"/>
    <w:rsid w:val="00E44E9F"/>
    <w:rsid w:val="00E46164"/>
    <w:rsid w:val="00E462FA"/>
    <w:rsid w:val="00E61BEC"/>
    <w:rsid w:val="00E66907"/>
    <w:rsid w:val="00E7031C"/>
    <w:rsid w:val="00E77443"/>
    <w:rsid w:val="00E8292D"/>
    <w:rsid w:val="00E85E1F"/>
    <w:rsid w:val="00E87294"/>
    <w:rsid w:val="00E90B98"/>
    <w:rsid w:val="00E95CD4"/>
    <w:rsid w:val="00EB7A9B"/>
    <w:rsid w:val="00ED2DF4"/>
    <w:rsid w:val="00EE090E"/>
    <w:rsid w:val="00EE0B39"/>
    <w:rsid w:val="00EE786F"/>
    <w:rsid w:val="00EF279B"/>
    <w:rsid w:val="00F0576C"/>
    <w:rsid w:val="00F10197"/>
    <w:rsid w:val="00F1225D"/>
    <w:rsid w:val="00F2598F"/>
    <w:rsid w:val="00F35E57"/>
    <w:rsid w:val="00F607BE"/>
    <w:rsid w:val="00F6573D"/>
    <w:rsid w:val="00F669B3"/>
    <w:rsid w:val="00F74888"/>
    <w:rsid w:val="00F82209"/>
    <w:rsid w:val="00F82C3B"/>
    <w:rsid w:val="00F83FFC"/>
    <w:rsid w:val="00F86B40"/>
    <w:rsid w:val="00F906A4"/>
    <w:rsid w:val="00F911BB"/>
    <w:rsid w:val="00FA2458"/>
    <w:rsid w:val="00FB055D"/>
    <w:rsid w:val="00FB2520"/>
    <w:rsid w:val="00FC06E4"/>
    <w:rsid w:val="00FD3F8B"/>
    <w:rsid w:val="00FE641F"/>
    <w:rsid w:val="00FF4E09"/>
    <w:rsid w:val="00FF6B8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9C34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DejaVu Sans" w:hAnsi="Times New Roman" w:cs="Lohit Hindi"/>
        <w:lang w:val="nl-NL" w:eastAsia="nl-NL" w:bidi="ar-SA"/>
      </w:rPr>
    </w:rPrDefault>
    <w:pPrDefault>
      <w:pPr>
        <w:autoSpaceDN w:val="0"/>
        <w:textAlignment w:val="baseline"/>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line="240" w:lineRule="atLeast"/>
    </w:pPr>
    <w:rPr>
      <w:rFonts w:ascii="Verdana" w:hAnsi="Verdana"/>
      <w:color w:val="000000"/>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arginlessContainer">
    <w:name w:val="Marginless Container"/>
    <w:hidden/>
  </w:style>
  <w:style w:type="paragraph" w:styleId="Salutation">
    <w:name w:val="Salutation"/>
    <w:basedOn w:val="Normal"/>
    <w:next w:val="Normal"/>
    <w:pPr>
      <w:spacing w:before="100" w:after="240" w:line="240" w:lineRule="exact"/>
    </w:pPr>
  </w:style>
  <w:style w:type="paragraph" w:customStyle="1" w:styleId="ACW85Documentgegevens">
    <w:name w:val="ACW 8.5 Documentgegevens"/>
    <w:basedOn w:val="Normal"/>
    <w:next w:val="Normal"/>
    <w:pPr>
      <w:spacing w:before="20" w:line="240" w:lineRule="exact"/>
    </w:pPr>
    <w:rPr>
      <w:sz w:val="17"/>
      <w:szCs w:val="17"/>
    </w:rPr>
  </w:style>
  <w:style w:type="paragraph" w:customStyle="1" w:styleId="ACWAanhef">
    <w:name w:val="ACW Aanhef"/>
    <w:basedOn w:val="Normal"/>
    <w:next w:val="Normal"/>
    <w:pPr>
      <w:spacing w:before="240" w:after="240" w:line="280" w:lineRule="exact"/>
    </w:pPr>
    <w:rPr>
      <w:sz w:val="17"/>
      <w:szCs w:val="17"/>
    </w:rPr>
  </w:style>
  <w:style w:type="paragraph" w:customStyle="1" w:styleId="ACWDocumentnaam">
    <w:name w:val="ACW Documentnaam"/>
    <w:basedOn w:val="Normal"/>
    <w:next w:val="Normal"/>
    <w:pPr>
      <w:spacing w:line="240" w:lineRule="exact"/>
    </w:pPr>
    <w:rPr>
      <w:sz w:val="25"/>
      <w:szCs w:val="25"/>
    </w:rPr>
  </w:style>
  <w:style w:type="paragraph" w:customStyle="1" w:styleId="ACWKopjesVerdana7">
    <w:name w:val="ACW Kopjes Verdana 7"/>
    <w:basedOn w:val="Normal"/>
    <w:next w:val="Normal"/>
    <w:pPr>
      <w:spacing w:before="60" w:line="220" w:lineRule="exact"/>
    </w:pPr>
    <w:rPr>
      <w:sz w:val="14"/>
      <w:szCs w:val="14"/>
    </w:rPr>
  </w:style>
  <w:style w:type="paragraph" w:customStyle="1" w:styleId="ACWOndertekening85">
    <w:name w:val="ACW Ondertekening 8.5"/>
    <w:basedOn w:val="Normal"/>
    <w:next w:val="Normal"/>
    <w:pPr>
      <w:spacing w:line="240" w:lineRule="exact"/>
    </w:pPr>
    <w:rPr>
      <w:sz w:val="17"/>
      <w:szCs w:val="17"/>
    </w:rPr>
  </w:style>
  <w:style w:type="paragraph" w:customStyle="1" w:styleId="ACWOndertekening85cursief">
    <w:name w:val="ACW Ondertekening 8.5 cursief"/>
    <w:basedOn w:val="Normal"/>
    <w:next w:val="Normal"/>
    <w:pPr>
      <w:spacing w:line="240" w:lineRule="exact"/>
    </w:pPr>
    <w:rPr>
      <w:i/>
      <w:sz w:val="17"/>
      <w:szCs w:val="17"/>
    </w:rPr>
  </w:style>
  <w:style w:type="paragraph" w:customStyle="1" w:styleId="ACWSlotzin">
    <w:name w:val="ACW Slotzin"/>
    <w:basedOn w:val="Normal"/>
    <w:next w:val="Normal"/>
    <w:pPr>
      <w:spacing w:before="240" w:line="280" w:lineRule="exact"/>
    </w:pPr>
    <w:rPr>
      <w:sz w:val="17"/>
      <w:szCs w:val="17"/>
    </w:rPr>
  </w:style>
  <w:style w:type="paragraph" w:customStyle="1" w:styleId="ACWStandaardVerdana85">
    <w:name w:val="ACW Standaard Verdana 8.5"/>
    <w:basedOn w:val="Normal"/>
    <w:next w:val="Normal"/>
    <w:pPr>
      <w:spacing w:line="280" w:lineRule="exact"/>
    </w:pPr>
    <w:rPr>
      <w:sz w:val="17"/>
      <w:szCs w:val="17"/>
    </w:rPr>
  </w:style>
  <w:style w:type="paragraph" w:customStyle="1" w:styleId="Afzendgegevens">
    <w:name w:val="Afzendgegevens"/>
    <w:basedOn w:val="Normal"/>
    <w:next w:val="Normal"/>
    <w:pPr>
      <w:tabs>
        <w:tab w:val="left" w:pos="2267"/>
      </w:tabs>
      <w:spacing w:line="180" w:lineRule="exact"/>
    </w:pPr>
    <w:rPr>
      <w:sz w:val="13"/>
      <w:szCs w:val="13"/>
    </w:rPr>
  </w:style>
  <w:style w:type="paragraph" w:customStyle="1" w:styleId="Afzendgegevenscursief">
    <w:name w:val="Afzendgegevens cursief"/>
    <w:next w:val="Normal"/>
    <w:pPr>
      <w:tabs>
        <w:tab w:val="left" w:pos="170"/>
      </w:tabs>
      <w:spacing w:line="180" w:lineRule="exact"/>
    </w:pPr>
    <w:rPr>
      <w:rFonts w:ascii="Verdana" w:hAnsi="Verdana"/>
      <w:i/>
      <w:color w:val="000000"/>
      <w:sz w:val="13"/>
      <w:szCs w:val="13"/>
    </w:rPr>
  </w:style>
  <w:style w:type="paragraph" w:customStyle="1" w:styleId="Afzendgegevenskop">
    <w:name w:val="Afzendgegevens kop"/>
    <w:basedOn w:val="Normal"/>
    <w:next w:val="Normal"/>
    <w:pPr>
      <w:spacing w:line="180" w:lineRule="exact"/>
    </w:pPr>
    <w:rPr>
      <w:sz w:val="13"/>
      <w:szCs w:val="13"/>
    </w:rPr>
  </w:style>
  <w:style w:type="paragraph" w:customStyle="1" w:styleId="AfzendgegevensKop0">
    <w:name w:val="Afzendgegevens_Kop"/>
    <w:basedOn w:val="Afzendgegevens"/>
    <w:next w:val="Normal"/>
    <w:rPr>
      <w:b/>
    </w:rPr>
  </w:style>
  <w:style w:type="paragraph" w:customStyle="1" w:styleId="Algemenevoorwaarden">
    <w:name w:val="Algemene voorwaarden"/>
    <w:next w:val="Normal"/>
    <w:pPr>
      <w:spacing w:line="180" w:lineRule="exact"/>
    </w:pPr>
    <w:rPr>
      <w:rFonts w:ascii="Verdana" w:hAnsi="Verdana"/>
      <w:i/>
      <w:color w:val="000000"/>
      <w:sz w:val="13"/>
      <w:szCs w:val="13"/>
    </w:rPr>
  </w:style>
  <w:style w:type="paragraph" w:customStyle="1" w:styleId="ANVS-Hoofdstuk">
    <w:name w:val="ANVS - Hoofdstuk"/>
    <w:basedOn w:val="Normal"/>
    <w:next w:val="Normal"/>
    <w:pPr>
      <w:numPr>
        <w:numId w:val="1"/>
      </w:numPr>
      <w:spacing w:after="700" w:line="300" w:lineRule="atLeast"/>
    </w:pPr>
    <w:rPr>
      <w:color w:val="275937"/>
      <w:sz w:val="24"/>
      <w:szCs w:val="24"/>
    </w:rPr>
  </w:style>
  <w:style w:type="paragraph" w:customStyle="1" w:styleId="ANVS-Hoofdstukongenummerd">
    <w:name w:val="ANVS - Hoofdstuk ongenummerd"/>
    <w:basedOn w:val="Normal"/>
    <w:next w:val="Normal"/>
    <w:pPr>
      <w:numPr>
        <w:numId w:val="2"/>
      </w:numPr>
      <w:spacing w:after="700" w:line="300" w:lineRule="exact"/>
    </w:pPr>
    <w:rPr>
      <w:color w:val="275937"/>
      <w:sz w:val="24"/>
      <w:szCs w:val="24"/>
    </w:rPr>
  </w:style>
  <w:style w:type="paragraph" w:customStyle="1" w:styleId="ANVS-Hoofdstuknummering">
    <w:name w:val="ANVS - Hoofdstuknummering"/>
    <w:basedOn w:val="Normal"/>
    <w:next w:val="Normal"/>
    <w:pPr>
      <w:spacing w:after="700" w:line="300" w:lineRule="atLeast"/>
    </w:pPr>
    <w:rPr>
      <w:color w:val="275937"/>
      <w:sz w:val="24"/>
      <w:szCs w:val="24"/>
    </w:rPr>
  </w:style>
  <w:style w:type="paragraph" w:customStyle="1" w:styleId="ANVS-InhoudKop">
    <w:name w:val="ANVS - Inhoud Kop"/>
    <w:basedOn w:val="Normal"/>
    <w:next w:val="Normal"/>
    <w:pPr>
      <w:spacing w:after="700" w:line="300" w:lineRule="exact"/>
    </w:pPr>
    <w:rPr>
      <w:color w:val="275937"/>
      <w:sz w:val="24"/>
      <w:szCs w:val="24"/>
    </w:rPr>
  </w:style>
  <w:style w:type="paragraph" w:customStyle="1" w:styleId="ANVS-Inhoudsopgave9">
    <w:name w:val="ANVS - Inhoudsopgave 9"/>
    <w:basedOn w:val="Normal"/>
    <w:next w:val="Normal"/>
    <w:pPr>
      <w:spacing w:after="700" w:line="300" w:lineRule="atLeast"/>
    </w:pPr>
    <w:rPr>
      <w:color w:val="275937"/>
      <w:sz w:val="24"/>
      <w:szCs w:val="24"/>
    </w:rPr>
  </w:style>
  <w:style w:type="paragraph" w:customStyle="1" w:styleId="ANVS-Opsomming">
    <w:name w:val="ANVS - Opsomming"/>
    <w:basedOn w:val="Normal"/>
    <w:next w:val="ANVS-Opsommingstekens"/>
    <w:pPr>
      <w:spacing w:line="240" w:lineRule="exact"/>
    </w:pPr>
  </w:style>
  <w:style w:type="paragraph" w:customStyle="1" w:styleId="ANVS-Opsommingstekens">
    <w:name w:val="ANVS - Opsommingstekens"/>
    <w:basedOn w:val="Normal"/>
    <w:pPr>
      <w:numPr>
        <w:numId w:val="3"/>
      </w:numPr>
      <w:spacing w:line="240" w:lineRule="exact"/>
    </w:pPr>
  </w:style>
  <w:style w:type="paragraph" w:customStyle="1" w:styleId="ANVS-Paragraaf">
    <w:name w:val="ANVS - Paragraaf"/>
    <w:basedOn w:val="Normal"/>
    <w:next w:val="Normal"/>
    <w:pPr>
      <w:numPr>
        <w:ilvl w:val="1"/>
        <w:numId w:val="1"/>
      </w:numPr>
      <w:spacing w:before="200" w:line="240" w:lineRule="exact"/>
    </w:pPr>
    <w:rPr>
      <w:b/>
      <w:color w:val="E17000"/>
    </w:rPr>
  </w:style>
  <w:style w:type="paragraph" w:customStyle="1" w:styleId="ANVS-Subparagraaf">
    <w:name w:val="ANVS - Subparagraaf"/>
    <w:basedOn w:val="Normal"/>
    <w:next w:val="Normal"/>
    <w:pPr>
      <w:numPr>
        <w:ilvl w:val="2"/>
        <w:numId w:val="1"/>
      </w:numPr>
      <w:spacing w:before="240"/>
    </w:pPr>
    <w:rPr>
      <w:color w:val="275937"/>
    </w:rPr>
  </w:style>
  <w:style w:type="paragraph" w:customStyle="1" w:styleId="ANVS-Subsubparagraaf">
    <w:name w:val="ANVS - Subsubparagraaf"/>
    <w:basedOn w:val="Normal"/>
    <w:next w:val="Normal"/>
    <w:pPr>
      <w:numPr>
        <w:ilvl w:val="3"/>
        <w:numId w:val="1"/>
      </w:numPr>
      <w:spacing w:before="240"/>
    </w:pPr>
    <w:rPr>
      <w:i/>
    </w:rPr>
  </w:style>
  <w:style w:type="paragraph" w:customStyle="1" w:styleId="ANVS-Uitgavegegevens">
    <w:name w:val="ANVS - Uitgave gegevens"/>
    <w:basedOn w:val="Normal"/>
    <w:next w:val="Normal"/>
    <w:rPr>
      <w:sz w:val="14"/>
      <w:szCs w:val="14"/>
    </w:rPr>
  </w:style>
  <w:style w:type="paragraph" w:customStyle="1" w:styleId="ANVS-Uitgavegegevensonderstreept">
    <w:name w:val="ANVS - Uitgave gegevens onderstreept"/>
    <w:basedOn w:val="Normal"/>
    <w:next w:val="Normal"/>
    <w:pPr>
      <w:spacing w:before="140" w:after="140"/>
    </w:pPr>
    <w:rPr>
      <w:sz w:val="14"/>
      <w:szCs w:val="14"/>
      <w:u w:val="single"/>
    </w:rPr>
  </w:style>
  <w:style w:type="paragraph" w:customStyle="1" w:styleId="ANVS-UitgavegegevensOrganisatienaam">
    <w:name w:val="ANVS - Uitgave gegevens Organisatienaam"/>
    <w:basedOn w:val="Normal"/>
    <w:next w:val="Normal"/>
    <w:pPr>
      <w:spacing w:before="140"/>
    </w:pPr>
    <w:rPr>
      <w:b/>
      <w:sz w:val="14"/>
      <w:szCs w:val="14"/>
    </w:rPr>
  </w:style>
  <w:style w:type="paragraph" w:customStyle="1" w:styleId="ANVS-UitgavegegevensVet">
    <w:name w:val="ANVS - Uitgave gegevens Vet"/>
    <w:basedOn w:val="Normal"/>
    <w:next w:val="Normal"/>
    <w:pPr>
      <w:spacing w:line="240" w:lineRule="exact"/>
    </w:pPr>
    <w:rPr>
      <w:b/>
      <w:sz w:val="14"/>
      <w:szCs w:val="14"/>
    </w:rPr>
  </w:style>
  <w:style w:type="paragraph" w:customStyle="1" w:styleId="ANVSeindblad1">
    <w:name w:val="ANVS eindblad 1"/>
    <w:basedOn w:val="Normal"/>
    <w:next w:val="Normal"/>
    <w:pPr>
      <w:spacing w:before="220" w:line="240" w:lineRule="exact"/>
    </w:pPr>
  </w:style>
  <w:style w:type="paragraph" w:customStyle="1" w:styleId="ANVSeindblad2">
    <w:name w:val="ANVS eindblad 2"/>
    <w:basedOn w:val="Normal"/>
    <w:next w:val="Normal"/>
    <w:pPr>
      <w:spacing w:before="250" w:line="240" w:lineRule="exact"/>
    </w:pPr>
  </w:style>
  <w:style w:type="paragraph" w:customStyle="1" w:styleId="ANVSeindblad3">
    <w:name w:val="ANVS eindblad 3"/>
    <w:basedOn w:val="Normal"/>
    <w:next w:val="Normal"/>
    <w:pPr>
      <w:spacing w:before="280" w:line="240" w:lineRule="exact"/>
    </w:pPr>
  </w:style>
  <w:style w:type="paragraph" w:customStyle="1" w:styleId="ANVSInhoudn36r15">
    <w:name w:val="ANVS Inhoud n36 r15"/>
    <w:basedOn w:val="Normal"/>
    <w:next w:val="Normal"/>
    <w:pPr>
      <w:spacing w:after="720" w:line="300" w:lineRule="exact"/>
    </w:pPr>
    <w:rPr>
      <w:sz w:val="24"/>
      <w:szCs w:val="24"/>
    </w:rPr>
  </w:style>
  <w:style w:type="paragraph" w:customStyle="1" w:styleId="ANVSInspectierapportstandaardna6">
    <w:name w:val="ANVS Inspectierapport standaard na 6"/>
    <w:basedOn w:val="Normal"/>
    <w:next w:val="Normal"/>
    <w:pPr>
      <w:spacing w:after="120" w:line="240" w:lineRule="exact"/>
    </w:pPr>
  </w:style>
  <w:style w:type="paragraph" w:customStyle="1" w:styleId="ANVSInspectierapportTitel">
    <w:name w:val="ANVS Inspectierapport Titel"/>
    <w:basedOn w:val="Normal"/>
    <w:next w:val="Normal"/>
    <w:pPr>
      <w:spacing w:before="60" w:after="320" w:line="240" w:lineRule="exact"/>
    </w:pPr>
    <w:rPr>
      <w:b/>
      <w:sz w:val="24"/>
      <w:szCs w:val="24"/>
    </w:rPr>
  </w:style>
  <w:style w:type="paragraph" w:customStyle="1" w:styleId="ANVSInspectierapporttussenruimte">
    <w:name w:val="ANVS Inspectierapport tussenruimte"/>
    <w:basedOn w:val="Normal"/>
    <w:next w:val="Normal"/>
    <w:pPr>
      <w:spacing w:after="840" w:line="240" w:lineRule="exact"/>
    </w:pPr>
  </w:style>
  <w:style w:type="table" w:customStyle="1" w:styleId="ANVSKader">
    <w:name w:val="ANVS Kader"/>
    <w:rPr>
      <w:rFonts w:ascii="Verdana" w:hAnsi="Verdana"/>
      <w:color w:val="000000"/>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20" w:type="dxa"/>
        <w:left w:w="40" w:type="dxa"/>
        <w:bottom w:w="20" w:type="dxa"/>
        <w:right w:w="40" w:type="dxa"/>
      </w:tblCellMar>
    </w:tblPr>
    <w:tcPr>
      <w:shd w:val="clear" w:color="auto" w:fill="DFE6E1"/>
    </w:tcPr>
  </w:style>
  <w:style w:type="paragraph" w:customStyle="1" w:styleId="ANVSkadertekst">
    <w:name w:val="ANVS kadertekst"/>
    <w:basedOn w:val="Normal"/>
    <w:next w:val="Normal"/>
    <w:pPr>
      <w:spacing w:line="240" w:lineRule="exact"/>
    </w:pPr>
    <w:rPr>
      <w:b/>
      <w:color w:val="275937"/>
    </w:rPr>
  </w:style>
  <w:style w:type="paragraph" w:customStyle="1" w:styleId="ANVSRapportTitel">
    <w:name w:val="ANVS Rapport Titel"/>
    <w:basedOn w:val="Normal"/>
    <w:next w:val="Normal"/>
    <w:pPr>
      <w:spacing w:line="800" w:lineRule="exact"/>
    </w:pPr>
    <w:rPr>
      <w:color w:val="275937"/>
      <w:sz w:val="72"/>
      <w:szCs w:val="72"/>
    </w:rPr>
  </w:style>
  <w:style w:type="paragraph" w:customStyle="1" w:styleId="ANVSstandaard15">
    <w:name w:val="ANVS standaard 1.5"/>
    <w:basedOn w:val="Normal"/>
    <w:next w:val="Normal"/>
    <w:pPr>
      <w:spacing w:line="320" w:lineRule="exact"/>
    </w:pPr>
  </w:style>
  <w:style w:type="table" w:customStyle="1" w:styleId="ANVSStandaardtabel">
    <w:name w:val="ANVS Standaard tabel"/>
    <w:rPr>
      <w:rFonts w:ascii="Verdana" w:hAnsi="Verdana"/>
      <w:color w:val="000000"/>
      <w:sz w:val="24"/>
      <w:szCs w:val="24"/>
      <w:lang w:val="en-GB" w:eastAsia="en-GB"/>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107" w:type="dxa"/>
        <w:left w:w="107" w:type="dxa"/>
        <w:bottom w:w="107" w:type="dxa"/>
        <w:right w:w="107" w:type="dxa"/>
      </w:tblCellMar>
    </w:tblPr>
    <w:tcPr>
      <w:shd w:val="clear" w:color="auto" w:fill="auto"/>
    </w:tcPr>
    <w:tblStylePr w:type="firstRow">
      <w:rPr>
        <w:color w:val="FFFFFF"/>
      </w:rPr>
      <w:tblPr/>
      <w:tcPr>
        <w:shd w:val="clear" w:color="auto" w:fill="275937"/>
      </w:tcPr>
    </w:tblStylePr>
  </w:style>
  <w:style w:type="paragraph" w:customStyle="1" w:styleId="ANVSStandaardVerdana8">
    <w:name w:val="ANVS Standaard Verdana 8"/>
    <w:basedOn w:val="Normal"/>
    <w:next w:val="Normal"/>
    <w:pPr>
      <w:spacing w:line="240" w:lineRule="exact"/>
    </w:pPr>
    <w:rPr>
      <w:sz w:val="16"/>
      <w:szCs w:val="16"/>
    </w:rPr>
  </w:style>
  <w:style w:type="paragraph" w:customStyle="1" w:styleId="ANVSTabeltekstkop">
    <w:name w:val="ANVS Tabeltekst kop"/>
    <w:basedOn w:val="Normal"/>
    <w:next w:val="Normal"/>
    <w:pPr>
      <w:spacing w:line="180" w:lineRule="exact"/>
    </w:pPr>
    <w:rPr>
      <w:b/>
      <w:color w:val="FFFFFF"/>
    </w:rPr>
  </w:style>
  <w:style w:type="paragraph" w:customStyle="1" w:styleId="ANVSTabeltekststandaard">
    <w:name w:val="ANVS Tabeltekst standaard"/>
    <w:basedOn w:val="Normal"/>
    <w:next w:val="Normal"/>
    <w:pPr>
      <w:spacing w:line="180" w:lineRule="exact"/>
    </w:pPr>
  </w:style>
  <w:style w:type="paragraph" w:customStyle="1" w:styleId="ANVSV12R12">
    <w:name w:val="ANVS V12 R12"/>
    <w:basedOn w:val="Normal"/>
    <w:next w:val="Normal"/>
    <w:pPr>
      <w:spacing w:line="240" w:lineRule="exact"/>
    </w:pPr>
    <w:rPr>
      <w:sz w:val="24"/>
      <w:szCs w:val="24"/>
    </w:rPr>
  </w:style>
  <w:style w:type="paragraph" w:customStyle="1" w:styleId="ANVSV9v0n6r12bold">
    <w:name w:val="ANVS V9 v0 n6 r12 bold"/>
    <w:basedOn w:val="Normal"/>
    <w:next w:val="Normal"/>
    <w:pPr>
      <w:spacing w:after="120" w:line="240" w:lineRule="exact"/>
    </w:pPr>
    <w:rPr>
      <w:b/>
    </w:rPr>
  </w:style>
  <w:style w:type="paragraph" w:customStyle="1" w:styleId="DPopsomming">
    <w:name w:val="DP opsomming"/>
    <w:basedOn w:val="Normal"/>
    <w:next w:val="Normal"/>
    <w:pPr>
      <w:spacing w:line="240" w:lineRule="exact"/>
    </w:pPr>
  </w:style>
  <w:style w:type="paragraph" w:customStyle="1" w:styleId="DPstandaardopsomming">
    <w:name w:val="DP standaard opsomming"/>
    <w:basedOn w:val="Normal"/>
    <w:next w:val="Normal"/>
    <w:pPr>
      <w:numPr>
        <w:numId w:val="4"/>
      </w:numPr>
      <w:spacing w:line="240" w:lineRule="exact"/>
    </w:pPr>
  </w:style>
  <w:style w:type="paragraph" w:customStyle="1" w:styleId="DPstandaardopsomming2">
    <w:name w:val="DP standaard opsomming 2"/>
    <w:basedOn w:val="Normal"/>
    <w:next w:val="Normal"/>
    <w:pPr>
      <w:numPr>
        <w:ilvl w:val="1"/>
        <w:numId w:val="4"/>
      </w:numPr>
      <w:spacing w:line="240" w:lineRule="exact"/>
    </w:pPr>
  </w:style>
  <w:style w:type="table" w:customStyle="1" w:styleId="DPTabel">
    <w:name w:val="DP Tabel"/>
    <w:rPr>
      <w:rFonts w:ascii="Verdana" w:hAnsi="Verdana"/>
      <w:color w:val="000000"/>
      <w:sz w:val="18"/>
      <w:szCs w:val="18"/>
      <w:lang w:val="en-GB" w:eastAsia="en-GB"/>
    </w:rPr>
    <w:tblPr>
      <w:tblCellMar>
        <w:top w:w="0" w:type="dxa"/>
        <w:left w:w="0" w:type="dxa"/>
        <w:bottom w:w="0" w:type="dxa"/>
        <w:right w:w="0" w:type="dxa"/>
      </w:tblCellMar>
    </w:tblPr>
    <w:tcPr>
      <w:shd w:val="clear" w:color="auto" w:fill="auto"/>
    </w:tcPr>
    <w:tblStylePr w:type="firstRow">
      <w:pPr>
        <w:jc w:val="left"/>
      </w:pPr>
    </w:tblStylePr>
    <w:tblStylePr w:type="lastRow">
      <w:rPr>
        <w:rFonts w:ascii="Verdana" w:hAnsi="Verdana"/>
        <w:sz w:val="18"/>
        <w:szCs w:val="18"/>
      </w:rPr>
    </w:tblStylePr>
    <w:tblStylePr w:type="firstCol">
      <w:pPr>
        <w:jc w:val="left"/>
      </w:pPr>
      <w:rPr>
        <w:rFonts w:ascii="Verdana" w:hAnsi="Verdana"/>
        <w:sz w:val="18"/>
        <w:szCs w:val="18"/>
      </w:rPr>
    </w:tblStylePr>
    <w:tblStylePr w:type="lastCol">
      <w:pPr>
        <w:jc w:val="right"/>
      </w:pPr>
    </w:tblStylePr>
  </w:style>
  <w:style w:type="table" w:customStyle="1" w:styleId="DPtabelbrief11">
    <w:name w:val="DP tabel brief 11"/>
    <w:rPr>
      <w:rFonts w:ascii="Verdana" w:hAnsi="Verdana"/>
      <w:color w:val="000000"/>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72" w:type="dxa"/>
        <w:left w:w="140" w:type="dxa"/>
        <w:bottom w:w="72" w:type="dxa"/>
        <w:right w:w="140" w:type="dxa"/>
      </w:tblCellMar>
    </w:tblPr>
    <w:tcPr>
      <w:shd w:val="clear" w:color="auto" w:fill="auto"/>
    </w:tcPr>
  </w:style>
  <w:style w:type="paragraph" w:customStyle="1" w:styleId="HBJZ-AandeKoning">
    <w:name w:val="HBJZ - Aan de Koning"/>
    <w:basedOn w:val="Normal"/>
    <w:next w:val="Normal"/>
    <w:pPr>
      <w:spacing w:line="320" w:lineRule="exact"/>
    </w:pPr>
    <w:rPr>
      <w:b/>
      <w:sz w:val="32"/>
      <w:szCs w:val="32"/>
    </w:rPr>
  </w:style>
  <w:style w:type="paragraph" w:customStyle="1" w:styleId="HBJZ-BegeleidendMemon10">
    <w:name w:val="HBJZ - Begeleidend Memo n10"/>
    <w:basedOn w:val="Normal"/>
    <w:next w:val="Normal"/>
    <w:pPr>
      <w:spacing w:after="200" w:line="276" w:lineRule="exact"/>
    </w:pPr>
  </w:style>
  <w:style w:type="paragraph" w:customStyle="1" w:styleId="HBJZ-BegeleidendMemoWitruimte1">
    <w:name w:val="HBJZ - Begeleidend Memo Witruimte 1"/>
    <w:basedOn w:val="Normal"/>
    <w:next w:val="Normal"/>
    <w:pPr>
      <w:spacing w:line="932" w:lineRule="exact"/>
    </w:pPr>
  </w:style>
  <w:style w:type="paragraph" w:customStyle="1" w:styleId="HBJZ-Kamerstukken-Kamerstuk">
    <w:name w:val="HBJZ - Kamerstukken - Kamerstuk"/>
    <w:basedOn w:val="Normal"/>
    <w:next w:val="Normal"/>
    <w:pPr>
      <w:spacing w:after="780" w:line="276" w:lineRule="exact"/>
    </w:pPr>
    <w:rPr>
      <w:b/>
    </w:rPr>
  </w:style>
  <w:style w:type="paragraph" w:customStyle="1" w:styleId="HBJZ-Kamerstukken-na39ra138">
    <w:name w:val="HBJZ - Kamerstukken - na 39 ra 13;8"/>
    <w:basedOn w:val="Normal"/>
    <w:next w:val="Normal"/>
    <w:pPr>
      <w:spacing w:after="780" w:line="276" w:lineRule="exact"/>
    </w:pPr>
  </w:style>
  <w:style w:type="paragraph" w:customStyle="1" w:styleId="HBJZ-Kamerstukken-regelafstand138">
    <w:name w:val="HBJZ - Kamerstukken - regelafstand 13;8"/>
    <w:basedOn w:val="Normal"/>
    <w:next w:val="Normal"/>
    <w:pPr>
      <w:spacing w:line="276" w:lineRule="exact"/>
    </w:pPr>
  </w:style>
  <w:style w:type="paragraph" w:customStyle="1" w:styleId="HBJZ-NahangbriefaanParlement">
    <w:name w:val="HBJZ - Nahang (brief aan Parlement)"/>
    <w:basedOn w:val="Normal"/>
    <w:next w:val="Normal"/>
    <w:pPr>
      <w:spacing w:before="100" w:after="240" w:line="240" w:lineRule="exact"/>
    </w:pPr>
  </w:style>
  <w:style w:type="paragraph" w:customStyle="1" w:styleId="HBJZ-Voordrachtv12n0r12">
    <w:name w:val="HBJZ - Voordracht v12 n0 r12"/>
    <w:basedOn w:val="Normal"/>
    <w:next w:val="Normal"/>
    <w:pPr>
      <w:spacing w:before="240" w:line="240" w:lineRule="exact"/>
    </w:pPr>
  </w:style>
  <w:style w:type="paragraph" w:customStyle="1" w:styleId="Huisstijl-Bijlage">
    <w:name w:val="Huisstijl - Bijlage"/>
    <w:basedOn w:val="Normal"/>
    <w:next w:val="Normal"/>
    <w:pPr>
      <w:numPr>
        <w:numId w:val="5"/>
      </w:numPr>
      <w:tabs>
        <w:tab w:val="left" w:pos="0"/>
      </w:tabs>
      <w:spacing w:after="740" w:line="240" w:lineRule="exact"/>
      <w:ind w:left="-1420" w:firstLine="0"/>
    </w:pPr>
    <w:rPr>
      <w:sz w:val="24"/>
      <w:szCs w:val="24"/>
    </w:rPr>
  </w:style>
  <w:style w:type="paragraph" w:customStyle="1" w:styleId="Huisstijl-BijlageA">
    <w:name w:val="Huisstijl - Bijlage A"/>
    <w:basedOn w:val="Normal"/>
    <w:next w:val="Normal"/>
    <w:pPr>
      <w:spacing w:line="240" w:lineRule="exact"/>
    </w:pPr>
  </w:style>
  <w:style w:type="paragraph" w:customStyle="1" w:styleId="Huisstijl-Bijlagezletter">
    <w:name w:val="Huisstijl - Bijlage z. letter"/>
    <w:basedOn w:val="Normal"/>
    <w:next w:val="Normal"/>
    <w:pPr>
      <w:numPr>
        <w:ilvl w:val="1"/>
        <w:numId w:val="8"/>
      </w:numPr>
      <w:tabs>
        <w:tab w:val="left" w:pos="0"/>
      </w:tabs>
      <w:spacing w:after="740" w:line="240" w:lineRule="exact"/>
      <w:ind w:firstLine="0"/>
    </w:pPr>
    <w:rPr>
      <w:sz w:val="24"/>
      <w:szCs w:val="24"/>
    </w:rPr>
  </w:style>
  <w:style w:type="paragraph" w:customStyle="1" w:styleId="Huisstijl-Bijschrift">
    <w:name w:val="Huisstijl - Bijschrift"/>
    <w:basedOn w:val="Normal"/>
    <w:next w:val="Normal"/>
    <w:pPr>
      <w:spacing w:after="720" w:line="300" w:lineRule="exact"/>
    </w:pPr>
    <w:rPr>
      <w:sz w:val="14"/>
      <w:szCs w:val="14"/>
    </w:rPr>
  </w:style>
  <w:style w:type="paragraph" w:customStyle="1" w:styleId="Huisstijl-Colofon">
    <w:name w:val="Huisstijl - Colofon"/>
    <w:basedOn w:val="Normal"/>
    <w:next w:val="Normal"/>
    <w:pPr>
      <w:numPr>
        <w:numId w:val="8"/>
      </w:numPr>
      <w:tabs>
        <w:tab w:val="left" w:pos="0"/>
      </w:tabs>
      <w:spacing w:after="720" w:line="300" w:lineRule="exact"/>
      <w:ind w:left="-1120"/>
    </w:pPr>
    <w:rPr>
      <w:sz w:val="24"/>
      <w:szCs w:val="24"/>
    </w:rPr>
  </w:style>
  <w:style w:type="paragraph" w:customStyle="1" w:styleId="Huisstijl-Extrasubtitel">
    <w:name w:val="Huisstijl - Extra subtitel"/>
    <w:basedOn w:val="Normal"/>
    <w:next w:val="Normal"/>
    <w:pPr>
      <w:spacing w:before="60" w:after="300" w:line="240" w:lineRule="exact"/>
    </w:pPr>
    <w:rPr>
      <w:sz w:val="20"/>
      <w:szCs w:val="20"/>
    </w:rPr>
  </w:style>
  <w:style w:type="paragraph" w:customStyle="1" w:styleId="Huisstijl-Kader">
    <w:name w:val="Huisstijl - Kader"/>
    <w:basedOn w:val="Normal"/>
    <w:next w:val="Normal"/>
    <w:pPr>
      <w:spacing w:line="240" w:lineRule="exact"/>
    </w:pPr>
  </w:style>
  <w:style w:type="paragraph" w:customStyle="1" w:styleId="Huisstijl-KaderTussenkop">
    <w:name w:val="Huisstijl - Kader Tussenkop"/>
    <w:basedOn w:val="Normal"/>
    <w:next w:val="Normal"/>
    <w:pPr>
      <w:spacing w:line="240" w:lineRule="exact"/>
    </w:pPr>
    <w:rPr>
      <w:i/>
    </w:rPr>
  </w:style>
  <w:style w:type="paragraph" w:customStyle="1" w:styleId="Huisstijl-Kop1">
    <w:name w:val="Huisstijl - Kop 1"/>
    <w:basedOn w:val="Normal"/>
    <w:next w:val="Normal"/>
    <w:pPr>
      <w:numPr>
        <w:numId w:val="6"/>
      </w:numPr>
      <w:tabs>
        <w:tab w:val="left" w:pos="0"/>
      </w:tabs>
      <w:spacing w:after="720" w:line="300" w:lineRule="exact"/>
      <w:ind w:left="-1120"/>
    </w:pPr>
    <w:rPr>
      <w:sz w:val="24"/>
      <w:szCs w:val="24"/>
    </w:rPr>
  </w:style>
  <w:style w:type="paragraph" w:customStyle="1" w:styleId="Huisstijl-Kop2">
    <w:name w:val="Huisstijl - Kop 2"/>
    <w:basedOn w:val="Normal"/>
    <w:next w:val="Normal"/>
    <w:pPr>
      <w:numPr>
        <w:ilvl w:val="1"/>
        <w:numId w:val="6"/>
      </w:numPr>
      <w:tabs>
        <w:tab w:val="left" w:pos="0"/>
      </w:tabs>
      <w:spacing w:before="240" w:line="240" w:lineRule="exact"/>
      <w:ind w:left="-1120"/>
    </w:pPr>
    <w:rPr>
      <w:b/>
    </w:rPr>
  </w:style>
  <w:style w:type="paragraph" w:customStyle="1" w:styleId="Huisstijl-Kop3">
    <w:name w:val="Huisstijl - Kop 3"/>
    <w:basedOn w:val="Normal"/>
    <w:next w:val="Normal"/>
    <w:pPr>
      <w:numPr>
        <w:ilvl w:val="2"/>
        <w:numId w:val="6"/>
      </w:numPr>
      <w:tabs>
        <w:tab w:val="left" w:pos="0"/>
      </w:tabs>
      <w:spacing w:before="240" w:line="240" w:lineRule="exact"/>
      <w:ind w:left="-1120"/>
    </w:pPr>
    <w:rPr>
      <w:i/>
    </w:rPr>
  </w:style>
  <w:style w:type="paragraph" w:customStyle="1" w:styleId="Huisstijl-Kop4">
    <w:name w:val="Huisstijl - Kop 4"/>
    <w:basedOn w:val="Normal"/>
    <w:next w:val="Normal"/>
    <w:pPr>
      <w:numPr>
        <w:ilvl w:val="3"/>
        <w:numId w:val="6"/>
      </w:numPr>
      <w:tabs>
        <w:tab w:val="left" w:pos="0"/>
      </w:tabs>
      <w:spacing w:before="240" w:line="240" w:lineRule="exact"/>
      <w:ind w:left="-1120"/>
    </w:pPr>
  </w:style>
  <w:style w:type="paragraph" w:customStyle="1" w:styleId="Huisstijl-Kopznr1">
    <w:name w:val="Huisstijl - Kop z.nr 1"/>
    <w:basedOn w:val="Normal"/>
    <w:next w:val="Normal"/>
    <w:pPr>
      <w:numPr>
        <w:numId w:val="7"/>
      </w:numPr>
      <w:tabs>
        <w:tab w:val="left" w:pos="0"/>
      </w:tabs>
      <w:spacing w:after="720" w:line="300" w:lineRule="exact"/>
      <w:ind w:left="-1120"/>
    </w:pPr>
    <w:rPr>
      <w:sz w:val="24"/>
      <w:szCs w:val="24"/>
    </w:rPr>
  </w:style>
  <w:style w:type="paragraph" w:customStyle="1" w:styleId="Huisstijl-Kopznr2">
    <w:name w:val="Huisstijl - Kop z.nr 2"/>
    <w:basedOn w:val="Normal"/>
    <w:next w:val="Normal"/>
    <w:pPr>
      <w:numPr>
        <w:ilvl w:val="1"/>
        <w:numId w:val="7"/>
      </w:numPr>
      <w:tabs>
        <w:tab w:val="left" w:pos="0"/>
      </w:tabs>
      <w:spacing w:before="240" w:line="240" w:lineRule="exact"/>
      <w:ind w:left="-1120"/>
    </w:pPr>
    <w:rPr>
      <w:b/>
    </w:rPr>
  </w:style>
  <w:style w:type="paragraph" w:customStyle="1" w:styleId="Huisstijl-Kopznr3">
    <w:name w:val="Huisstijl - Kop z.nr 3"/>
    <w:basedOn w:val="Normal"/>
    <w:next w:val="Normal"/>
    <w:pPr>
      <w:numPr>
        <w:ilvl w:val="2"/>
        <w:numId w:val="7"/>
      </w:numPr>
      <w:tabs>
        <w:tab w:val="left" w:pos="0"/>
      </w:tabs>
      <w:spacing w:before="240" w:line="240" w:lineRule="exact"/>
      <w:ind w:left="-1120"/>
    </w:pPr>
    <w:rPr>
      <w:i/>
    </w:rPr>
  </w:style>
  <w:style w:type="paragraph" w:customStyle="1" w:styleId="Huisstijl-Kopznr4">
    <w:name w:val="Huisstijl - Kop z.nr 4"/>
    <w:basedOn w:val="Normal"/>
    <w:next w:val="Normal"/>
    <w:pPr>
      <w:numPr>
        <w:ilvl w:val="3"/>
        <w:numId w:val="7"/>
      </w:numPr>
      <w:tabs>
        <w:tab w:val="left" w:pos="0"/>
      </w:tabs>
      <w:spacing w:before="240" w:line="240" w:lineRule="exact"/>
      <w:ind w:left="-1120"/>
    </w:pPr>
  </w:style>
  <w:style w:type="paragraph" w:customStyle="1" w:styleId="Huisstijl-Opsommingzinspringing">
    <w:name w:val="Huisstijl - Opsomming z.inspringing"/>
    <w:basedOn w:val="Normal"/>
    <w:next w:val="Normal"/>
    <w:pPr>
      <w:spacing w:line="240" w:lineRule="exact"/>
    </w:pPr>
  </w:style>
  <w:style w:type="paragraph" w:customStyle="1" w:styleId="Huisstijl-Subtitel">
    <w:name w:val="Huisstijl - Subtitel"/>
    <w:basedOn w:val="Normal"/>
    <w:next w:val="Normal"/>
    <w:pPr>
      <w:spacing w:before="240" w:after="360" w:line="240" w:lineRule="exact"/>
    </w:pPr>
    <w:rPr>
      <w:sz w:val="20"/>
      <w:szCs w:val="20"/>
    </w:rPr>
  </w:style>
  <w:style w:type="paragraph" w:customStyle="1" w:styleId="Huisstijl-Tabeltekst">
    <w:name w:val="Huisstijl - Tabeltekst"/>
    <w:basedOn w:val="Normal"/>
    <w:next w:val="Normal"/>
    <w:pPr>
      <w:spacing w:line="200" w:lineRule="exact"/>
    </w:pPr>
    <w:rPr>
      <w:sz w:val="16"/>
      <w:szCs w:val="16"/>
    </w:rPr>
  </w:style>
  <w:style w:type="paragraph" w:customStyle="1" w:styleId="Huisstijl-TitelDocumentnaam">
    <w:name w:val="Huisstijl - Titel/Documentnaam"/>
    <w:basedOn w:val="Normal"/>
    <w:next w:val="Normal"/>
    <w:pPr>
      <w:spacing w:before="60" w:after="320" w:line="240" w:lineRule="exact"/>
    </w:pPr>
    <w:rPr>
      <w:b/>
      <w:sz w:val="24"/>
      <w:szCs w:val="24"/>
    </w:rPr>
  </w:style>
  <w:style w:type="paragraph" w:customStyle="1" w:styleId="Huisstijl-Tussenkop">
    <w:name w:val="Huisstijl - Tussenkop"/>
    <w:basedOn w:val="Normal"/>
    <w:next w:val="Normal"/>
    <w:pPr>
      <w:spacing w:line="240" w:lineRule="exact"/>
    </w:pPr>
    <w:rPr>
      <w:i/>
    </w:rPr>
  </w:style>
  <w:style w:type="paragraph" w:customStyle="1" w:styleId="Huisstijl-Versie">
    <w:name w:val="Huisstijl - Versie"/>
    <w:basedOn w:val="Normal"/>
    <w:next w:val="Normal"/>
    <w:pPr>
      <w:spacing w:before="60" w:after="360" w:line="240" w:lineRule="exact"/>
    </w:pPr>
  </w:style>
  <w:style w:type="paragraph" w:customStyle="1" w:styleId="Huisstijlnummeringmetnummer">
    <w:name w:val="Huisstijl nummering met nummer"/>
    <w:basedOn w:val="Normal"/>
    <w:next w:val="Normal"/>
    <w:pPr>
      <w:spacing w:line="240" w:lineRule="exact"/>
    </w:pPr>
  </w:style>
  <w:style w:type="paragraph" w:customStyle="1" w:styleId="Huisstijlnummeringzondernummer">
    <w:name w:val="Huisstijl nummering zonder nummer"/>
    <w:basedOn w:val="Normal"/>
    <w:next w:val="Normal"/>
    <w:pPr>
      <w:spacing w:before="100" w:after="240" w:line="240" w:lineRule="exact"/>
    </w:pPr>
  </w:style>
  <w:style w:type="paragraph" w:customStyle="1" w:styleId="Huisstijlopsommingcolofoneninleiding">
    <w:name w:val="Huisstijl opsomming colofon en inleiding"/>
    <w:basedOn w:val="Normal"/>
    <w:next w:val="Normal"/>
    <w:pPr>
      <w:spacing w:line="240" w:lineRule="exact"/>
    </w:pPr>
  </w:style>
  <w:style w:type="paragraph" w:customStyle="1" w:styleId="ILT-50standaardmetwitruimte">
    <w:name w:val="ILT - 50 standaard met witruimte"/>
    <w:basedOn w:val="Normal"/>
    <w:next w:val="Normal"/>
    <w:pPr>
      <w:spacing w:after="20" w:line="260" w:lineRule="exact"/>
    </w:pPr>
  </w:style>
  <w:style w:type="paragraph" w:customStyle="1" w:styleId="ILT102">
    <w:name w:val="ILT 102"/>
    <w:basedOn w:val="Normal"/>
    <w:next w:val="Normal"/>
    <w:pPr>
      <w:spacing w:before="20" w:after="80" w:line="280" w:lineRule="exact"/>
    </w:pPr>
  </w:style>
  <w:style w:type="paragraph" w:customStyle="1" w:styleId="ILT103DwangbevelKop">
    <w:name w:val="ILT 103 Dwangbevel Kop"/>
    <w:basedOn w:val="Normal"/>
    <w:next w:val="Normal"/>
    <w:pPr>
      <w:spacing w:line="360" w:lineRule="exact"/>
    </w:pPr>
    <w:rPr>
      <w:sz w:val="36"/>
      <w:szCs w:val="36"/>
    </w:rPr>
  </w:style>
  <w:style w:type="paragraph" w:customStyle="1" w:styleId="ILTBoeterapportondertekening">
    <w:name w:val="ILT Boeterapport ondertekening"/>
    <w:basedOn w:val="Normal"/>
    <w:next w:val="Normal"/>
    <w:pPr>
      <w:spacing w:before="960" w:line="240" w:lineRule="exact"/>
    </w:pPr>
  </w:style>
  <w:style w:type="paragraph" w:customStyle="1" w:styleId="ILTOpsomming">
    <w:name w:val="ILT Opsomming"/>
    <w:basedOn w:val="Normal"/>
    <w:next w:val="Normal"/>
    <w:pPr>
      <w:numPr>
        <w:numId w:val="9"/>
      </w:numPr>
      <w:spacing w:line="240" w:lineRule="exact"/>
    </w:pPr>
  </w:style>
  <w:style w:type="paragraph" w:customStyle="1" w:styleId="ILTOpsomming15">
    <w:name w:val="ILT Opsomming 1.5"/>
    <w:basedOn w:val="Normal"/>
    <w:next w:val="Normal"/>
    <w:pPr>
      <w:numPr>
        <w:ilvl w:val="1"/>
        <w:numId w:val="9"/>
      </w:numPr>
      <w:spacing w:line="300" w:lineRule="exact"/>
    </w:pPr>
  </w:style>
  <w:style w:type="paragraph" w:customStyle="1" w:styleId="ILTOpsommingbullet">
    <w:name w:val="ILT Opsomming bullet"/>
    <w:basedOn w:val="Normal"/>
    <w:next w:val="Normal"/>
    <w:pPr>
      <w:numPr>
        <w:ilvl w:val="2"/>
        <w:numId w:val="9"/>
      </w:numPr>
      <w:spacing w:line="300" w:lineRule="exact"/>
    </w:pPr>
  </w:style>
  <w:style w:type="paragraph" w:customStyle="1" w:styleId="ILTOpsomminglijst">
    <w:name w:val="ILT Opsomming lijst"/>
    <w:basedOn w:val="Normal"/>
    <w:next w:val="Normal"/>
    <w:pPr>
      <w:spacing w:before="20" w:after="80" w:line="300" w:lineRule="exact"/>
    </w:pPr>
  </w:style>
  <w:style w:type="paragraph" w:customStyle="1" w:styleId="ILTRapport-je">
    <w:name w:val="ILT Rapport - je"/>
    <w:basedOn w:val="Normal"/>
    <w:next w:val="Normal"/>
    <w:pPr>
      <w:numPr>
        <w:ilvl w:val="1"/>
        <w:numId w:val="10"/>
      </w:numPr>
      <w:spacing w:after="120" w:line="240" w:lineRule="exact"/>
    </w:pPr>
  </w:style>
  <w:style w:type="paragraph" w:customStyle="1" w:styleId="ILTRapport16a">
    <w:name w:val="ILT Rapport 16a"/>
    <w:basedOn w:val="Normal"/>
    <w:next w:val="Normal"/>
    <w:pPr>
      <w:spacing w:before="60" w:after="60" w:line="240" w:lineRule="exact"/>
    </w:pPr>
  </w:style>
  <w:style w:type="paragraph" w:customStyle="1" w:styleId="ILTRapport16aIV9V12N0">
    <w:name w:val="ILT Rapport 16a I V9 V12 N0"/>
    <w:basedOn w:val="Normal"/>
    <w:next w:val="Normal"/>
    <w:pPr>
      <w:spacing w:before="240" w:line="240" w:lineRule="exact"/>
    </w:pPr>
    <w:rPr>
      <w:i/>
    </w:rPr>
  </w:style>
  <w:style w:type="paragraph" w:customStyle="1" w:styleId="ILTRapport16aKopV12V0n18">
    <w:name w:val="ILT Rapport 16a Kop V12 V0 n18"/>
    <w:basedOn w:val="Normal"/>
    <w:next w:val="Normal"/>
    <w:pPr>
      <w:spacing w:after="360" w:line="300" w:lineRule="exact"/>
    </w:pPr>
    <w:rPr>
      <w:sz w:val="24"/>
      <w:szCs w:val="24"/>
    </w:rPr>
  </w:style>
  <w:style w:type="paragraph" w:customStyle="1" w:styleId="ILTRapport16anummering">
    <w:name w:val="ILT Rapport 16a nummering"/>
    <w:basedOn w:val="Normal"/>
    <w:next w:val="Normal"/>
    <w:pPr>
      <w:spacing w:after="120" w:line="240" w:lineRule="exact"/>
    </w:pPr>
  </w:style>
  <w:style w:type="paragraph" w:customStyle="1" w:styleId="ILTRapport16aStandaard">
    <w:name w:val="ILT Rapport 16a Standaard"/>
    <w:basedOn w:val="Normal"/>
    <w:next w:val="Normal"/>
    <w:pPr>
      <w:spacing w:after="120" w:line="240" w:lineRule="exact"/>
    </w:pPr>
  </w:style>
  <w:style w:type="table" w:customStyle="1" w:styleId="ILTRapport16aTabel2">
    <w:name w:val="ILT Rapport 16a Tabel2"/>
    <w:rPr>
      <w:rFonts w:ascii="Verdana" w:hAnsi="Verdana"/>
      <w:color w:val="000000"/>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40" w:type="dxa"/>
        <w:bottom w:w="0" w:type="dxa"/>
        <w:right w:w="0" w:type="dxa"/>
      </w:tblCellMar>
    </w:tblPr>
    <w:tcPr>
      <w:shd w:val="clear" w:color="auto" w:fill="auto"/>
    </w:tcPr>
  </w:style>
  <w:style w:type="table" w:customStyle="1" w:styleId="ILTRapport16aTabelstijl">
    <w:name w:val="ILT Rapport 16a Tabelstijl"/>
    <w:rPr>
      <w:sz w:val="16"/>
      <w:szCs w:val="16"/>
    </w:rPr>
    <w:tblPr>
      <w:tblCellMar>
        <w:top w:w="20" w:type="dxa"/>
        <w:left w:w="0" w:type="dxa"/>
        <w:bottom w:w="20" w:type="dxa"/>
        <w:right w:w="0" w:type="dxa"/>
      </w:tblCellMar>
    </w:tblPr>
  </w:style>
  <w:style w:type="paragraph" w:customStyle="1" w:styleId="ILTRapport16aV103v15n">
    <w:name w:val="ILT Rapport 16a V10 3v 15n"/>
    <w:basedOn w:val="Normal"/>
    <w:next w:val="Normal"/>
    <w:pPr>
      <w:spacing w:before="60" w:after="300" w:line="240" w:lineRule="exact"/>
    </w:pPr>
    <w:rPr>
      <w:sz w:val="20"/>
      <w:szCs w:val="20"/>
    </w:rPr>
  </w:style>
  <w:style w:type="paragraph" w:customStyle="1" w:styleId="ILTRapport16aV9V12n0">
    <w:name w:val="ILT Rapport 16a V9 V12 n0"/>
    <w:basedOn w:val="Normal"/>
    <w:next w:val="Normal"/>
    <w:pPr>
      <w:spacing w:before="240" w:line="240" w:lineRule="exact"/>
    </w:pPr>
    <w:rPr>
      <w:b/>
    </w:rPr>
  </w:style>
  <w:style w:type="paragraph" w:customStyle="1" w:styleId="ILTRapportnummerniv1">
    <w:name w:val="ILT Rapport nummer niv 1"/>
    <w:basedOn w:val="Normal"/>
    <w:next w:val="Normal"/>
    <w:pPr>
      <w:numPr>
        <w:numId w:val="10"/>
      </w:numPr>
      <w:spacing w:after="720" w:line="300" w:lineRule="exact"/>
    </w:pPr>
    <w:rPr>
      <w:sz w:val="24"/>
      <w:szCs w:val="24"/>
    </w:rPr>
  </w:style>
  <w:style w:type="paragraph" w:customStyle="1" w:styleId="ILTRapportTitelV12B3v16n">
    <w:name w:val="ILT Rapport Titel V12 B 3v 16n"/>
    <w:basedOn w:val="Normal"/>
    <w:next w:val="Normal"/>
    <w:pPr>
      <w:spacing w:before="60" w:after="320" w:line="240" w:lineRule="exact"/>
    </w:pPr>
    <w:rPr>
      <w:b/>
      <w:sz w:val="24"/>
      <w:szCs w:val="24"/>
    </w:rPr>
  </w:style>
  <w:style w:type="paragraph" w:customStyle="1" w:styleId="ILTStandaard6voor">
    <w:name w:val="ILT Standaard 6 voor"/>
    <w:basedOn w:val="Normal"/>
    <w:next w:val="Normal"/>
    <w:pPr>
      <w:spacing w:before="120" w:line="240" w:lineRule="exact"/>
    </w:pPr>
  </w:style>
  <w:style w:type="paragraph" w:customStyle="1" w:styleId="ILTStandaardVerdana9Regel15">
    <w:name w:val="ILT Standaard Verdana 9 Regel 1.5"/>
    <w:basedOn w:val="Normal"/>
    <w:next w:val="Normal"/>
    <w:pPr>
      <w:spacing w:before="20" w:after="80" w:line="300" w:lineRule="exact"/>
    </w:pPr>
  </w:style>
  <w:style w:type="paragraph" w:customStyle="1" w:styleId="ILTStandaardVerdana9Regel15cursief">
    <w:name w:val="ILT Standaard Verdana 9 Regel 1.5 cursief"/>
    <w:basedOn w:val="Normal"/>
    <w:next w:val="Normal"/>
    <w:pPr>
      <w:spacing w:before="20" w:after="80" w:line="300" w:lineRule="exact"/>
    </w:pPr>
    <w:rPr>
      <w:i/>
    </w:rPr>
  </w:style>
  <w:style w:type="paragraph" w:customStyle="1" w:styleId="ILTStandaardVerdana9Regel15vet">
    <w:name w:val="ILT Standaard Verdana 9 Regel 1.5 vet"/>
    <w:basedOn w:val="ILTStandaardVerdana9Regel15"/>
    <w:next w:val="Normal"/>
    <w:rPr>
      <w:b/>
    </w:rPr>
  </w:style>
  <w:style w:type="paragraph" w:styleId="TOC1">
    <w:name w:val="toc 1"/>
    <w:basedOn w:val="Normal"/>
    <w:next w:val="Normal"/>
    <w:pPr>
      <w:tabs>
        <w:tab w:val="left" w:pos="0"/>
      </w:tabs>
      <w:spacing w:before="240" w:line="240" w:lineRule="exact"/>
      <w:ind w:left="-1120"/>
    </w:pPr>
    <w:rPr>
      <w:b/>
    </w:rPr>
  </w:style>
  <w:style w:type="paragraph" w:styleId="TOC2">
    <w:name w:val="toc 2"/>
    <w:basedOn w:val="TOC1"/>
    <w:next w:val="Normal"/>
    <w:pPr>
      <w:spacing w:before="0"/>
    </w:pPr>
    <w:rPr>
      <w:b w:val="0"/>
    </w:rPr>
  </w:style>
  <w:style w:type="paragraph" w:styleId="TOC3">
    <w:name w:val="toc 3"/>
    <w:basedOn w:val="TOC2"/>
    <w:next w:val="Normal"/>
  </w:style>
  <w:style w:type="paragraph" w:styleId="TOC4">
    <w:name w:val="toc 4"/>
    <w:basedOn w:val="TOC3"/>
    <w:next w:val="Normal"/>
  </w:style>
  <w:style w:type="paragraph" w:styleId="TOC5">
    <w:name w:val="toc 5"/>
    <w:basedOn w:val="TOC4"/>
    <w:next w:val="Normal"/>
    <w:pPr>
      <w:ind w:left="-1133"/>
    </w:pPr>
    <w:rPr>
      <w:sz w:val="20"/>
      <w:szCs w:val="20"/>
    </w:rPr>
  </w:style>
  <w:style w:type="paragraph" w:styleId="TOC6">
    <w:name w:val="toc 6"/>
    <w:basedOn w:val="TOC5"/>
    <w:next w:val="Normal"/>
  </w:style>
  <w:style w:type="paragraph" w:styleId="TOC7">
    <w:name w:val="toc 7"/>
    <w:basedOn w:val="TOC6"/>
    <w:next w:val="Normal"/>
  </w:style>
  <w:style w:type="paragraph" w:styleId="TOC8">
    <w:name w:val="toc 8"/>
    <w:basedOn w:val="TOC7"/>
    <w:next w:val="Normal"/>
  </w:style>
  <w:style w:type="paragraph" w:styleId="TOC9">
    <w:name w:val="toc 9"/>
    <w:basedOn w:val="TOC8"/>
    <w:next w:val="Normal"/>
    <w:pPr>
      <w:spacing w:before="240"/>
      <w:ind w:left="-1120"/>
    </w:pPr>
    <w:rPr>
      <w:sz w:val="18"/>
      <w:szCs w:val="18"/>
    </w:rPr>
  </w:style>
  <w:style w:type="paragraph" w:customStyle="1" w:styleId="Merking">
    <w:name w:val="Merking"/>
    <w:basedOn w:val="Normal"/>
    <w:next w:val="Normal"/>
    <w:pPr>
      <w:spacing w:line="240" w:lineRule="exact"/>
    </w:pPr>
    <w:rPr>
      <w:b/>
      <w:caps/>
      <w:sz w:val="13"/>
      <w:szCs w:val="13"/>
      <w:u w:val="single"/>
    </w:rPr>
  </w:style>
  <w:style w:type="paragraph" w:customStyle="1" w:styleId="NEaAanhef">
    <w:name w:val="NEa Aanhef"/>
    <w:basedOn w:val="NEaStandaard"/>
    <w:pPr>
      <w:spacing w:after="240"/>
    </w:pPr>
    <w:rPr>
      <w:rFonts w:ascii="Verdana" w:hAnsi="Verdana"/>
      <w:sz w:val="18"/>
      <w:szCs w:val="18"/>
    </w:rPr>
  </w:style>
  <w:style w:type="paragraph" w:customStyle="1" w:styleId="NEaAfzendgegevens">
    <w:name w:val="NEa Afzendgegevens"/>
    <w:basedOn w:val="NEaStandaard"/>
    <w:pPr>
      <w:spacing w:line="248" w:lineRule="exact"/>
      <w:jc w:val="right"/>
    </w:pPr>
    <w:rPr>
      <w:rFonts w:ascii="Verdana" w:hAnsi="Verdana"/>
      <w:sz w:val="13"/>
      <w:szCs w:val="13"/>
    </w:rPr>
  </w:style>
  <w:style w:type="paragraph" w:customStyle="1" w:styleId="NEaAfzendgegevensVet">
    <w:name w:val="NEa Afzendgegevens Vet"/>
    <w:basedOn w:val="NEaStandaard"/>
    <w:pPr>
      <w:spacing w:line="248" w:lineRule="exact"/>
      <w:jc w:val="right"/>
    </w:pPr>
    <w:rPr>
      <w:rFonts w:ascii="Verdana" w:hAnsi="Verdana"/>
      <w:b/>
      <w:sz w:val="13"/>
      <w:szCs w:val="13"/>
    </w:rPr>
  </w:style>
  <w:style w:type="paragraph" w:customStyle="1" w:styleId="NEaDocumentnaam">
    <w:name w:val="NEa Documentnaam"/>
    <w:pPr>
      <w:spacing w:line="1066" w:lineRule="exact"/>
      <w:jc w:val="right"/>
    </w:pPr>
    <w:rPr>
      <w:rFonts w:ascii="Verdana" w:hAnsi="Verdana"/>
      <w:color w:val="000000"/>
      <w:sz w:val="80"/>
      <w:szCs w:val="80"/>
    </w:rPr>
  </w:style>
  <w:style w:type="paragraph" w:customStyle="1" w:styleId="NEaDocumentnaamArchiefkopie">
    <w:name w:val="NEa Documentnaam Archiefkopie"/>
    <w:basedOn w:val="NEaDocumentnaam"/>
    <w:rPr>
      <w:color w:val="BFBFBF"/>
    </w:rPr>
  </w:style>
  <w:style w:type="paragraph" w:customStyle="1" w:styleId="NEaDocumentnaamsub">
    <w:name w:val="NEa Documentnaam sub"/>
    <w:pPr>
      <w:spacing w:line="360" w:lineRule="exact"/>
      <w:jc w:val="right"/>
    </w:pPr>
    <w:rPr>
      <w:rFonts w:ascii="Verdana" w:hAnsi="Verdana"/>
      <w:color w:val="000000"/>
      <w:sz w:val="36"/>
      <w:szCs w:val="36"/>
    </w:rPr>
  </w:style>
  <w:style w:type="paragraph" w:customStyle="1" w:styleId="NEamemobestuur">
    <w:name w:val="NEa memo bestuur"/>
    <w:basedOn w:val="Normal"/>
    <w:next w:val="Normal"/>
    <w:pPr>
      <w:numPr>
        <w:numId w:val="11"/>
      </w:numPr>
      <w:spacing w:line="240" w:lineRule="exact"/>
    </w:pPr>
  </w:style>
  <w:style w:type="paragraph" w:customStyle="1" w:styleId="NEaMemobestuurDocumentnaam">
    <w:name w:val="NEa Memo bestuur Documentnaam"/>
    <w:basedOn w:val="Normal"/>
    <w:next w:val="Normal"/>
    <w:pPr>
      <w:spacing w:before="360" w:line="640" w:lineRule="exact"/>
    </w:pPr>
    <w:rPr>
      <w:sz w:val="64"/>
      <w:szCs w:val="64"/>
    </w:rPr>
  </w:style>
  <w:style w:type="paragraph" w:customStyle="1" w:styleId="NEamemobestuuropsomming">
    <w:name w:val="NEa memo bestuur opsomming"/>
    <w:basedOn w:val="Normal"/>
    <w:next w:val="Normal"/>
    <w:pPr>
      <w:spacing w:line="240" w:lineRule="exact"/>
    </w:pPr>
  </w:style>
  <w:style w:type="paragraph" w:customStyle="1" w:styleId="NEaMemoDocumentnaam">
    <w:name w:val="NEa Memo Documentnaam"/>
    <w:pPr>
      <w:spacing w:line="853" w:lineRule="exact"/>
    </w:pPr>
    <w:rPr>
      <w:rFonts w:ascii="Verdana" w:hAnsi="Verdana"/>
      <w:color w:val="000000"/>
      <w:sz w:val="64"/>
      <w:szCs w:val="64"/>
    </w:rPr>
  </w:style>
  <w:style w:type="paragraph" w:customStyle="1" w:styleId="NEamemoMT6vbold">
    <w:name w:val="NEa memo MT 6v bold"/>
    <w:basedOn w:val="Normal"/>
    <w:next w:val="Normal"/>
    <w:pPr>
      <w:spacing w:before="120" w:line="240" w:lineRule="exact"/>
    </w:pPr>
    <w:rPr>
      <w:b/>
    </w:rPr>
  </w:style>
  <w:style w:type="paragraph" w:customStyle="1" w:styleId="NEamemoMT6vstandaard">
    <w:name w:val="NEa memo MT 6v standaard"/>
    <w:basedOn w:val="Normal"/>
    <w:next w:val="Normal"/>
    <w:pPr>
      <w:spacing w:before="120" w:line="240" w:lineRule="exact"/>
    </w:pPr>
  </w:style>
  <w:style w:type="table" w:customStyle="1" w:styleId="NEaMemotabel">
    <w:name w:val="NEa Memo tabel"/>
    <w:rPr>
      <w:rFonts w:ascii="Verdana" w:hAnsi="Verdana"/>
      <w:color w:val="000000"/>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0" w:type="dxa"/>
        <w:bottom w:w="0" w:type="dxa"/>
        <w:right w:w="0" w:type="dxa"/>
      </w:tblCellMar>
    </w:tblPr>
    <w:tcPr>
      <w:shd w:val="clear" w:color="auto" w:fill="auto"/>
    </w:tcPr>
  </w:style>
  <w:style w:type="paragraph" w:customStyle="1" w:styleId="NEaopsomming">
    <w:name w:val="NEa opsomming"/>
    <w:basedOn w:val="Normal"/>
    <w:next w:val="Normal"/>
    <w:pPr>
      <w:spacing w:line="240" w:lineRule="exact"/>
    </w:pPr>
  </w:style>
  <w:style w:type="paragraph" w:customStyle="1" w:styleId="NEaopsommingletters">
    <w:name w:val="NEa opsomming (letters)"/>
    <w:basedOn w:val="Normal"/>
    <w:pPr>
      <w:numPr>
        <w:numId w:val="13"/>
      </w:numPr>
      <w:spacing w:line="240" w:lineRule="exact"/>
    </w:pPr>
  </w:style>
  <w:style w:type="paragraph" w:customStyle="1" w:styleId="NEaopsommingletters2">
    <w:name w:val="NEa opsomming (letters) 2"/>
    <w:basedOn w:val="NEaopsommingletters"/>
    <w:next w:val="NEaStandaard"/>
  </w:style>
  <w:style w:type="paragraph" w:customStyle="1" w:styleId="NEaopsommingextra">
    <w:name w:val="NEa opsomming extra"/>
    <w:basedOn w:val="Normal"/>
    <w:next w:val="Normal"/>
    <w:pPr>
      <w:numPr>
        <w:numId w:val="14"/>
      </w:numPr>
    </w:pPr>
  </w:style>
  <w:style w:type="paragraph" w:customStyle="1" w:styleId="NEaopsommingextralijst">
    <w:name w:val="NEa opsomming extra lijst"/>
    <w:basedOn w:val="Normal"/>
    <w:next w:val="Normal"/>
  </w:style>
  <w:style w:type="paragraph" w:customStyle="1" w:styleId="NEaOpsommingstekenkortestreep">
    <w:name w:val="NEa Opsommingsteken korte streep"/>
    <w:basedOn w:val="Normal"/>
    <w:next w:val="Normal"/>
    <w:pPr>
      <w:spacing w:before="240" w:after="240" w:line="240" w:lineRule="exact"/>
    </w:pPr>
  </w:style>
  <w:style w:type="paragraph" w:customStyle="1" w:styleId="NEaOpsommingstekst">
    <w:name w:val="NEa Opsommingstekst"/>
    <w:basedOn w:val="NEaStandaard"/>
    <w:pPr>
      <w:numPr>
        <w:numId w:val="15"/>
      </w:numPr>
    </w:pPr>
    <w:rPr>
      <w:rFonts w:ascii="Verdana" w:hAnsi="Verdana"/>
      <w:sz w:val="18"/>
      <w:szCs w:val="18"/>
    </w:rPr>
  </w:style>
  <w:style w:type="paragraph" w:customStyle="1" w:styleId="NEaPaginanummering">
    <w:name w:val="NEa Paginanummering"/>
    <w:basedOn w:val="NEaStandaard"/>
    <w:pPr>
      <w:jc w:val="right"/>
    </w:pPr>
    <w:rPr>
      <w:rFonts w:ascii="Verdana" w:hAnsi="Verdana"/>
      <w:sz w:val="18"/>
      <w:szCs w:val="18"/>
    </w:rPr>
  </w:style>
  <w:style w:type="paragraph" w:customStyle="1" w:styleId="NEaPaginanummeringhuidig">
    <w:name w:val="NEa Paginanummering huidig"/>
    <w:basedOn w:val="NEaVerdana65"/>
    <w:pPr>
      <w:spacing w:line="240" w:lineRule="exact"/>
      <w:jc w:val="right"/>
    </w:pPr>
    <w:rPr>
      <w:sz w:val="18"/>
      <w:szCs w:val="18"/>
    </w:rPr>
  </w:style>
  <w:style w:type="paragraph" w:customStyle="1" w:styleId="NEARapportkoppen">
    <w:name w:val="NEA Rapport koppen"/>
    <w:basedOn w:val="Normal"/>
    <w:next w:val="Normal"/>
    <w:pPr>
      <w:spacing w:after="720" w:line="300" w:lineRule="exact"/>
    </w:pPr>
    <w:rPr>
      <w:sz w:val="24"/>
      <w:szCs w:val="24"/>
    </w:rPr>
  </w:style>
  <w:style w:type="paragraph" w:customStyle="1" w:styleId="NEaSlotzin">
    <w:name w:val="NEa Slotzin"/>
    <w:basedOn w:val="NEaStandaard"/>
    <w:pPr>
      <w:spacing w:before="240"/>
    </w:pPr>
    <w:rPr>
      <w:rFonts w:ascii="Verdana" w:hAnsi="Verdana"/>
      <w:sz w:val="18"/>
      <w:szCs w:val="18"/>
    </w:rPr>
  </w:style>
  <w:style w:type="paragraph" w:customStyle="1" w:styleId="NEaStandaard">
    <w:name w:val="NEa Standaard"/>
    <w:pPr>
      <w:spacing w:line="240" w:lineRule="exact"/>
    </w:pPr>
    <w:rPr>
      <w:rFonts w:ascii="Calibri" w:hAnsi="Calibri"/>
      <w:color w:val="000000"/>
      <w:sz w:val="22"/>
      <w:szCs w:val="22"/>
    </w:rPr>
  </w:style>
  <w:style w:type="paragraph" w:customStyle="1" w:styleId="NEaStandaardonderlijnd">
    <w:name w:val="NEa Standaard onderlijnd"/>
    <w:basedOn w:val="NEaStandaard"/>
    <w:rPr>
      <w:rFonts w:ascii="Verdana" w:hAnsi="Verdana"/>
      <w:sz w:val="18"/>
      <w:szCs w:val="18"/>
      <w:u w:val="single"/>
    </w:rPr>
  </w:style>
  <w:style w:type="paragraph" w:customStyle="1" w:styleId="NEastandaardopsomming">
    <w:name w:val="NEa standaard opsomming"/>
    <w:basedOn w:val="Normal"/>
    <w:pPr>
      <w:numPr>
        <w:numId w:val="12"/>
      </w:numPr>
      <w:spacing w:line="240" w:lineRule="exact"/>
    </w:pPr>
  </w:style>
  <w:style w:type="paragraph" w:customStyle="1" w:styleId="NEaStandaardVet">
    <w:name w:val="NEa Standaard Vet"/>
    <w:basedOn w:val="NEaStandaard"/>
    <w:rPr>
      <w:rFonts w:ascii="Verdana" w:hAnsi="Verdana"/>
      <w:b/>
      <w:sz w:val="18"/>
      <w:szCs w:val="18"/>
    </w:rPr>
  </w:style>
  <w:style w:type="paragraph" w:customStyle="1" w:styleId="NEaSubtitel">
    <w:name w:val="NEa Subtitel"/>
    <w:pPr>
      <w:spacing w:line="560" w:lineRule="exact"/>
    </w:pPr>
    <w:rPr>
      <w:rFonts w:ascii="Verdana" w:hAnsi="Verdana"/>
      <w:color w:val="000000"/>
      <w:sz w:val="36"/>
      <w:szCs w:val="36"/>
    </w:rPr>
  </w:style>
  <w:style w:type="paragraph" w:customStyle="1" w:styleId="NEaTabelcel">
    <w:name w:val="NEa Tabelcel"/>
    <w:pPr>
      <w:spacing w:line="230" w:lineRule="exact"/>
    </w:pPr>
    <w:rPr>
      <w:rFonts w:ascii="Verdana" w:hAnsi="Verdana"/>
      <w:color w:val="000000"/>
      <w:sz w:val="18"/>
      <w:szCs w:val="18"/>
    </w:rPr>
  </w:style>
  <w:style w:type="paragraph" w:customStyle="1" w:styleId="NEaTabelcelkop">
    <w:name w:val="NEa Tabelcel kop"/>
    <w:pPr>
      <w:spacing w:line="240" w:lineRule="exact"/>
    </w:pPr>
    <w:rPr>
      <w:rFonts w:ascii="Verdana" w:hAnsi="Verdana"/>
      <w:color w:val="000000"/>
      <w:sz w:val="13"/>
      <w:szCs w:val="13"/>
    </w:rPr>
  </w:style>
  <w:style w:type="paragraph" w:customStyle="1" w:styleId="NEaTitel">
    <w:name w:val="NEa Titel"/>
    <w:pPr>
      <w:spacing w:line="560" w:lineRule="exact"/>
    </w:pPr>
    <w:rPr>
      <w:rFonts w:ascii="Verdana" w:hAnsi="Verdana"/>
      <w:b/>
      <w:color w:val="000000"/>
      <w:sz w:val="36"/>
      <w:szCs w:val="36"/>
    </w:rPr>
  </w:style>
  <w:style w:type="paragraph" w:customStyle="1" w:styleId="NeaToezendgegevens">
    <w:name w:val="Nea Toezendgegevens"/>
    <w:pPr>
      <w:spacing w:line="240" w:lineRule="exact"/>
    </w:pPr>
    <w:rPr>
      <w:rFonts w:ascii="Verdana" w:hAnsi="Verdana"/>
      <w:color w:val="000000"/>
      <w:sz w:val="18"/>
      <w:szCs w:val="18"/>
    </w:rPr>
  </w:style>
  <w:style w:type="paragraph" w:customStyle="1" w:styleId="NEaVerdana65">
    <w:name w:val="NEa Verdana 6.5"/>
    <w:pPr>
      <w:spacing w:line="173" w:lineRule="exact"/>
    </w:pPr>
    <w:rPr>
      <w:rFonts w:ascii="Verdana" w:hAnsi="Verdana"/>
      <w:color w:val="000000"/>
      <w:sz w:val="13"/>
      <w:szCs w:val="13"/>
    </w:rPr>
  </w:style>
  <w:style w:type="paragraph" w:customStyle="1" w:styleId="NotaParaaf">
    <w:name w:val="Nota_Paraaf"/>
    <w:basedOn w:val="Normal"/>
    <w:pPr>
      <w:spacing w:line="240" w:lineRule="exact"/>
    </w:pPr>
    <w:rPr>
      <w:sz w:val="13"/>
      <w:szCs w:val="13"/>
    </w:rPr>
  </w:style>
  <w:style w:type="paragraph" w:customStyle="1" w:styleId="OIMRapportAlineakop">
    <w:name w:val="OIM Rapport Alineakop"/>
    <w:basedOn w:val="Normal"/>
    <w:next w:val="Normal"/>
    <w:pPr>
      <w:numPr>
        <w:ilvl w:val="2"/>
        <w:numId w:val="16"/>
      </w:numPr>
      <w:spacing w:line="240" w:lineRule="exact"/>
    </w:pPr>
    <w:rPr>
      <w:color w:val="42145F"/>
      <w:sz w:val="22"/>
      <w:szCs w:val="22"/>
    </w:rPr>
  </w:style>
  <w:style w:type="paragraph" w:customStyle="1" w:styleId="OIMRapportDocumentnaam">
    <w:name w:val="OIM Rapport Documentnaam"/>
    <w:basedOn w:val="Normal"/>
    <w:next w:val="Normal"/>
    <w:pPr>
      <w:spacing w:line="800" w:lineRule="exact"/>
    </w:pPr>
    <w:rPr>
      <w:color w:val="76D2B6"/>
      <w:sz w:val="76"/>
      <w:szCs w:val="76"/>
    </w:rPr>
  </w:style>
  <w:style w:type="paragraph" w:customStyle="1" w:styleId="OIMRapportFiguurkop">
    <w:name w:val="OIM Rapport Figuurkop"/>
    <w:basedOn w:val="Normal"/>
    <w:next w:val="Normal"/>
    <w:pPr>
      <w:spacing w:before="80" w:after="120" w:line="240" w:lineRule="exact"/>
    </w:pPr>
    <w:rPr>
      <w:sz w:val="16"/>
      <w:szCs w:val="16"/>
    </w:rPr>
  </w:style>
  <w:style w:type="paragraph" w:customStyle="1" w:styleId="OIMRapporthfstenparagraafnummering">
    <w:name w:val="OIM Rapport hfst en paragraafnummering"/>
    <w:basedOn w:val="Normal"/>
    <w:next w:val="Normal"/>
    <w:pPr>
      <w:spacing w:line="240" w:lineRule="exact"/>
    </w:pPr>
  </w:style>
  <w:style w:type="paragraph" w:customStyle="1" w:styleId="OIMRapportHoofdstuk">
    <w:name w:val="OIM Rapport Hoofdstuk"/>
    <w:basedOn w:val="Normal"/>
    <w:next w:val="Normal"/>
    <w:pPr>
      <w:numPr>
        <w:numId w:val="16"/>
      </w:numPr>
      <w:spacing w:after="720" w:line="920" w:lineRule="exact"/>
    </w:pPr>
    <w:rPr>
      <w:b/>
      <w:color w:val="76D2B6"/>
      <w:sz w:val="44"/>
      <w:szCs w:val="44"/>
    </w:rPr>
  </w:style>
  <w:style w:type="paragraph" w:customStyle="1" w:styleId="OIMRapportinhoudkop">
    <w:name w:val="OIM Rapport inhoud kop"/>
    <w:basedOn w:val="Normal"/>
    <w:next w:val="Normal"/>
    <w:pPr>
      <w:spacing w:after="720" w:line="960" w:lineRule="exact"/>
    </w:pPr>
    <w:rPr>
      <w:b/>
      <w:color w:val="76D2B6"/>
      <w:sz w:val="44"/>
      <w:szCs w:val="44"/>
    </w:rPr>
  </w:style>
  <w:style w:type="paragraph" w:customStyle="1" w:styleId="OIMRapportInleiding">
    <w:name w:val="OIM Rapport Inleiding"/>
    <w:basedOn w:val="Normal"/>
    <w:next w:val="Normal"/>
    <w:pPr>
      <w:spacing w:line="380" w:lineRule="exact"/>
    </w:pPr>
    <w:rPr>
      <w:color w:val="42145F"/>
      <w:sz w:val="22"/>
      <w:szCs w:val="22"/>
    </w:rPr>
  </w:style>
  <w:style w:type="paragraph" w:customStyle="1" w:styleId="OIMRapportKadertekst">
    <w:name w:val="OIM Rapport Kadertekst"/>
    <w:basedOn w:val="Normal"/>
    <w:next w:val="Normal"/>
    <w:pPr>
      <w:spacing w:line="240" w:lineRule="exact"/>
    </w:pPr>
    <w:rPr>
      <w:color w:val="42145F"/>
      <w:sz w:val="16"/>
      <w:szCs w:val="16"/>
    </w:rPr>
  </w:style>
  <w:style w:type="paragraph" w:customStyle="1" w:styleId="OIMRapportNummering">
    <w:name w:val="OIM Rapport Nummering"/>
    <w:basedOn w:val="Normal"/>
    <w:next w:val="Normal"/>
    <w:pPr>
      <w:numPr>
        <w:numId w:val="18"/>
      </w:numPr>
      <w:spacing w:line="240" w:lineRule="exact"/>
    </w:pPr>
  </w:style>
  <w:style w:type="paragraph" w:customStyle="1" w:styleId="OIMRapportNummerlijst">
    <w:name w:val="OIM Rapport Nummerlijst"/>
    <w:basedOn w:val="Normal"/>
    <w:next w:val="Normal"/>
    <w:pPr>
      <w:spacing w:line="240" w:lineRule="exact"/>
    </w:pPr>
  </w:style>
  <w:style w:type="paragraph" w:customStyle="1" w:styleId="OIMRapportOpsomminglijst">
    <w:name w:val="OIM Rapport Opsomminglijst"/>
    <w:basedOn w:val="Normal"/>
    <w:next w:val="Normal"/>
    <w:pPr>
      <w:spacing w:line="240" w:lineRule="exact"/>
    </w:pPr>
  </w:style>
  <w:style w:type="paragraph" w:customStyle="1" w:styleId="OIMRapportpaginanummer">
    <w:name w:val="OIM Rapport paginanummer"/>
    <w:basedOn w:val="Normal"/>
    <w:next w:val="Normal"/>
    <w:pPr>
      <w:spacing w:line="140" w:lineRule="exact"/>
      <w:jc w:val="right"/>
    </w:pPr>
    <w:rPr>
      <w:sz w:val="12"/>
      <w:szCs w:val="12"/>
    </w:rPr>
  </w:style>
  <w:style w:type="paragraph" w:customStyle="1" w:styleId="OIMRapportParagraaf">
    <w:name w:val="OIM Rapport Paragraaf"/>
    <w:basedOn w:val="Normal"/>
    <w:next w:val="Normal"/>
    <w:pPr>
      <w:numPr>
        <w:ilvl w:val="1"/>
        <w:numId w:val="16"/>
      </w:numPr>
      <w:spacing w:line="240" w:lineRule="exact"/>
    </w:pPr>
    <w:rPr>
      <w:b/>
      <w:color w:val="42145F"/>
      <w:sz w:val="22"/>
      <w:szCs w:val="22"/>
    </w:rPr>
  </w:style>
  <w:style w:type="paragraph" w:customStyle="1" w:styleId="OIMRapportSubalineakop">
    <w:name w:val="OIM Rapport Subalineakop"/>
    <w:basedOn w:val="Normal"/>
    <w:next w:val="Normal"/>
    <w:pPr>
      <w:spacing w:line="240" w:lineRule="exact"/>
    </w:pPr>
    <w:rPr>
      <w:i/>
      <w:color w:val="42145F"/>
    </w:rPr>
  </w:style>
  <w:style w:type="paragraph" w:customStyle="1" w:styleId="OIMRapportSubtitel">
    <w:name w:val="OIM Rapport Subtitel"/>
    <w:basedOn w:val="Normal"/>
    <w:next w:val="Normal"/>
    <w:pPr>
      <w:spacing w:line="560" w:lineRule="exact"/>
    </w:pPr>
    <w:rPr>
      <w:color w:val="FFFFFF"/>
      <w:sz w:val="40"/>
      <w:szCs w:val="40"/>
    </w:rPr>
  </w:style>
  <w:style w:type="paragraph" w:customStyle="1" w:styleId="OIMRapportTitel">
    <w:name w:val="OIM Rapport Titel"/>
    <w:basedOn w:val="Normal"/>
    <w:next w:val="Normal"/>
    <w:pPr>
      <w:spacing w:line="1060" w:lineRule="exact"/>
    </w:pPr>
    <w:rPr>
      <w:b/>
      <w:color w:val="42145F"/>
      <w:sz w:val="86"/>
      <w:szCs w:val="86"/>
    </w:rPr>
  </w:style>
  <w:style w:type="paragraph" w:customStyle="1" w:styleId="OIMRapportvoettekst">
    <w:name w:val="OIM Rapport voettekst"/>
    <w:basedOn w:val="Normal"/>
    <w:next w:val="Normal"/>
    <w:pPr>
      <w:spacing w:line="140" w:lineRule="exact"/>
      <w:jc w:val="right"/>
    </w:pPr>
    <w:rPr>
      <w:sz w:val="12"/>
      <w:szCs w:val="12"/>
    </w:rPr>
  </w:style>
  <w:style w:type="table" w:customStyle="1" w:styleId="OIMStandaardtabel">
    <w:name w:val="OIM Standaard tabel"/>
    <w:rPr>
      <w:rFonts w:ascii="Verdana" w:hAnsi="Verdana"/>
      <w:color w:val="000000"/>
      <w:sz w:val="16"/>
      <w:szCs w:val="16"/>
      <w:lang w:val="en-GB" w:eastAsia="en-GB"/>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20" w:type="dxa"/>
        <w:left w:w="40" w:type="dxa"/>
        <w:bottom w:w="20" w:type="dxa"/>
        <w:right w:w="40" w:type="dxa"/>
      </w:tblCellMar>
    </w:tblPr>
    <w:tblStylePr w:type="firstRow">
      <w:rPr>
        <w:rFonts w:ascii="Verdana" w:hAnsi="Verdana"/>
        <w:b/>
        <w:color w:val="FFFFFF"/>
        <w:sz w:val="16"/>
        <w:szCs w:val="16"/>
      </w:rPr>
      <w:tblPr/>
      <w:tcPr>
        <w:shd w:val="clear" w:color="auto" w:fill="42145F"/>
      </w:tcPr>
    </w:tblStylePr>
  </w:style>
  <w:style w:type="paragraph" w:customStyle="1" w:styleId="OIMTabeltekststandaard">
    <w:name w:val="OIM Tabeltekst standaard"/>
    <w:basedOn w:val="Normal"/>
    <w:next w:val="Normal"/>
    <w:pPr>
      <w:spacing w:line="160" w:lineRule="exact"/>
    </w:pPr>
    <w:rPr>
      <w:sz w:val="16"/>
      <w:szCs w:val="16"/>
    </w:rPr>
  </w:style>
  <w:style w:type="paragraph" w:customStyle="1" w:styleId="OndertekeningArea1">
    <w:name w:val="Ondertekening_Area1"/>
    <w:basedOn w:val="Normal"/>
    <w:next w:val="Normal"/>
    <w:pPr>
      <w:spacing w:before="240" w:line="240" w:lineRule="exact"/>
    </w:pPr>
  </w:style>
  <w:style w:type="paragraph" w:customStyle="1" w:styleId="Paginaeinde">
    <w:name w:val="Paginaeinde"/>
    <w:basedOn w:val="Normal"/>
    <w:next w:val="Normal"/>
    <w:pPr>
      <w:pageBreakBefore/>
      <w:spacing w:line="240" w:lineRule="exact"/>
    </w:pPr>
    <w:rPr>
      <w:sz w:val="2"/>
      <w:szCs w:val="2"/>
    </w:rPr>
  </w:style>
  <w:style w:type="paragraph" w:customStyle="1" w:styleId="Persbericht-Subtitel">
    <w:name w:val="Persbericht - Subtitel"/>
    <w:basedOn w:val="Normal"/>
    <w:next w:val="Normal"/>
    <w:pPr>
      <w:spacing w:after="220" w:line="320" w:lineRule="exact"/>
    </w:pPr>
    <w:rPr>
      <w:sz w:val="24"/>
      <w:szCs w:val="24"/>
    </w:rPr>
  </w:style>
  <w:style w:type="paragraph" w:customStyle="1" w:styleId="Persbericht-Titel">
    <w:name w:val="Persbericht - Titel"/>
    <w:basedOn w:val="Normal"/>
    <w:next w:val="Normal"/>
    <w:pPr>
      <w:spacing w:before="460" w:line="320" w:lineRule="exact"/>
    </w:pPr>
    <w:rPr>
      <w:b/>
      <w:sz w:val="24"/>
      <w:szCs w:val="24"/>
    </w:rPr>
  </w:style>
  <w:style w:type="paragraph" w:customStyle="1" w:styleId="Raad">
    <w:name w:val="Raad"/>
    <w:next w:val="Normal"/>
    <w:pPr>
      <w:spacing w:line="240" w:lineRule="exact"/>
    </w:pPr>
    <w:rPr>
      <w:rFonts w:ascii="Verdana" w:hAnsi="Verdana"/>
      <w:b/>
      <w:color w:val="000000"/>
      <w:sz w:val="24"/>
      <w:szCs w:val="24"/>
    </w:rPr>
  </w:style>
  <w:style w:type="paragraph" w:customStyle="1" w:styleId="RapportSubtitel">
    <w:name w:val="Rapport Subtitel"/>
    <w:basedOn w:val="Normal"/>
    <w:next w:val="Normal"/>
    <w:pPr>
      <w:spacing w:line="300" w:lineRule="exact"/>
    </w:pPr>
    <w:rPr>
      <w:sz w:val="28"/>
      <w:szCs w:val="28"/>
    </w:rPr>
  </w:style>
  <w:style w:type="paragraph" w:customStyle="1" w:styleId="RapportSubtitelANVS">
    <w:name w:val="Rapport Subtitel ANVS"/>
    <w:basedOn w:val="Normal"/>
    <w:next w:val="Normal"/>
    <w:pPr>
      <w:spacing w:line="300" w:lineRule="exact"/>
      <w:ind w:left="200"/>
    </w:pPr>
    <w:rPr>
      <w:color w:val="E17000"/>
      <w:sz w:val="28"/>
      <w:szCs w:val="28"/>
    </w:rPr>
  </w:style>
  <w:style w:type="paragraph" w:customStyle="1" w:styleId="RapportTitel">
    <w:name w:val="Rapport Titel"/>
    <w:basedOn w:val="Normal"/>
    <w:next w:val="Normal"/>
    <w:pPr>
      <w:spacing w:line="800" w:lineRule="exact"/>
    </w:pPr>
    <w:rPr>
      <w:color w:val="007BC7"/>
      <w:sz w:val="72"/>
      <w:szCs w:val="72"/>
    </w:rPr>
  </w:style>
  <w:style w:type="paragraph" w:customStyle="1" w:styleId="RapportNiveau1">
    <w:name w:val="Rapport_Niveau_1"/>
    <w:basedOn w:val="Normal"/>
    <w:next w:val="Normal"/>
    <w:pPr>
      <w:spacing w:after="700" w:line="300" w:lineRule="exact"/>
    </w:pPr>
    <w:rPr>
      <w:sz w:val="24"/>
      <w:szCs w:val="24"/>
    </w:rPr>
  </w:style>
  <w:style w:type="paragraph" w:customStyle="1" w:styleId="RapportNiveau2">
    <w:name w:val="Rapport_Niveau_2"/>
    <w:basedOn w:val="Normal"/>
    <w:next w:val="Normal"/>
    <w:pPr>
      <w:spacing w:line="240" w:lineRule="exact"/>
    </w:pPr>
    <w:rPr>
      <w:b/>
    </w:rPr>
  </w:style>
  <w:style w:type="paragraph" w:customStyle="1" w:styleId="RapportNiveau3">
    <w:name w:val="Rapport_Niveau_3"/>
    <w:basedOn w:val="Normal"/>
    <w:next w:val="Normal"/>
    <w:pPr>
      <w:spacing w:line="240" w:lineRule="exact"/>
    </w:pPr>
    <w:rPr>
      <w:i/>
    </w:rPr>
  </w:style>
  <w:style w:type="paragraph" w:customStyle="1" w:styleId="RapportNiveau4">
    <w:name w:val="Rapport_Niveau_4"/>
    <w:basedOn w:val="Normal"/>
    <w:next w:val="Normal"/>
    <w:pPr>
      <w:spacing w:line="240" w:lineRule="exact"/>
    </w:pPr>
  </w:style>
  <w:style w:type="paragraph" w:customStyle="1" w:styleId="RapportNiveau5">
    <w:name w:val="Rapport_Niveau_5"/>
    <w:basedOn w:val="Normal"/>
    <w:next w:val="Normal"/>
    <w:pPr>
      <w:spacing w:line="240" w:lineRule="exact"/>
    </w:pPr>
  </w:style>
  <w:style w:type="paragraph" w:customStyle="1" w:styleId="RapportNiveau6">
    <w:name w:val="Rapport_Niveau_6"/>
    <w:basedOn w:val="Normal"/>
    <w:next w:val="Normal"/>
    <w:pPr>
      <w:spacing w:before="240" w:after="60" w:line="380" w:lineRule="exact"/>
    </w:pPr>
    <w:rPr>
      <w:b/>
      <w:sz w:val="32"/>
      <w:szCs w:val="32"/>
    </w:rPr>
  </w:style>
  <w:style w:type="paragraph" w:customStyle="1" w:styleId="Referentiegegevens">
    <w:name w:val="Referentiegegevens"/>
    <w:next w:val="Normal"/>
    <w:pPr>
      <w:tabs>
        <w:tab w:val="left" w:pos="170"/>
      </w:tabs>
      <w:spacing w:line="180" w:lineRule="exact"/>
    </w:pPr>
    <w:rPr>
      <w:rFonts w:ascii="Verdana" w:hAnsi="Verdana"/>
      <w:color w:val="000000"/>
      <w:sz w:val="13"/>
      <w:szCs w:val="13"/>
    </w:rPr>
  </w:style>
  <w:style w:type="paragraph" w:customStyle="1" w:styleId="ReferentiegegevensmetW1boven">
    <w:name w:val="Referentiegegevens met W1 boven"/>
    <w:next w:val="Normal"/>
    <w:pPr>
      <w:tabs>
        <w:tab w:val="left" w:pos="170"/>
      </w:tabs>
      <w:spacing w:before="90" w:line="180" w:lineRule="exact"/>
    </w:pPr>
    <w:rPr>
      <w:rFonts w:ascii="Verdana" w:hAnsi="Verdana"/>
      <w:color w:val="000000"/>
      <w:sz w:val="13"/>
      <w:szCs w:val="13"/>
    </w:rPr>
  </w:style>
  <w:style w:type="paragraph" w:customStyle="1" w:styleId="Referentiegegevenskop">
    <w:name w:val="Referentiegegevens_kop"/>
    <w:basedOn w:val="Normal"/>
    <w:next w:val="Normal"/>
    <w:pPr>
      <w:spacing w:line="180" w:lineRule="exact"/>
    </w:pPr>
    <w:rPr>
      <w:b/>
      <w:sz w:val="13"/>
      <w:szCs w:val="13"/>
    </w:rPr>
  </w:style>
  <w:style w:type="paragraph" w:customStyle="1" w:styleId="Retouradres">
    <w:name w:val="Retouradres"/>
    <w:pPr>
      <w:spacing w:line="180" w:lineRule="exact"/>
    </w:pPr>
    <w:rPr>
      <w:rFonts w:ascii="Verdana" w:hAnsi="Verdana"/>
      <w:color w:val="000000"/>
      <w:sz w:val="13"/>
      <w:szCs w:val="13"/>
    </w:rPr>
  </w:style>
  <w:style w:type="paragraph" w:customStyle="1" w:styleId="RliAanhef">
    <w:name w:val="Rli Aanhef"/>
    <w:pPr>
      <w:spacing w:after="240" w:line="240" w:lineRule="exact"/>
    </w:pPr>
    <w:rPr>
      <w:rFonts w:ascii="Verdana" w:hAnsi="Verdana"/>
      <w:color w:val="000000"/>
      <w:sz w:val="18"/>
      <w:szCs w:val="18"/>
    </w:rPr>
  </w:style>
  <w:style w:type="paragraph" w:customStyle="1" w:styleId="RliAgenda-Standaard">
    <w:name w:val="Rli Agenda - Standaard"/>
    <w:basedOn w:val="Normal"/>
    <w:pPr>
      <w:spacing w:line="240" w:lineRule="exact"/>
    </w:pPr>
    <w:rPr>
      <w:sz w:val="16"/>
      <w:szCs w:val="16"/>
    </w:rPr>
  </w:style>
  <w:style w:type="paragraph" w:customStyle="1" w:styleId="RliDocumentnaam">
    <w:name w:val="Rli Documentnaam"/>
    <w:pPr>
      <w:spacing w:line="320" w:lineRule="exact"/>
      <w:jc w:val="right"/>
    </w:pPr>
    <w:rPr>
      <w:rFonts w:ascii="Verdana" w:hAnsi="Verdana"/>
      <w:b/>
      <w:color w:val="000000"/>
      <w:sz w:val="28"/>
      <w:szCs w:val="28"/>
    </w:rPr>
  </w:style>
  <w:style w:type="paragraph" w:customStyle="1" w:styleId="RliInleiding">
    <w:name w:val="Rli Inleiding"/>
    <w:pPr>
      <w:spacing w:after="730" w:line="240" w:lineRule="exact"/>
    </w:pPr>
    <w:rPr>
      <w:rFonts w:ascii="Verdana" w:hAnsi="Verdana"/>
      <w:color w:val="000000"/>
      <w:sz w:val="18"/>
      <w:szCs w:val="18"/>
    </w:rPr>
  </w:style>
  <w:style w:type="paragraph" w:customStyle="1" w:styleId="RliInleidingVet">
    <w:name w:val="Rli Inleiding Vet"/>
    <w:pPr>
      <w:spacing w:after="240" w:line="240" w:lineRule="exact"/>
    </w:pPr>
    <w:rPr>
      <w:rFonts w:ascii="Verdana" w:hAnsi="Verdana"/>
      <w:b/>
      <w:color w:val="000000"/>
      <w:sz w:val="18"/>
      <w:szCs w:val="18"/>
    </w:rPr>
  </w:style>
  <w:style w:type="paragraph" w:customStyle="1" w:styleId="RliKenmerkHoofd">
    <w:name w:val="Rli Kenmerk Hoofd"/>
    <w:pPr>
      <w:spacing w:line="200" w:lineRule="exact"/>
      <w:jc w:val="right"/>
    </w:pPr>
    <w:rPr>
      <w:rFonts w:ascii="Verdana" w:hAnsi="Verdana"/>
      <w:color w:val="000000"/>
      <w:sz w:val="15"/>
      <w:szCs w:val="15"/>
    </w:rPr>
  </w:style>
  <w:style w:type="paragraph" w:customStyle="1" w:styleId="RLIKenmerkRubricering">
    <w:name w:val="RLI Kenmerk Rubricering"/>
    <w:basedOn w:val="Normal"/>
    <w:next w:val="Normal"/>
    <w:pPr>
      <w:spacing w:line="240" w:lineRule="exact"/>
    </w:pPr>
    <w:rPr>
      <w:b/>
      <w:caps/>
      <w:sz w:val="14"/>
      <w:szCs w:val="14"/>
    </w:rPr>
  </w:style>
  <w:style w:type="paragraph" w:customStyle="1" w:styleId="RliKoptekstKenmerk">
    <w:name w:val="Rli Koptekst Kenmerk"/>
    <w:pPr>
      <w:spacing w:line="240" w:lineRule="exact"/>
    </w:pPr>
    <w:rPr>
      <w:rFonts w:ascii="Verdana" w:hAnsi="Verdana"/>
      <w:b/>
      <w:color w:val="000000"/>
      <w:sz w:val="18"/>
      <w:szCs w:val="18"/>
    </w:rPr>
  </w:style>
  <w:style w:type="paragraph" w:customStyle="1" w:styleId="RliOpsommingnummerKenmerk">
    <w:name w:val="Rli Opsommingnummer Kenmerk"/>
    <w:pPr>
      <w:spacing w:before="480" w:line="240" w:lineRule="exact"/>
    </w:pPr>
    <w:rPr>
      <w:rFonts w:ascii="Verdana" w:hAnsi="Verdana"/>
      <w:b/>
      <w:color w:val="000000"/>
      <w:sz w:val="22"/>
      <w:szCs w:val="22"/>
    </w:rPr>
  </w:style>
  <w:style w:type="paragraph" w:customStyle="1" w:styleId="RliOpsommingtitelOnderwerpInhoud">
    <w:name w:val="Rli Opsommingtitel Onderwerp/Inhoud"/>
    <w:pPr>
      <w:spacing w:before="480" w:line="240" w:lineRule="exact"/>
    </w:pPr>
    <w:rPr>
      <w:rFonts w:ascii="Verdana" w:hAnsi="Verdana"/>
      <w:b/>
      <w:color w:val="000000"/>
    </w:rPr>
  </w:style>
  <w:style w:type="paragraph" w:customStyle="1" w:styleId="RliPaginanummering">
    <w:name w:val="Rli Paginanummering"/>
    <w:pPr>
      <w:spacing w:line="200" w:lineRule="exact"/>
    </w:pPr>
    <w:rPr>
      <w:rFonts w:ascii="Verdana" w:hAnsi="Verdana"/>
      <w:color w:val="000000"/>
      <w:sz w:val="14"/>
      <w:szCs w:val="14"/>
    </w:rPr>
  </w:style>
  <w:style w:type="paragraph" w:customStyle="1" w:styleId="RliParagraafkop">
    <w:name w:val="Rli Paragraafkop"/>
    <w:next w:val="Normal"/>
    <w:pPr>
      <w:spacing w:before="480" w:after="240" w:line="240" w:lineRule="exact"/>
    </w:pPr>
    <w:rPr>
      <w:rFonts w:ascii="Verdana" w:hAnsi="Verdana"/>
      <w:b/>
      <w:color w:val="000000"/>
      <w:sz w:val="22"/>
      <w:szCs w:val="22"/>
    </w:rPr>
  </w:style>
  <w:style w:type="paragraph" w:customStyle="1" w:styleId="RliPersbericht-AlgemeneInformatiekop">
    <w:name w:val="Rli Persbericht - Algemene Informatie kop"/>
    <w:basedOn w:val="RliStandaardVerdana7"/>
    <w:next w:val="Normal"/>
    <w:pPr>
      <w:spacing w:before="964"/>
    </w:pPr>
    <w:rPr>
      <w:b/>
    </w:rPr>
  </w:style>
  <w:style w:type="paragraph" w:customStyle="1" w:styleId="RliPersbericht-Titel">
    <w:name w:val="Rli Persbericht - Titel"/>
    <w:pPr>
      <w:spacing w:line="320" w:lineRule="exact"/>
    </w:pPr>
    <w:rPr>
      <w:rFonts w:ascii="Verdana" w:hAnsi="Verdana"/>
      <w:b/>
      <w:color w:val="000000"/>
      <w:sz w:val="22"/>
      <w:szCs w:val="22"/>
    </w:rPr>
  </w:style>
  <w:style w:type="paragraph" w:customStyle="1" w:styleId="RliSlotzin">
    <w:name w:val="Rli Slotzin"/>
    <w:basedOn w:val="RliStandaard"/>
    <w:pPr>
      <w:spacing w:before="720"/>
    </w:pPr>
  </w:style>
  <w:style w:type="paragraph" w:customStyle="1" w:styleId="RliStandaard">
    <w:name w:val="Rli Standaard"/>
    <w:pPr>
      <w:spacing w:line="240" w:lineRule="exact"/>
    </w:pPr>
    <w:rPr>
      <w:rFonts w:ascii="Verdana" w:hAnsi="Verdana"/>
      <w:color w:val="000000"/>
      <w:sz w:val="18"/>
      <w:szCs w:val="18"/>
    </w:rPr>
  </w:style>
  <w:style w:type="paragraph" w:customStyle="1" w:styleId="Rlistandaard9ptvoor">
    <w:name w:val="Rli standaard 9 pt voor"/>
    <w:basedOn w:val="Normal"/>
    <w:next w:val="Normal"/>
    <w:pPr>
      <w:spacing w:before="180" w:line="240" w:lineRule="exact"/>
    </w:pPr>
  </w:style>
  <w:style w:type="paragraph" w:customStyle="1" w:styleId="RliStandaardVerdana7">
    <w:name w:val="Rli Standaard Verdana 7"/>
    <w:pPr>
      <w:spacing w:line="240" w:lineRule="exact"/>
    </w:pPr>
    <w:rPr>
      <w:rFonts w:ascii="Verdana" w:hAnsi="Verdana"/>
      <w:color w:val="000000"/>
      <w:sz w:val="14"/>
      <w:szCs w:val="14"/>
    </w:rPr>
  </w:style>
  <w:style w:type="paragraph" w:customStyle="1" w:styleId="RliStandaardVerdana8">
    <w:name w:val="Rli Standaard Verdana 8"/>
    <w:pPr>
      <w:spacing w:line="240" w:lineRule="exact"/>
    </w:pPr>
    <w:rPr>
      <w:rFonts w:ascii="Verdana" w:hAnsi="Verdana"/>
      <w:color w:val="000000"/>
      <w:sz w:val="16"/>
      <w:szCs w:val="16"/>
    </w:rPr>
  </w:style>
  <w:style w:type="paragraph" w:customStyle="1" w:styleId="RliStandaardVet">
    <w:name w:val="Rli Standaard Vet"/>
    <w:basedOn w:val="Normal"/>
    <w:next w:val="StandaardVet"/>
    <w:pPr>
      <w:spacing w:line="240" w:lineRule="exact"/>
    </w:pPr>
    <w:rPr>
      <w:b/>
    </w:rPr>
  </w:style>
  <w:style w:type="paragraph" w:customStyle="1" w:styleId="RliTabelcel">
    <w:name w:val="Rli Tabelcel"/>
    <w:pPr>
      <w:spacing w:line="200" w:lineRule="exact"/>
    </w:pPr>
    <w:rPr>
      <w:rFonts w:ascii="Verdana" w:hAnsi="Verdana"/>
      <w:color w:val="000000"/>
      <w:sz w:val="15"/>
      <w:szCs w:val="15"/>
    </w:rPr>
  </w:style>
  <w:style w:type="paragraph" w:customStyle="1" w:styleId="RliTabelcelKop">
    <w:name w:val="Rli Tabelcel Kop"/>
    <w:pPr>
      <w:spacing w:line="200" w:lineRule="exact"/>
    </w:pPr>
    <w:rPr>
      <w:rFonts w:ascii="Verdana" w:hAnsi="Verdana"/>
      <w:b/>
      <w:color w:val="000000"/>
      <w:sz w:val="15"/>
      <w:szCs w:val="15"/>
    </w:rPr>
  </w:style>
  <w:style w:type="paragraph" w:customStyle="1" w:styleId="RliTekstblokAlgemeneInformatiekop">
    <w:name w:val="Rli Tekstblok Algemene Informatie kop"/>
    <w:next w:val="RliStandaardVerdana7"/>
    <w:pPr>
      <w:spacing w:before="720" w:line="240" w:lineRule="exact"/>
    </w:pPr>
    <w:rPr>
      <w:rFonts w:ascii="Verdana" w:hAnsi="Verdana"/>
      <w:b/>
      <w:color w:val="000000"/>
      <w:sz w:val="14"/>
      <w:szCs w:val="14"/>
    </w:rPr>
  </w:style>
  <w:style w:type="paragraph" w:customStyle="1" w:styleId="RliVerslaginleiding">
    <w:name w:val="Rli Verslag inleiding"/>
    <w:basedOn w:val="Normal"/>
    <w:next w:val="Normal"/>
    <w:pPr>
      <w:spacing w:line="240" w:lineRule="exact"/>
    </w:pPr>
  </w:style>
  <w:style w:type="paragraph" w:customStyle="1" w:styleId="Rubricering">
    <w:name w:val="Rubricering"/>
    <w:next w:val="Normal"/>
    <w:pPr>
      <w:spacing w:line="180" w:lineRule="exact"/>
    </w:pPr>
    <w:rPr>
      <w:rFonts w:ascii="Verdana" w:hAnsi="Verdana"/>
      <w:b/>
      <w:caps/>
      <w:color w:val="000000"/>
      <w:sz w:val="13"/>
      <w:szCs w:val="13"/>
    </w:rPr>
  </w:style>
  <w:style w:type="paragraph" w:customStyle="1" w:styleId="Ruimtetussentabellen">
    <w:name w:val="Ruimte tussen tabellen"/>
    <w:basedOn w:val="Normal"/>
    <w:next w:val="Normal"/>
    <w:pPr>
      <w:spacing w:line="20" w:lineRule="exact"/>
    </w:pPr>
    <w:rPr>
      <w:sz w:val="2"/>
      <w:szCs w:val="2"/>
    </w:rPr>
  </w:style>
  <w:style w:type="paragraph" w:customStyle="1" w:styleId="SjablonenIenM-Speech-onderwerp">
    <w:name w:val="Sjablonen IenM - Speech - onderwerp"/>
    <w:basedOn w:val="Normal"/>
    <w:next w:val="Normal"/>
    <w:pPr>
      <w:spacing w:before="460" w:line="320" w:lineRule="exact"/>
    </w:pPr>
    <w:rPr>
      <w:b/>
      <w:sz w:val="24"/>
      <w:szCs w:val="24"/>
    </w:rPr>
  </w:style>
  <w:style w:type="paragraph" w:customStyle="1" w:styleId="SjablonenIenM-Speech-subtitel">
    <w:name w:val="Sjablonen IenM - Speech - subtitel"/>
    <w:basedOn w:val="Normal"/>
    <w:next w:val="Normal"/>
    <w:pPr>
      <w:spacing w:after="220" w:line="320" w:lineRule="exact"/>
    </w:pPr>
    <w:rPr>
      <w:sz w:val="24"/>
      <w:szCs w:val="24"/>
    </w:rPr>
  </w:style>
  <w:style w:type="paragraph" w:customStyle="1" w:styleId="Slotzin">
    <w:name w:val="Slotzin"/>
    <w:basedOn w:val="Normal"/>
    <w:next w:val="Normal"/>
    <w:pPr>
      <w:spacing w:before="240" w:line="240" w:lineRule="exact"/>
    </w:pPr>
  </w:style>
  <w:style w:type="table" w:customStyle="1" w:styleId="SSC-ICTTabellijnen">
    <w:name w:val="SSC-ICT Tabel lijnen"/>
    <w:rPr>
      <w:rFonts w:ascii="Verdana" w:hAnsi="Verdana"/>
      <w:sz w:val="18"/>
      <w:szCs w:val="18"/>
      <w:lang w:val="en-GB" w:eastAsia="en-GB"/>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40" w:type="dxa"/>
        <w:bottom w:w="0" w:type="dxa"/>
        <w:right w:w="40" w:type="dxa"/>
      </w:tblCellMar>
    </w:tblPr>
    <w:tblStylePr w:type="firstRow">
      <w:rPr>
        <w:sz w:val="18"/>
        <w:szCs w:val="18"/>
      </w:rPr>
      <w:tblPr/>
      <w:tcPr>
        <w:shd w:val="clear" w:color="auto" w:fill="BDBDBD"/>
      </w:tcPr>
    </w:tblStylePr>
  </w:style>
  <w:style w:type="table" w:customStyle="1" w:styleId="SSC-ICTTabelzonderachtergondkleur">
    <w:name w:val="SSC-ICT Tabel zonder achtergondkleur"/>
    <w:rPr>
      <w:rFonts w:ascii="Verdana" w:hAnsi="Verdana"/>
      <w:color w:val="000000"/>
      <w:sz w:val="18"/>
      <w:szCs w:val="18"/>
      <w:lang w:val="en-GB" w:eastAsia="en-GB"/>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0" w:type="dxa"/>
        <w:bottom w:w="0" w:type="dxa"/>
        <w:right w:w="0" w:type="dxa"/>
      </w:tblCellMar>
    </w:tblPr>
    <w:tcPr>
      <w:shd w:val="clear" w:color="auto" w:fill="auto"/>
    </w:tcPr>
    <w:tblStylePr w:type="firstRow">
      <w:rPr>
        <w:rFonts w:ascii="Verdana" w:hAnsi="Verdana"/>
        <w:sz w:val="18"/>
        <w:szCs w:val="18"/>
      </w:rPr>
      <w:tblPr/>
      <w:tcPr>
        <w:shd w:val="clear" w:color="auto" w:fill="auto"/>
      </w:tcPr>
    </w:tblStylePr>
    <w:tblStylePr w:type="firstCol">
      <w:tblPr/>
      <w:tcPr>
        <w:shd w:val="clear" w:color="auto" w:fill="auto"/>
      </w:tcPr>
    </w:tblStylePr>
    <w:tblStylePr w:type="lastCol">
      <w:pPr>
        <w:jc w:val="right"/>
      </w:pPr>
    </w:tblStylePr>
  </w:style>
  <w:style w:type="paragraph" w:customStyle="1" w:styleId="SSC-ICTTabelkop">
    <w:name w:val="SSC-ICT Tabelkop"/>
    <w:basedOn w:val="Normal"/>
    <w:next w:val="Normal"/>
    <w:pPr>
      <w:spacing w:before="40" w:after="40" w:line="240" w:lineRule="exact"/>
      <w:ind w:left="40"/>
    </w:pPr>
  </w:style>
  <w:style w:type="paragraph" w:customStyle="1" w:styleId="SSFAanhef">
    <w:name w:val="SSF Aanhef"/>
    <w:basedOn w:val="SSFStandaard"/>
    <w:next w:val="Normal"/>
    <w:pPr>
      <w:spacing w:after="360"/>
    </w:pPr>
  </w:style>
  <w:style w:type="paragraph" w:customStyle="1" w:styleId="SSFGroetregel">
    <w:name w:val="SSF Groetregel"/>
    <w:basedOn w:val="SSFStandaard"/>
    <w:next w:val="Normal"/>
    <w:pPr>
      <w:spacing w:before="180"/>
    </w:pPr>
  </w:style>
  <w:style w:type="paragraph" w:customStyle="1" w:styleId="SSFInstructietekstVoorlopigvoorschot">
    <w:name w:val="SSF Instructietekst Voorlopig voorschot"/>
    <w:basedOn w:val="SSFStandaard"/>
    <w:pPr>
      <w:spacing w:line="260" w:lineRule="exact"/>
    </w:pPr>
    <w:rPr>
      <w:sz w:val="24"/>
      <w:szCs w:val="24"/>
    </w:rPr>
  </w:style>
  <w:style w:type="paragraph" w:customStyle="1" w:styleId="SSFKopjeZegge">
    <w:name w:val="SSF Kopje Zegge"/>
    <w:basedOn w:val="SSFStandaard"/>
    <w:pPr>
      <w:spacing w:line="220" w:lineRule="exact"/>
    </w:pPr>
  </w:style>
  <w:style w:type="paragraph" w:customStyle="1" w:styleId="SSFKopjes">
    <w:name w:val="SSF Kopjes"/>
    <w:basedOn w:val="SSFStandaard"/>
    <w:rPr>
      <w:sz w:val="13"/>
      <w:szCs w:val="13"/>
    </w:rPr>
  </w:style>
  <w:style w:type="paragraph" w:customStyle="1" w:styleId="SSFNummeringKredietovereenkomst">
    <w:name w:val="SSF Nummering Kredietovereenkomst"/>
    <w:basedOn w:val="SSFStandaard"/>
    <w:next w:val="SSFStandaard"/>
    <w:pPr>
      <w:numPr>
        <w:numId w:val="19"/>
      </w:numPr>
      <w:spacing w:after="180"/>
    </w:pPr>
  </w:style>
  <w:style w:type="paragraph" w:customStyle="1" w:styleId="SSFNummeringKredietovereenkomstA">
    <w:name w:val="SSF Nummering Kredietovereenkomst (A)"/>
    <w:basedOn w:val="SSFPaginanummering"/>
    <w:next w:val="SSFStandaard"/>
    <w:pPr>
      <w:numPr>
        <w:numId w:val="20"/>
      </w:numPr>
      <w:jc w:val="left"/>
    </w:pPr>
  </w:style>
  <w:style w:type="paragraph" w:customStyle="1" w:styleId="SSFnummeringovereenkomst">
    <w:name w:val="SSF nummering overeenkomst"/>
    <w:basedOn w:val="SSFStandaard"/>
    <w:next w:val="SSFStandaard"/>
    <w:pPr>
      <w:spacing w:after="180"/>
    </w:pPr>
  </w:style>
  <w:style w:type="paragraph" w:customStyle="1" w:styleId="SSFnummeringovereenkomstletters">
    <w:name w:val="SSF nummering overeenkomst (letters)"/>
    <w:basedOn w:val="SSFPaginanummering"/>
    <w:next w:val="SSFStandaard"/>
    <w:pPr>
      <w:jc w:val="left"/>
    </w:pPr>
  </w:style>
  <w:style w:type="paragraph" w:customStyle="1" w:styleId="SSFOndertekeningKredietnemer">
    <w:name w:val="SSF Ondertekening Kredietnemer"/>
    <w:basedOn w:val="SSFStandaard"/>
    <w:next w:val="SSFStandaard"/>
    <w:pPr>
      <w:ind w:left="720"/>
    </w:pPr>
  </w:style>
  <w:style w:type="paragraph" w:customStyle="1" w:styleId="SSFOndertekeningStichting">
    <w:name w:val="SSF Ondertekening Stichting"/>
    <w:basedOn w:val="SSFStandaard"/>
    <w:next w:val="SSFStandaard"/>
    <w:pPr>
      <w:ind w:left="4320"/>
    </w:pPr>
  </w:style>
  <w:style w:type="paragraph" w:customStyle="1" w:styleId="SSFPaginanummering">
    <w:name w:val="SSF Paginanummering"/>
    <w:basedOn w:val="SSFStandaard"/>
    <w:pPr>
      <w:jc w:val="center"/>
    </w:pPr>
  </w:style>
  <w:style w:type="paragraph" w:customStyle="1" w:styleId="SSFStandaard">
    <w:name w:val="SSF Standaard"/>
    <w:basedOn w:val="Normal"/>
    <w:next w:val="Normal"/>
    <w:pPr>
      <w:spacing w:line="240" w:lineRule="exact"/>
    </w:pPr>
  </w:style>
  <w:style w:type="paragraph" w:customStyle="1" w:styleId="SSFTabeltekstrechtsuitgelijnd">
    <w:name w:val="SSF Tabeltekst rechts uitgelijnd"/>
    <w:basedOn w:val="SSFStandaard"/>
    <w:pPr>
      <w:spacing w:line="180" w:lineRule="exact"/>
      <w:jc w:val="right"/>
    </w:pPr>
  </w:style>
  <w:style w:type="paragraph" w:customStyle="1" w:styleId="SSFTabeltekststandaard">
    <w:name w:val="SSF Tabeltekst standaard"/>
    <w:basedOn w:val="SSFStandaard"/>
    <w:pPr>
      <w:spacing w:line="180" w:lineRule="exact"/>
    </w:pPr>
  </w:style>
  <w:style w:type="paragraph" w:customStyle="1" w:styleId="SSFTitelKwitantie">
    <w:name w:val="SSF Titel Kwitantie"/>
    <w:basedOn w:val="SSFStandaard"/>
    <w:rPr>
      <w:b/>
      <w:sz w:val="24"/>
      <w:szCs w:val="24"/>
    </w:rPr>
  </w:style>
  <w:style w:type="paragraph" w:customStyle="1" w:styleId="SSFWoordmerk-Departement">
    <w:name w:val="SSF Woordmerk - Departement"/>
    <w:basedOn w:val="Normal"/>
    <w:next w:val="Normal"/>
    <w:pPr>
      <w:spacing w:before="320" w:line="220" w:lineRule="exact"/>
    </w:pPr>
    <w:rPr>
      <w:sz w:val="22"/>
      <w:szCs w:val="22"/>
    </w:rPr>
  </w:style>
  <w:style w:type="paragraph" w:customStyle="1" w:styleId="SSFWoordmerk-Organisatie">
    <w:name w:val="SSF Woordmerk - Organisatie"/>
    <w:basedOn w:val="Normal"/>
    <w:next w:val="Normal"/>
    <w:pPr>
      <w:spacing w:line="320" w:lineRule="exact"/>
    </w:pPr>
    <w:rPr>
      <w:sz w:val="32"/>
      <w:szCs w:val="32"/>
    </w:rPr>
  </w:style>
  <w:style w:type="paragraph" w:customStyle="1" w:styleId="SSFZegge">
    <w:name w:val="SSF Zegge"/>
    <w:basedOn w:val="SSFStandaard"/>
    <w:pPr>
      <w:spacing w:line="220" w:lineRule="exact"/>
    </w:pPr>
    <w:rPr>
      <w:caps/>
    </w:rPr>
  </w:style>
  <w:style w:type="paragraph" w:customStyle="1" w:styleId="Standaard9ptmet8ptna">
    <w:name w:val="Standaard 9pt met 8pt na"/>
    <w:basedOn w:val="Normal"/>
    <w:next w:val="Normal"/>
    <w:pPr>
      <w:spacing w:after="160"/>
    </w:pPr>
  </w:style>
  <w:style w:type="paragraph" w:customStyle="1" w:styleId="Standaardboldcenter">
    <w:name w:val="Standaard bold center"/>
    <w:basedOn w:val="Normal"/>
    <w:next w:val="Normal"/>
    <w:pPr>
      <w:spacing w:line="240" w:lineRule="exact"/>
      <w:jc w:val="center"/>
    </w:pPr>
    <w:rPr>
      <w:b/>
    </w:rPr>
  </w:style>
  <w:style w:type="paragraph" w:customStyle="1" w:styleId="Standaardboldrechts">
    <w:name w:val="Standaard bold rechts"/>
    <w:basedOn w:val="Normal"/>
    <w:next w:val="Normal"/>
    <w:pPr>
      <w:spacing w:line="240" w:lineRule="exact"/>
      <w:jc w:val="right"/>
    </w:pPr>
    <w:rPr>
      <w:b/>
    </w:rPr>
  </w:style>
  <w:style w:type="paragraph" w:customStyle="1" w:styleId="StandaardCursief">
    <w:name w:val="Standaard Cursief"/>
    <w:basedOn w:val="Normal"/>
    <w:next w:val="Normal"/>
    <w:pPr>
      <w:spacing w:line="240" w:lineRule="exact"/>
    </w:pPr>
    <w:rPr>
      <w:i/>
    </w:rPr>
  </w:style>
  <w:style w:type="paragraph" w:customStyle="1" w:styleId="StandaardKleinKapitaal">
    <w:name w:val="Standaard Klein Kapitaal"/>
    <w:basedOn w:val="Normal"/>
    <w:next w:val="Normal"/>
    <w:pPr>
      <w:spacing w:line="240" w:lineRule="exact"/>
    </w:pPr>
    <w:rPr>
      <w:smallCaps/>
    </w:rPr>
  </w:style>
  <w:style w:type="paragraph" w:customStyle="1" w:styleId="Standaardopsomming">
    <w:name w:val="Standaard opsomming"/>
    <w:basedOn w:val="Normal"/>
    <w:next w:val="Normal"/>
    <w:pPr>
      <w:numPr>
        <w:numId w:val="21"/>
      </w:numPr>
      <w:spacing w:line="240" w:lineRule="exact"/>
    </w:pPr>
  </w:style>
  <w:style w:type="paragraph" w:customStyle="1" w:styleId="Standaardopsomminglijst">
    <w:name w:val="Standaard opsomming lijst"/>
    <w:basedOn w:val="Normal"/>
    <w:next w:val="Normal"/>
    <w:pPr>
      <w:spacing w:line="240" w:lineRule="exact"/>
    </w:pPr>
  </w:style>
  <w:style w:type="paragraph" w:customStyle="1" w:styleId="Standaardrechts">
    <w:name w:val="Standaard rechts"/>
    <w:basedOn w:val="Normal"/>
    <w:next w:val="Normal"/>
    <w:pPr>
      <w:spacing w:line="240" w:lineRule="exact"/>
      <w:jc w:val="right"/>
    </w:pPr>
  </w:style>
  <w:style w:type="table" w:customStyle="1" w:styleId="Standaardtabelmetlijnen">
    <w:name w:val="Standaard tabel met lijnen"/>
    <w:rPr>
      <w:rFonts w:ascii="Verdana" w:hAnsi="Verdana"/>
      <w:color w:val="000000"/>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20" w:type="dxa"/>
        <w:left w:w="40" w:type="dxa"/>
        <w:bottom w:w="20" w:type="dxa"/>
        <w:right w:w="40" w:type="dxa"/>
      </w:tblCellMar>
    </w:tblPr>
    <w:tcPr>
      <w:shd w:val="clear" w:color="auto" w:fill="auto"/>
    </w:tcPr>
  </w:style>
  <w:style w:type="paragraph" w:customStyle="1" w:styleId="StandaardVerdana12">
    <w:name w:val="Standaard Verdana 12"/>
    <w:basedOn w:val="Normal"/>
    <w:next w:val="Normal"/>
    <w:pPr>
      <w:spacing w:line="240" w:lineRule="exact"/>
    </w:pPr>
    <w:rPr>
      <w:sz w:val="24"/>
      <w:szCs w:val="24"/>
    </w:rPr>
  </w:style>
  <w:style w:type="paragraph" w:customStyle="1" w:styleId="StandaardVerdana12bold">
    <w:name w:val="Standaard Verdana 12 bold"/>
    <w:basedOn w:val="Normal"/>
    <w:next w:val="Normal"/>
    <w:pPr>
      <w:spacing w:line="240" w:lineRule="exact"/>
    </w:pPr>
    <w:rPr>
      <w:b/>
      <w:sz w:val="24"/>
      <w:szCs w:val="24"/>
    </w:rPr>
  </w:style>
  <w:style w:type="paragraph" w:customStyle="1" w:styleId="StandaardVerdana14">
    <w:name w:val="Standaard Verdana 14"/>
    <w:basedOn w:val="Normal"/>
    <w:next w:val="Normal"/>
    <w:pPr>
      <w:spacing w:line="340" w:lineRule="exact"/>
    </w:pPr>
    <w:rPr>
      <w:sz w:val="28"/>
      <w:szCs w:val="28"/>
    </w:rPr>
  </w:style>
  <w:style w:type="paragraph" w:customStyle="1" w:styleId="StandaardVet">
    <w:name w:val="Standaard Vet"/>
    <w:basedOn w:val="Normal"/>
    <w:next w:val="Normal"/>
    <w:pPr>
      <w:spacing w:line="240" w:lineRule="exact"/>
    </w:pPr>
    <w:rPr>
      <w:b/>
    </w:rPr>
  </w:style>
  <w:style w:type="paragraph" w:customStyle="1" w:styleId="StandaardVetenRood">
    <w:name w:val="Standaard Vet en Rood"/>
    <w:basedOn w:val="Normal"/>
    <w:next w:val="Normal"/>
    <w:pPr>
      <w:spacing w:line="240" w:lineRule="exact"/>
    </w:pPr>
    <w:rPr>
      <w:b/>
      <w:color w:val="FF0000"/>
    </w:rPr>
  </w:style>
  <w:style w:type="paragraph" w:customStyle="1" w:styleId="StandaardRapportExtraVermelding">
    <w:name w:val="Standaard_Rapport_Extra_Vermelding"/>
    <w:basedOn w:val="Normal"/>
    <w:next w:val="Normal"/>
    <w:pPr>
      <w:spacing w:before="60" w:after="300" w:line="240" w:lineRule="exact"/>
    </w:pPr>
    <w:rPr>
      <w:sz w:val="20"/>
      <w:szCs w:val="20"/>
    </w:rPr>
  </w:style>
  <w:style w:type="table" w:customStyle="1" w:styleId="StandaardRapportpag1">
    <w:name w:val="Standaard_Rapport_pag1"/>
    <w:rPr>
      <w:rFonts w:ascii="Verdana" w:hAnsi="Verdana"/>
      <w:color w:val="000000"/>
      <w:sz w:val="18"/>
      <w:szCs w:val="18"/>
    </w:rPr>
    <w:tblPr>
      <w:tblCellMar>
        <w:top w:w="0" w:type="dxa"/>
        <w:left w:w="0" w:type="dxa"/>
        <w:bottom w:w="0" w:type="dxa"/>
        <w:right w:w="0" w:type="dxa"/>
      </w:tblCellMar>
    </w:tblPr>
    <w:tcPr>
      <w:shd w:val="clear" w:color="auto" w:fill="auto"/>
    </w:tcPr>
  </w:style>
  <w:style w:type="paragraph" w:customStyle="1" w:styleId="StandaardRapportSubtitel">
    <w:name w:val="Standaard_Rapport_Subtitel"/>
    <w:basedOn w:val="Normal"/>
    <w:next w:val="Normal"/>
    <w:pPr>
      <w:spacing w:before="240" w:after="360" w:line="240" w:lineRule="exact"/>
    </w:pPr>
    <w:rPr>
      <w:sz w:val="20"/>
      <w:szCs w:val="20"/>
    </w:rPr>
  </w:style>
  <w:style w:type="paragraph" w:customStyle="1" w:styleId="StandaardRapportTitel">
    <w:name w:val="Standaard_Rapport_Titel"/>
    <w:basedOn w:val="Normal"/>
    <w:next w:val="Normal"/>
    <w:pPr>
      <w:spacing w:before="60" w:after="320" w:line="240" w:lineRule="exact"/>
    </w:pPr>
    <w:rPr>
      <w:b/>
      <w:sz w:val="24"/>
      <w:szCs w:val="24"/>
    </w:rPr>
  </w:style>
  <w:style w:type="paragraph" w:customStyle="1" w:styleId="StandaardRapportVersie">
    <w:name w:val="Standaard_Rapport_Versie"/>
    <w:basedOn w:val="Normal"/>
    <w:next w:val="Normal"/>
    <w:pPr>
      <w:spacing w:before="60" w:after="360" w:line="240" w:lineRule="exact"/>
    </w:pPr>
  </w:style>
  <w:style w:type="paragraph" w:customStyle="1" w:styleId="Toezendgegevens">
    <w:name w:val="Toezendgegevens"/>
    <w:pPr>
      <w:spacing w:line="240" w:lineRule="exact"/>
    </w:pPr>
    <w:rPr>
      <w:rFonts w:ascii="Verdana" w:hAnsi="Verdana"/>
      <w:color w:val="000000"/>
      <w:sz w:val="18"/>
      <w:szCs w:val="18"/>
    </w:rPr>
  </w:style>
  <w:style w:type="paragraph" w:customStyle="1" w:styleId="Verdana">
    <w:name w:val="Verdana"/>
    <w:basedOn w:val="Normal"/>
    <w:next w:val="Normal"/>
    <w:pPr>
      <w:spacing w:line="240" w:lineRule="exact"/>
    </w:pPr>
    <w:rPr>
      <w:sz w:val="14"/>
      <w:szCs w:val="14"/>
    </w:rPr>
  </w:style>
  <w:style w:type="paragraph" w:customStyle="1" w:styleId="Verdana65">
    <w:name w:val="Verdana 6;5"/>
    <w:basedOn w:val="Normal"/>
    <w:next w:val="Normal"/>
    <w:pPr>
      <w:spacing w:line="240" w:lineRule="exact"/>
    </w:pPr>
    <w:rPr>
      <w:sz w:val="13"/>
      <w:szCs w:val="13"/>
    </w:rPr>
  </w:style>
  <w:style w:type="paragraph" w:customStyle="1" w:styleId="Verdana65bold">
    <w:name w:val="Verdana 6;5 bold"/>
    <w:basedOn w:val="Normal"/>
    <w:next w:val="Normal"/>
    <w:pPr>
      <w:spacing w:line="180" w:lineRule="exact"/>
    </w:pPr>
    <w:rPr>
      <w:b/>
      <w:sz w:val="13"/>
      <w:szCs w:val="13"/>
    </w:rPr>
  </w:style>
  <w:style w:type="paragraph" w:customStyle="1" w:styleId="Verdana8">
    <w:name w:val="Verdana 8"/>
    <w:next w:val="Normal"/>
    <w:pPr>
      <w:spacing w:line="180" w:lineRule="exact"/>
    </w:pPr>
    <w:rPr>
      <w:rFonts w:ascii="Verdana" w:hAnsi="Verdana"/>
      <w:color w:val="000000"/>
      <w:sz w:val="16"/>
      <w:szCs w:val="16"/>
    </w:rPr>
  </w:style>
  <w:style w:type="paragraph" w:customStyle="1" w:styleId="Verdana8rechts">
    <w:name w:val="Verdana 8 rechts"/>
    <w:basedOn w:val="Normal"/>
    <w:next w:val="Normal"/>
    <w:pPr>
      <w:spacing w:line="240" w:lineRule="exact"/>
      <w:jc w:val="right"/>
    </w:pPr>
    <w:rPr>
      <w:sz w:val="16"/>
      <w:szCs w:val="16"/>
    </w:rPr>
  </w:style>
  <w:style w:type="paragraph" w:customStyle="1" w:styleId="WitregelW1">
    <w:name w:val="Witregel W1"/>
    <w:next w:val="Normal"/>
    <w:pPr>
      <w:spacing w:line="90" w:lineRule="exact"/>
    </w:pPr>
    <w:rPr>
      <w:rFonts w:ascii="Verdana" w:hAnsi="Verdana"/>
      <w:color w:val="000000"/>
      <w:sz w:val="9"/>
      <w:szCs w:val="9"/>
    </w:rPr>
  </w:style>
  <w:style w:type="paragraph" w:customStyle="1" w:styleId="WitregelW1bodytekst">
    <w:name w:val="Witregel W1 (bodytekst)"/>
    <w:next w:val="Normal"/>
    <w:pPr>
      <w:spacing w:line="240" w:lineRule="exact"/>
    </w:pPr>
    <w:rPr>
      <w:rFonts w:ascii="Verdana" w:hAnsi="Verdana"/>
      <w:color w:val="000000"/>
      <w:sz w:val="18"/>
      <w:szCs w:val="18"/>
    </w:rPr>
  </w:style>
  <w:style w:type="paragraph" w:customStyle="1" w:styleId="WitregelW2">
    <w:name w:val="Witregel W2"/>
    <w:next w:val="Normal"/>
    <w:pPr>
      <w:spacing w:line="270" w:lineRule="exact"/>
    </w:pPr>
    <w:rPr>
      <w:rFonts w:ascii="Verdana" w:hAnsi="Verdana"/>
      <w:color w:val="000000"/>
      <w:sz w:val="27"/>
      <w:szCs w:val="27"/>
    </w:rPr>
  </w:style>
  <w:style w:type="paragraph" w:customStyle="1" w:styleId="Witregel1pt">
    <w:name w:val="Witregel_1pt"/>
    <w:basedOn w:val="Normal"/>
    <w:next w:val="Normal"/>
    <w:pPr>
      <w:spacing w:line="240" w:lineRule="exact"/>
    </w:pPr>
    <w:rPr>
      <w:sz w:val="2"/>
      <w:szCs w:val="2"/>
    </w:rPr>
  </w:style>
  <w:style w:type="paragraph" w:customStyle="1" w:styleId="Zendbriefstandaard">
    <w:name w:val="Zendbrief standaard"/>
    <w:basedOn w:val="Normal"/>
    <w:next w:val="Normal"/>
    <w:pPr>
      <w:spacing w:before="100" w:after="240" w:line="240" w:lineRule="exact"/>
    </w:pPr>
  </w:style>
  <w:style w:type="paragraph" w:customStyle="1" w:styleId="HBJZ-Kamerstukken-regelafstand13">
    <w:name w:val="HBJZ - Kamerstukken - regelafstand 13"/>
    <w:aliases w:val="8"/>
    <w:basedOn w:val="Normal"/>
    <w:next w:val="Normal"/>
    <w:rsid w:val="002B20E9"/>
    <w:pPr>
      <w:spacing w:line="276" w:lineRule="exact"/>
      <w:textAlignment w:val="auto"/>
    </w:pPr>
  </w:style>
  <w:style w:type="character" w:styleId="CommentReference">
    <w:name w:val="annotation reference"/>
    <w:basedOn w:val="DefaultParagraphFont"/>
    <w:uiPriority w:val="99"/>
    <w:semiHidden/>
    <w:unhideWhenUsed/>
    <w:rsid w:val="00A41164"/>
    <w:rPr>
      <w:sz w:val="16"/>
      <w:szCs w:val="16"/>
    </w:rPr>
  </w:style>
  <w:style w:type="paragraph" w:styleId="CommentText">
    <w:name w:val="annotation text"/>
    <w:basedOn w:val="Normal"/>
    <w:link w:val="CommentTextChar"/>
    <w:uiPriority w:val="99"/>
    <w:unhideWhenUsed/>
    <w:rsid w:val="00A41164"/>
    <w:pPr>
      <w:spacing w:line="240" w:lineRule="auto"/>
    </w:pPr>
    <w:rPr>
      <w:sz w:val="20"/>
      <w:szCs w:val="20"/>
    </w:rPr>
  </w:style>
  <w:style w:type="character" w:customStyle="1" w:styleId="CommentTextChar">
    <w:name w:val="Comment Text Char"/>
    <w:basedOn w:val="DefaultParagraphFont"/>
    <w:link w:val="CommentText"/>
    <w:uiPriority w:val="99"/>
    <w:rsid w:val="00A41164"/>
    <w:rPr>
      <w:rFonts w:ascii="Verdana" w:hAnsi="Verdana"/>
      <w:color w:val="000000"/>
    </w:rPr>
  </w:style>
  <w:style w:type="paragraph" w:styleId="CommentSubject">
    <w:name w:val="annotation subject"/>
    <w:basedOn w:val="CommentText"/>
    <w:next w:val="CommentText"/>
    <w:link w:val="CommentSubjectChar"/>
    <w:uiPriority w:val="99"/>
    <w:semiHidden/>
    <w:unhideWhenUsed/>
    <w:rsid w:val="00A41164"/>
    <w:rPr>
      <w:b/>
      <w:bCs/>
    </w:rPr>
  </w:style>
  <w:style w:type="character" w:customStyle="1" w:styleId="CommentSubjectChar">
    <w:name w:val="Comment Subject Char"/>
    <w:basedOn w:val="CommentTextChar"/>
    <w:link w:val="CommentSubject"/>
    <w:uiPriority w:val="99"/>
    <w:semiHidden/>
    <w:rsid w:val="00A41164"/>
    <w:rPr>
      <w:rFonts w:ascii="Verdana" w:hAnsi="Verdana"/>
      <w:b/>
      <w:bCs/>
      <w:color w:val="000000"/>
    </w:rPr>
  </w:style>
  <w:style w:type="paragraph" w:styleId="ListParagraph">
    <w:name w:val="List Paragraph"/>
    <w:aliases w:val="Lijst meerdere niveaus,Dot pt,F5 List Paragraph,List Paragraph1,No Spacing1,List Paragraph Char Char Char,Indicator Text,Numbered Para 1,Bullet 1,Bullet Points,Párrafo de lista,MAIN CONTENT,Recommendation,List Paragraph2,Normal numbere"/>
    <w:basedOn w:val="Normal"/>
    <w:link w:val="ListParagraphChar"/>
    <w:uiPriority w:val="34"/>
    <w:qFormat/>
    <w:rsid w:val="008343D2"/>
    <w:pPr>
      <w:autoSpaceDN/>
      <w:spacing w:after="160" w:line="259" w:lineRule="auto"/>
      <w:ind w:left="720"/>
      <w:contextualSpacing/>
      <w:textAlignment w:val="auto"/>
    </w:pPr>
    <w:rPr>
      <w:rFonts w:asciiTheme="minorHAnsi" w:eastAsiaTheme="minorHAnsi" w:hAnsiTheme="minorHAnsi" w:cstheme="minorBidi"/>
      <w:color w:val="auto"/>
      <w:kern w:val="2"/>
      <w:sz w:val="22"/>
      <w:szCs w:val="22"/>
      <w:lang w:eastAsia="en-US"/>
      <w14:ligatures w14:val="standardContextual"/>
    </w:rPr>
  </w:style>
  <w:style w:type="character" w:styleId="Hyperlink">
    <w:name w:val="Hyperlink"/>
    <w:basedOn w:val="DefaultParagraphFont"/>
    <w:uiPriority w:val="99"/>
    <w:unhideWhenUsed/>
    <w:rsid w:val="008343D2"/>
    <w:rPr>
      <w:color w:val="0563C1" w:themeColor="hyperlink"/>
      <w:u w:val="single"/>
    </w:rPr>
  </w:style>
  <w:style w:type="paragraph" w:styleId="FootnoteText">
    <w:name w:val="footnote text"/>
    <w:basedOn w:val="Normal"/>
    <w:link w:val="FootnoteTextChar"/>
    <w:uiPriority w:val="99"/>
    <w:semiHidden/>
    <w:unhideWhenUsed/>
    <w:rsid w:val="008343D2"/>
    <w:pPr>
      <w:spacing w:line="240" w:lineRule="auto"/>
    </w:pPr>
    <w:rPr>
      <w:sz w:val="20"/>
      <w:szCs w:val="20"/>
    </w:rPr>
  </w:style>
  <w:style w:type="character" w:customStyle="1" w:styleId="FootnoteTextChar">
    <w:name w:val="Footnote Text Char"/>
    <w:basedOn w:val="DefaultParagraphFont"/>
    <w:link w:val="FootnoteText"/>
    <w:uiPriority w:val="99"/>
    <w:semiHidden/>
    <w:rsid w:val="008343D2"/>
    <w:rPr>
      <w:rFonts w:ascii="Verdana" w:hAnsi="Verdana"/>
      <w:color w:val="000000"/>
    </w:rPr>
  </w:style>
  <w:style w:type="character" w:styleId="FootnoteReference">
    <w:name w:val="footnote reference"/>
    <w:basedOn w:val="DefaultParagraphFont"/>
    <w:uiPriority w:val="99"/>
    <w:semiHidden/>
    <w:unhideWhenUsed/>
    <w:rsid w:val="008343D2"/>
    <w:rPr>
      <w:vertAlign w:val="superscript"/>
    </w:rPr>
  </w:style>
  <w:style w:type="character" w:customStyle="1" w:styleId="ListParagraphChar">
    <w:name w:val="List Paragraph Char"/>
    <w:aliases w:val="Lijst meerdere niveaus Char,Dot pt Char,F5 List Paragraph Char,List Paragraph1 Char,No Spacing1 Char,List Paragraph Char Char Char Char,Indicator Text Char,Numbered Para 1 Char,Bullet 1 Char,Bullet Points Char,Párrafo de lista Char"/>
    <w:basedOn w:val="DefaultParagraphFont"/>
    <w:link w:val="ListParagraph"/>
    <w:uiPriority w:val="34"/>
    <w:qFormat/>
    <w:locked/>
    <w:rsid w:val="008343D2"/>
    <w:rPr>
      <w:rFonts w:asciiTheme="minorHAnsi" w:eastAsiaTheme="minorHAnsi" w:hAnsiTheme="minorHAnsi" w:cstheme="minorBidi"/>
      <w:kern w:val="2"/>
      <w:sz w:val="22"/>
      <w:szCs w:val="22"/>
      <w:lang w:eastAsia="en-US"/>
      <w14:ligatures w14:val="standardContextual"/>
    </w:rPr>
  </w:style>
  <w:style w:type="character" w:styleId="FollowedHyperlink">
    <w:name w:val="FollowedHyperlink"/>
    <w:basedOn w:val="DefaultParagraphFont"/>
    <w:uiPriority w:val="99"/>
    <w:semiHidden/>
    <w:unhideWhenUsed/>
    <w:rsid w:val="008343D2"/>
    <w:rPr>
      <w:color w:val="954F72" w:themeColor="followedHyperlink"/>
      <w:u w:val="single"/>
    </w:rPr>
  </w:style>
  <w:style w:type="character" w:customStyle="1" w:styleId="UnresolvedMention">
    <w:name w:val="Unresolved Mention"/>
    <w:basedOn w:val="DefaultParagraphFont"/>
    <w:uiPriority w:val="99"/>
    <w:semiHidden/>
    <w:unhideWhenUsed/>
    <w:rsid w:val="0022458E"/>
    <w:rPr>
      <w:color w:val="605E5C"/>
      <w:shd w:val="clear" w:color="auto" w:fill="E1DFDD"/>
    </w:rPr>
  </w:style>
  <w:style w:type="paragraph" w:styleId="Revision">
    <w:name w:val="Revision"/>
    <w:hidden/>
    <w:uiPriority w:val="99"/>
    <w:semiHidden/>
    <w:rsid w:val="002750CA"/>
    <w:pPr>
      <w:autoSpaceDN/>
      <w:textAlignment w:val="auto"/>
    </w:pPr>
    <w:rPr>
      <w:rFonts w:ascii="Verdana" w:hAnsi="Verdana"/>
      <w:color w:val="000000"/>
      <w:sz w:val="18"/>
      <w:szCs w:val="18"/>
    </w:rPr>
  </w:style>
  <w:style w:type="table" w:styleId="TableGrid">
    <w:name w:val="Table Grid"/>
    <w:basedOn w:val="TableNormal"/>
    <w:uiPriority w:val="39"/>
    <w:rsid w:val="00AF3FD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semiHidden/>
    <w:unhideWhenUsed/>
    <w:rsid w:val="003A586D"/>
    <w:pPr>
      <w:tabs>
        <w:tab w:val="center" w:pos="4536"/>
        <w:tab w:val="right" w:pos="9072"/>
      </w:tabs>
      <w:spacing w:line="240" w:lineRule="auto"/>
    </w:pPr>
  </w:style>
  <w:style w:type="character" w:customStyle="1" w:styleId="HeaderChar">
    <w:name w:val="Header Char"/>
    <w:basedOn w:val="DefaultParagraphFont"/>
    <w:link w:val="Header"/>
    <w:uiPriority w:val="99"/>
    <w:semiHidden/>
    <w:rsid w:val="003A586D"/>
    <w:rPr>
      <w:rFonts w:ascii="Verdana" w:hAnsi="Verdana"/>
      <w:color w:val="000000"/>
      <w:sz w:val="18"/>
      <w:szCs w:val="18"/>
    </w:rPr>
  </w:style>
  <w:style w:type="paragraph" w:styleId="Footer">
    <w:name w:val="footer"/>
    <w:basedOn w:val="Normal"/>
    <w:link w:val="FooterChar"/>
    <w:uiPriority w:val="99"/>
    <w:semiHidden/>
    <w:unhideWhenUsed/>
    <w:rsid w:val="003A586D"/>
    <w:pPr>
      <w:tabs>
        <w:tab w:val="center" w:pos="4536"/>
        <w:tab w:val="right" w:pos="9072"/>
      </w:tabs>
      <w:spacing w:line="240" w:lineRule="auto"/>
    </w:pPr>
  </w:style>
  <w:style w:type="character" w:customStyle="1" w:styleId="FooterChar">
    <w:name w:val="Footer Char"/>
    <w:basedOn w:val="DefaultParagraphFont"/>
    <w:link w:val="Footer"/>
    <w:uiPriority w:val="99"/>
    <w:semiHidden/>
    <w:rsid w:val="003A586D"/>
    <w:rPr>
      <w:rFonts w:ascii="Verdana" w:hAnsi="Verdana"/>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62451329">
      <w:bodyDiv w:val="1"/>
      <w:marLeft w:val="0"/>
      <w:marRight w:val="0"/>
      <w:marTop w:val="0"/>
      <w:marBottom w:val="0"/>
      <w:divBdr>
        <w:top w:val="none" w:sz="0" w:space="0" w:color="auto"/>
        <w:left w:val="none" w:sz="0" w:space="0" w:color="auto"/>
        <w:bottom w:val="none" w:sz="0" w:space="0" w:color="auto"/>
        <w:right w:val="none" w:sz="0" w:space="0" w:color="auto"/>
      </w:divBdr>
    </w:div>
    <w:div w:id="608318014">
      <w:bodyDiv w:val="1"/>
      <w:marLeft w:val="0"/>
      <w:marRight w:val="0"/>
      <w:marTop w:val="0"/>
      <w:marBottom w:val="0"/>
      <w:divBdr>
        <w:top w:val="none" w:sz="0" w:space="0" w:color="auto"/>
        <w:left w:val="none" w:sz="0" w:space="0" w:color="auto"/>
        <w:bottom w:val="none" w:sz="0" w:space="0" w:color="auto"/>
        <w:right w:val="none" w:sz="0" w:space="0" w:color="auto"/>
      </w:divBdr>
    </w:div>
    <w:div w:id="1133717813">
      <w:bodyDiv w:val="1"/>
      <w:marLeft w:val="0"/>
      <w:marRight w:val="0"/>
      <w:marTop w:val="0"/>
      <w:marBottom w:val="0"/>
      <w:divBdr>
        <w:top w:val="none" w:sz="0" w:space="0" w:color="auto"/>
        <w:left w:val="none" w:sz="0" w:space="0" w:color="auto"/>
        <w:bottom w:val="none" w:sz="0" w:space="0" w:color="auto"/>
        <w:right w:val="none" w:sz="0" w:space="0" w:color="auto"/>
      </w:divBdr>
    </w:div>
    <w:div w:id="1341003326">
      <w:bodyDiv w:val="1"/>
      <w:marLeft w:val="0"/>
      <w:marRight w:val="0"/>
      <w:marTop w:val="0"/>
      <w:marBottom w:val="0"/>
      <w:divBdr>
        <w:top w:val="none" w:sz="0" w:space="0" w:color="auto"/>
        <w:left w:val="none" w:sz="0" w:space="0" w:color="auto"/>
        <w:bottom w:val="none" w:sz="0" w:space="0" w:color="auto"/>
        <w:right w:val="none" w:sz="0" w:space="0" w:color="auto"/>
      </w:divBdr>
    </w:div>
    <w:div w:id="1474711462">
      <w:bodyDiv w:val="1"/>
      <w:marLeft w:val="0"/>
      <w:marRight w:val="0"/>
      <w:marTop w:val="0"/>
      <w:marBottom w:val="0"/>
      <w:divBdr>
        <w:top w:val="none" w:sz="0" w:space="0" w:color="auto"/>
        <w:left w:val="none" w:sz="0" w:space="0" w:color="auto"/>
        <w:bottom w:val="none" w:sz="0" w:space="0" w:color="auto"/>
        <w:right w:val="none" w:sz="0" w:space="0" w:color="auto"/>
      </w:divBdr>
    </w:div>
    <w:div w:id="1663502468">
      <w:bodyDiv w:val="1"/>
      <w:marLeft w:val="0"/>
      <w:marRight w:val="0"/>
      <w:marTop w:val="0"/>
      <w:marBottom w:val="0"/>
      <w:divBdr>
        <w:top w:val="none" w:sz="0" w:space="0" w:color="auto"/>
        <w:left w:val="none" w:sz="0" w:space="0" w:color="auto"/>
        <w:bottom w:val="none" w:sz="0" w:space="0" w:color="auto"/>
        <w:right w:val="none" w:sz="0" w:space="0" w:color="auto"/>
      </w:divBdr>
    </w:div>
    <w:div w:id="175794251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webSettings0.xml><?xml version="1.0" encoding="utf-8"?>
<w:webSettings xmlns:w="http://schemas.openxmlformats.org/wordprocessingml/2006/main">
  <w:optimizeForBrowser/>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oter" Target="footer1.xml" Id="rId13" /><Relationship Type="http://schemas.openxmlformats.org/officeDocument/2006/relationships/settings" Target="settings.xml" Id="rId7" /><Relationship Type="http://schemas.openxmlformats.org/officeDocument/2006/relationships/header" Target="header1.xml" Id="rId12" /><Relationship Type="http://schemas.openxmlformats.org/officeDocument/2006/relationships/theme" Target="theme/theme1.xml" Id="rId17" /><Relationship Type="http://schemas.openxmlformats.org/officeDocument/2006/relationships/fontTable" Target="fontTable.xml" Id="rId16" /><Relationship Type="http://schemas.openxmlformats.org/officeDocument/2006/relationships/styles" Target="styles.xml" Id="rId6" /><Relationship Type="http://schemas.openxmlformats.org/officeDocument/2006/relationships/hyperlink" Target="https://www.internetconsultatie.nl/rvv1990_nul_emissiezones6/berichten" TargetMode="External" Id="rId11" /><Relationship Type="http://schemas.openxmlformats.org/officeDocument/2006/relationships/webSetting" Target="webSettings0.xml" Id="rId24" /><Relationship Type="http://schemas.openxmlformats.org/officeDocument/2006/relationships/numbering" Target="numbering.xml" Id="rId5" /><Relationship Type="http://schemas.openxmlformats.org/officeDocument/2006/relationships/footer" Target="footer2.xml" Id="rId15" /><Relationship Type="http://schemas.openxmlformats.org/officeDocument/2006/relationships/endnotes" Target="endnotes.xml" Id="rId10" /><Relationship Type="http://schemas.openxmlformats.org/officeDocument/2006/relationships/footnotes" Target="footnotes.xml" Id="rId9" /><Relationship Type="http://schemas.openxmlformats.org/officeDocument/2006/relationships/header" Target="header2.xml" Id="rId14" /></Relationships>
</file>

<file path=word/_rels/footnotes.xml.rels><?xml version="1.0" encoding="UTF-8" standalone="yes"?>
<Relationships xmlns="http://schemas.openxmlformats.org/package/2006/relationships"><Relationship Id="rId8" Type="http://schemas.openxmlformats.org/officeDocument/2006/relationships/hyperlink" Target="https://www.opwegnaarzes.nl/media/pages/gemeente/kennisbank/literatuur-en-onderzoek/2cb8942e30-1774442503/actualisatie-landelijke-effectstudie-zes-oktober-2025.pdf" TargetMode="External"/><Relationship Id="rId13" Type="http://schemas.openxmlformats.org/officeDocument/2006/relationships/hyperlink" Target="https://www.tweedekamer.nl/kamerstukken/brieven_regering/detail?id=2026Z14013&amp;did=2026D31427" TargetMode="External"/><Relationship Id="rId18" Type="http://schemas.openxmlformats.org/officeDocument/2006/relationships/hyperlink" Target="https://www.rvo.nl/sites/default/files/2024-11/Trendrapport%20Lichte%20Bedrijfsvoertuigen%202024_0.pdf" TargetMode="External"/><Relationship Id="rId3" Type="http://schemas.openxmlformats.org/officeDocument/2006/relationships/hyperlink" Target="https://www.rijksoverheid.nl/documenten/rapporten/2025/04/29/bijlage-2-uitvoeringsagenda-zero-emissiezones-uaz" TargetMode="External"/><Relationship Id="rId7" Type="http://schemas.openxmlformats.org/officeDocument/2006/relationships/hyperlink" Target="https://duurzamevoertuigen.databank.nl/mosaic/nl-nl/elektrisch-vervoer/lichte-bedrijfsvoertuigen" TargetMode="External"/><Relationship Id="rId12" Type="http://schemas.openxmlformats.org/officeDocument/2006/relationships/hyperlink" Target="https://laadinfrastructuur.databank.nl/mosaic/nl-nl/laadinfrastructuur/stekkervoertuigen-per-laadpunt-voor-licht-vervoer" TargetMode="External"/><Relationship Id="rId17" Type="http://schemas.openxmlformats.org/officeDocument/2006/relationships/hyperlink" Target="https://www.adviescollegeregeldruk.nl/documenten/2023/11/29/handboek-meting-regeldrukkosten" TargetMode="External"/><Relationship Id="rId2" Type="http://schemas.openxmlformats.org/officeDocument/2006/relationships/hyperlink" Target="https://open.overheid.nl/documenten/ronl-5418a5d4-7b82-481d-a901-594128709363/pdf" TargetMode="External"/><Relationship Id="rId16" Type="http://schemas.openxmlformats.org/officeDocument/2006/relationships/hyperlink" Target="https://denhaag.raadsinformatie.nl/document/17205065/1/Coalitieakkoord+2026-2030+-+Voor+Den+Haag%2C+met+Den+Haag?connection_type=17&amp;connection_id=13617576" TargetMode="External"/><Relationship Id="rId1" Type="http://schemas.openxmlformats.org/officeDocument/2006/relationships/hyperlink" Target="https://www.rijksoverheid.nl/documenten/vergaderstukken/2025/03/14/besluitenlijst-ministerraad-14-maart-2025" TargetMode="External"/><Relationship Id="rId6" Type="http://schemas.openxmlformats.org/officeDocument/2006/relationships/hyperlink" Target="https://duurzamemobiliteit.databank.nl/documents/trendrapport-lichte-bedrijfsvoertuigen" TargetMode="External"/><Relationship Id="rId11" Type="http://schemas.openxmlformats.org/officeDocument/2006/relationships/hyperlink" Target="https://duurzamemobiliteit.databank.nl/documents/trendrapport-lichte-bedrijfsvoertuigen" TargetMode="External"/><Relationship Id="rId5" Type="http://schemas.openxmlformats.org/officeDocument/2006/relationships/hyperlink" Target="https://duurzamemobiliteit.databank.nl/documents/trendrapport-lichte-bedrijfsvoertuigen" TargetMode="External"/><Relationship Id="rId15" Type="http://schemas.openxmlformats.org/officeDocument/2006/relationships/hyperlink" Target="http://www.opwegnaarzes.nl" TargetMode="External"/><Relationship Id="rId10" Type="http://schemas.openxmlformats.org/officeDocument/2006/relationships/hyperlink" Target="https://duurzamemobiliteit.databank.nl/documents/trendrapport-lichte-bedrijfsvoertuigen" TargetMode="External"/><Relationship Id="rId4" Type="http://schemas.openxmlformats.org/officeDocument/2006/relationships/hyperlink" Target="http://www.duurzamemobiliteit.databank.nl" TargetMode="External"/><Relationship Id="rId9" Type="http://schemas.openxmlformats.org/officeDocument/2006/relationships/hyperlink" Target="https://open.overheid.nl/documenten/b3f75991-05c3-4cbe-bac9-9a69e2d5809a/file" TargetMode="External"/><Relationship Id="rId14" Type="http://schemas.openxmlformats.org/officeDocument/2006/relationships/hyperlink" Target="https://outlook.elaad.nl/rapport"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H:\Downloads\Algemene%20maatregel%20van%20bestuur%20(AmvB)%20(3).dotx"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37276b06-72c2-4081-996b-9af57fe26b63}" enabled="1" method="Standard" siteId="{ac843cea-7a2b-4dc6-9f37-919c3e210fed}" contentBits="0" removed="0"/>
</clbl:labelList>
</file>

<file path=docProps/app.xml><?xml version="1.0" encoding="utf-8"?>
<ap:Properties xmlns:vt="http://schemas.openxmlformats.org/officeDocument/2006/docPropsVTypes" xmlns:ap="http://schemas.openxmlformats.org/officeDocument/2006/extended-properties">
  <ap:Pages>2</ap:Pages>
  <ap:Words>4375</ap:Words>
  <ap:Characters>24938</ap:Characters>
  <ap:DocSecurity>0</ap:DocSecurity>
  <ap:Lines>207</ap:Lines>
  <ap:Paragraphs>58</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29255</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dcterms:created xsi:type="dcterms:W3CDTF">2026-10-22T12:19:00.0000000Z</dcterms:created>
  <dcterms:modified xsi:type="dcterms:W3CDTF">2026-10-22T12:19:00.0000000Z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0x010100BB389D921B18A048A9871EB3DEC46175</vt:lpwstr>
  </property>
</Properties>
</file>