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2026Z22688</w:t>
        <w:br/>
      </w:r>
      <w:proofErr w:type="spellEnd"/>
    </w:p>
    <w:p>
      <w:pPr>
        <w:pStyle w:val="Normal"/>
        <w:rPr>
          <w:b w:val="1"/>
          <w:bCs w:val="1"/>
        </w:rPr>
      </w:pPr>
      <w:r w:rsidR="250AE766">
        <w:rPr>
          <w:b w:val="0"/>
          <w:bCs w:val="0"/>
        </w:rPr>
        <w:t>(ingezonden 20 oktober 2026)</w:t>
        <w:br/>
      </w:r>
    </w:p>
    <w:p>
      <w:r>
        <w:t xml:space="preserve">Vragen van het lid Sneller (D66) aan de ministers van Binnenlandse Zaken en Koninkrijksrelaties en van Justitie en Veiligheid over meetbare doelstellingen voor de democratische rechtsstaat.</w:t>
      </w:r>
      <w:r>
        <w:br/>
      </w:r>
    </w:p>
    <w:p>
      <w:pPr>
        <w:pStyle w:val="ListParagraph"/>
        <w:numPr>
          <w:ilvl w:val="0"/>
          <w:numId w:val="100522770"/>
        </w:numPr>
        <w:ind w:left="360"/>
      </w:pPr>
      <w:r>
        <w:t xml:space="preserve">Bent u bekend met de tool “Blik op Nederland: Dashboard Doelen en Resultaten” van de Algemene Rekenkamer, waarin op basis van de </w:t>
      </w:r>
      <w:r>
        <w:rPr>
          <w:i w:val="1"/>
          <w:iCs w:val="1"/>
        </w:rPr>
        <w:t xml:space="preserve">Rule of Law Index </w:t>
      </w:r>
      <w:r>
        <w:rPr/>
        <w:t xml:space="preserve">kwantitatief inzicht wordt verschaft in de staat van de Nederlandse rechtsstaat?[1]</w:t>
      </w:r>
      <w:r>
        <w:br/>
      </w:r>
    </w:p>
    <w:p>
      <w:pPr>
        <w:pStyle w:val="ListParagraph"/>
        <w:numPr>
          <w:ilvl w:val="0"/>
          <w:numId w:val="100522770"/>
        </w:numPr>
        <w:ind w:left="360"/>
      </w:pPr>
      <w:r>
        <w:t xml:space="preserve">Bent u bekend met het rapport “Democratie-APK raakt verder uit zicht – Democratie Monitor 2026”, waarin op basis van 41 indicatoren kwantitatief inzicht wordt verschaft in de staat van de Nederlandse democratie?[2]</w:t>
      </w:r>
      <w:r>
        <w:br/>
      </w:r>
    </w:p>
    <w:p>
      <w:pPr>
        <w:pStyle w:val="ListParagraph"/>
        <w:numPr>
          <w:ilvl w:val="0"/>
          <w:numId w:val="100522770"/>
        </w:numPr>
        <w:ind w:left="360"/>
      </w:pPr>
      <w:r>
        <w:t xml:space="preserve">Bent u bekend met de Global Right to Information Rating (RTI), waarin op basis van 61 indicatoren kwantitatief inzicht wordt verschaft in de mate waarin nationale overheden openbaarheid van overheidsinformatie wettelijk hebben gewaarborgd?[3]</w:t>
      </w:r>
      <w:r>
        <w:br/>
      </w:r>
    </w:p>
    <w:p>
      <w:pPr>
        <w:pStyle w:val="ListParagraph"/>
        <w:numPr>
          <w:ilvl w:val="0"/>
          <w:numId w:val="100522770"/>
        </w:numPr>
        <w:ind w:left="360"/>
      </w:pPr>
      <w:r>
        <w:t xml:space="preserve">Bent u bekend met het gezegde ‘meten is weten’?</w:t>
      </w:r>
      <w:r>
        <w:br/>
      </w:r>
    </w:p>
    <w:p>
      <w:pPr>
        <w:pStyle w:val="ListParagraph"/>
        <w:numPr>
          <w:ilvl w:val="0"/>
          <w:numId w:val="100522770"/>
        </w:numPr>
        <w:ind w:left="360"/>
      </w:pPr>
      <w:r>
        <w:t xml:space="preserve">Op welke wijze meet u momenteel de concrete voortgang van uw beleidsdoel ‘het versterken van de weerbaarheid van de democratische rechtsstaat’?[4]</w:t>
      </w:r>
      <w:r>
        <w:br/>
      </w:r>
    </w:p>
    <w:p>
      <w:pPr>
        <w:pStyle w:val="ListParagraph"/>
        <w:numPr>
          <w:ilvl w:val="0"/>
          <w:numId w:val="100522770"/>
        </w:numPr>
        <w:ind w:left="360"/>
      </w:pPr>
      <w:r>
        <w:t xml:space="preserve">Op welke wijze meet u momenteel de concrete voortgang van uw beleidsdoel ‘sterke rechtsstaat’?[5]</w:t>
      </w:r>
      <w:r>
        <w:br/>
      </w:r>
    </w:p>
    <w:p>
      <w:pPr>
        <w:pStyle w:val="ListParagraph"/>
        <w:numPr>
          <w:ilvl w:val="0"/>
          <w:numId w:val="100522770"/>
        </w:numPr>
        <w:ind w:left="360"/>
      </w:pPr>
      <w:r>
        <w:t xml:space="preserve">Op welke wijze meet u beiden momenteel de effecten van uw beider beleidsprioriteiten op de staat van de democratische rechtsstaat?</w:t>
      </w:r>
      <w:r>
        <w:br/>
      </w:r>
    </w:p>
    <w:p>
      <w:pPr>
        <w:pStyle w:val="ListParagraph"/>
        <w:numPr>
          <w:ilvl w:val="0"/>
          <w:numId w:val="100522770"/>
        </w:numPr>
        <w:ind w:left="360"/>
      </w:pPr>
      <w:r>
        <w:t xml:space="preserve">Kunt u aangeven waarom u in uw reactie op het verzoek van de Kamer inzake concrete en meetbare hoofddoelen van kabinetsbeleid enkel de beleidsvoorstellen voor een gemeenschapsfonds en maatschappelijke weerbaarheid betrekt, en niet uw algehele beleidsdoel met betrekking tot het versterken van de weerbaarheid van de democratische rechtsstaat voorziet van meetbare formuleringen?[6]</w:t>
      </w:r>
      <w:r>
        <w:br/>
      </w:r>
    </w:p>
    <w:p>
      <w:pPr>
        <w:pStyle w:val="ListParagraph"/>
        <w:numPr>
          <w:ilvl w:val="0"/>
          <w:numId w:val="100522770"/>
        </w:numPr>
        <w:ind w:left="360"/>
      </w:pPr>
      <w:r>
        <w:t xml:space="preserve">Hoe reageert u op de stelling van de Algemene Rekenkamer dat er bij dit beleidsdoel geen reden is om in het geheel geen of beperkt concrete doelen op te nemen?[7]</w:t>
      </w:r>
      <w:r>
        <w:br/>
      </w:r>
    </w:p>
    <w:p>
      <w:pPr>
        <w:pStyle w:val="ListParagraph"/>
        <w:numPr>
          <w:ilvl w:val="0"/>
          <w:numId w:val="100522770"/>
        </w:numPr>
        <w:ind w:left="360"/>
      </w:pPr>
      <w:r>
        <w:t xml:space="preserve">Hoe reageert u op de stelling van de Algemene Rekenkamer dat voor uw beleidsprioriteiten, waaronder 'sterke rechtsstaat’, geen concrete doelen met indicatoren zijn geformuleerd?[8]</w:t>
      </w:r>
      <w:r>
        <w:br/>
      </w:r>
    </w:p>
    <w:p>
      <w:pPr>
        <w:pStyle w:val="ListParagraph"/>
        <w:numPr>
          <w:ilvl w:val="0"/>
          <w:numId w:val="100522770"/>
        </w:numPr>
        <w:ind w:left="360"/>
      </w:pPr>
      <w:r>
        <w:t xml:space="preserve">Bent u beiden bereid om, mede gelet op aangenomen moties en aanbevelingen van de Algemene Rekenkamer, bij uw beide beleidsdoelen voor de democratische rechtsstaat ten minste één doelstelling meetbaar te formuleren aan de hand van concrete indicatoren en deze in het vervolg op te nemen in uw begroting en jaarverslag? Zo nee, waarom niet?</w:t>
      </w:r>
      <w:r>
        <w:br/>
      </w:r>
    </w:p>
    <w:p>
      <w:pPr>
        <w:pStyle w:val="ListParagraph"/>
        <w:numPr>
          <w:ilvl w:val="0"/>
          <w:numId w:val="100522770"/>
        </w:numPr>
        <w:ind w:left="360"/>
      </w:pPr>
      <w:r>
        <w:t xml:space="preserve">Bent u beiden bereid om, los van specifieke beleidsdoelstellingen, aan de hand van concrete indicatoren periodiek de staat van de democratische rechtsstaat te meten, zodat u uw beleid hierop kunt afstemmen? Zo nee, waarom niet?</w:t>
      </w:r>
      <w:r>
        <w:br/>
      </w:r>
    </w:p>
    <w:p>
      <w:pPr>
        <w:pStyle w:val="ListParagraph"/>
        <w:numPr>
          <w:ilvl w:val="0"/>
          <w:numId w:val="100522770"/>
        </w:numPr>
        <w:ind w:left="360"/>
      </w:pPr>
      <w:r>
        <w:t xml:space="preserve">Kunt u deze vragen beantwoorden vóór de begrotingsbehandeling van Binnenlandse Zaken?</w:t>
      </w:r>
      <w:r>
        <w:br/>
      </w:r>
    </w:p>
    <w:p>
      <w:r>
        <w:t xml:space="preserve"> </w:t>
      </w:r>
      <w:r>
        <w:br/>
      </w:r>
    </w:p>
    <w:p>
      <w:r>
        <w:t xml:space="preserve">[1] De Algemene Rekenkamer, 20 mei 2026 (https://blikopnederland.rekenkamer.nl/)</w:t>
      </w:r>
      <w:r>
        <w:br/>
      </w:r>
    </w:p>
    <w:p>
      <w:r>
        <w:t xml:space="preserve">[2] Democratie Monitor, 13 oktober 2026 (https://www.democratiemonitor.nl/democratie-monitor-2026/)</w:t>
      </w:r>
      <w:r>
        <w:br/>
      </w:r>
    </w:p>
    <w:p>
      <w:r>
        <w:t xml:space="preserve">[3] The RTI Rating (https://www.rti-rating.org/)</w:t>
      </w:r>
      <w:r>
        <w:br/>
      </w:r>
    </w:p>
    <w:p>
      <w:r>
        <w:t xml:space="preserve">[4] Kamerstukken 37020-VII, nr 2, p. 8.</w:t>
      </w:r>
      <w:r>
        <w:br/>
      </w:r>
    </w:p>
    <w:p>
      <w:r>
        <w:t xml:space="preserve">[5] Kamerstukken 37020-VI, nr. 2, p. 13.</w:t>
      </w:r>
      <w:r>
        <w:br/>
      </w:r>
    </w:p>
    <w:p>
      <w:r>
        <w:t xml:space="preserve">[6] 2026D51915 Beleidsvoorstellen uit de Ontwerpbegroting van BZK 2027 (Hoofdstuk XII) met CW 3.1. kaders.</w:t>
      </w:r>
      <w:r>
        <w:br/>
      </w:r>
    </w:p>
    <w:p>
      <w:r>
        <w:t xml:space="preserve">[7] 37020-VII, nr. 6.</w:t>
      </w:r>
      <w:r>
        <w:br/>
      </w:r>
    </w:p>
    <w:p>
      <w:r>
        <w:t xml:space="preserve">[8] 37020-VI, nr. 6.</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