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74136E" w14:paraId="7910864F"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74136E" w14:paraId="09FD8D72" w14:textId="77777777">
      <w:pPr>
        <w:framePr w:w="3685" w:h="2494" w:wrap="none" w:hAnchor="page" w:vAnchor="page" w:x="6292" w:hRule="exact" w:anchorLock="1"/>
        <w:spacing w:line="240" w:lineRule="auto"/>
      </w:pPr>
      <w:r>
        <w:rPr>
          <w:noProof/>
        </w:rPr>
        <w:drawing>
          <wp:inline distT="0" distB="0" distL="0" distR="0">
            <wp:extent cx="2339975" cy="1582420"/>
            <wp:effectExtent l="0" t="0" r="3175" b="0"/>
            <wp:docPr id="1715924588" name="Logotype_BZK"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715924588" name="Logotype_BZK"/>
                    <pic:cNvPicPr/>
                  </pic:nvPicPr>
                  <pic:blipFill>
                    <a:blip xmlns:r="http://schemas.openxmlformats.org/officeDocument/2006/relationships" r:embed="rId8"/>
                    <a:stretch>
                      <a:fillRect/>
                    </a:stretch>
                  </pic:blipFill>
                  <pic:spPr bwMode="auto">
                    <a:xfrm>
                      <a:off x="0" y="0"/>
                      <a:ext cx="2339975" cy="1582420"/>
                    </a:xfrm>
                    <a:prstGeom prst="rect">
                      <a:avLst/>
                    </a:prstGeom>
                  </pic:spPr>
                </pic:pic>
              </a:graphicData>
            </a:graphic>
          </wp:inline>
        </w:drawing>
      </w:r>
      <w:r w:rsidR="00713ECB">
        <w:rPr>
          <w:noProof/>
        </w:rPr>
        <w:drawing>
          <wp:inline distT="0" distB="0" distL="0" distR="0">
            <wp:extent cx="2339975" cy="1320165"/>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9"/>
                    <a:stretch>
                      <a:fillRect/>
                    </a:stretch>
                  </pic:blipFill>
                  <pic:spPr bwMode="auto">
                    <a:xfrm>
                      <a:off x="0" y="0"/>
                      <a:ext cx="2339975" cy="1320165"/>
                    </a:xfrm>
                    <a:prstGeom prst="rect">
                      <a:avLst/>
                    </a:prstGeom>
                  </pic:spPr>
                </pic:pic>
              </a:graphicData>
            </a:graphic>
          </wp:inline>
        </w:drawing>
      </w:r>
    </w:p>
    <w:p w:rsidR="0074136E" w14:paraId="5F2814EC" w14:textId="77777777">
      <w:pPr>
        <w:pStyle w:val="Referentiegegevens"/>
        <w:framePr w:w="7540" w:h="255" w:wrap="none" w:hAnchor="page" w:vAnchor="page" w:x="1592" w:y="2709" w:hRule="exact" w:anchorLock="1"/>
      </w:pPr>
      <w:r>
        <w:t>&gt; Retouradres Postbus 20011 2500 EA  Den Haag</w:t>
      </w:r>
    </w:p>
    <w:p w:rsidR="009E1103" w:rsidP="009E1103" w14:paraId="1FB778A7" w14:textId="77777777">
      <w:pPr>
        <w:pStyle w:val="Referentiegegevensbold"/>
        <w:framePr w:w="2012" w:h="12614" w:wrap="none" w:hAnchor="page" w:vAnchor="page" w:x="9325" w:y="3095" w:hRule="exact" w:anchorLock="1"/>
      </w:pPr>
      <w:r>
        <w:t>DG Koninkrijksrelaties</w:t>
      </w:r>
      <w:r>
        <w:br/>
      </w:r>
    </w:p>
    <w:p w:rsidR="009E1103" w:rsidP="009E1103" w14:paraId="5C9C6D1E" w14:textId="266FCD6A">
      <w:pPr>
        <w:pStyle w:val="Referentiegegevensbold"/>
        <w:framePr w:w="2012" w:h="12614" w:wrap="none" w:hAnchor="page" w:vAnchor="page" w:x="9325" w:y="3095" w:hRule="exact" w:anchorLock="1"/>
      </w:pPr>
    </w:p>
    <w:p w:rsidR="006B7E15" w14:paraId="7812F88E" w14:textId="21AFE3FF">
      <w:pPr>
        <w:pStyle w:val="Referentiegegevens"/>
        <w:framePr w:w="2012" w:h="12614" w:wrap="none" w:hAnchor="page" w:vAnchor="page" w:x="9325" w:y="3095" w:hRule="exact" w:anchorLock="1"/>
      </w:pPr>
    </w:p>
    <w:p w:rsidR="009E1103" w:rsidP="009E1103" w14:paraId="0AD64591" w14:textId="77777777">
      <w:pPr>
        <w:pStyle w:val="WitregelW1"/>
        <w:framePr w:w="2012" w:h="12614" w:wrap="none" w:hAnchor="page" w:vAnchor="page" w:x="9325" w:y="3095" w:hRule="exact" w:anchorLock="1"/>
      </w:pPr>
    </w:p>
    <w:p w:rsidR="009E1103" w:rsidP="009E1103" w14:paraId="59378764" w14:textId="77777777">
      <w:pPr>
        <w:pStyle w:val="Referentiegegevensbold"/>
        <w:framePr w:w="2012" w:h="12614" w:wrap="none" w:hAnchor="page" w:vAnchor="page" w:x="9325" w:y="3095" w:hRule="exact" w:anchorLock="1"/>
      </w:pPr>
      <w:r>
        <w:t>Onze referentie</w:t>
      </w:r>
    </w:p>
    <w:p w:rsidR="006B7E15" w14:paraId="4251FE9D"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2026-0000543556</w:t>
      </w:r>
      <w:r>
        <w:fldChar w:fldCharType="end"/>
      </w:r>
    </w:p>
    <w:p w:rsidR="006B7E15" w14:paraId="5EA1AD77"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Pr="00953488" w:rsidR="00A416FE" w:rsidP="0058264A" w14:paraId="7B88A5AA" w14:textId="77777777">
      <w:pPr>
        <w:spacing w:line="276" w:lineRule="auto"/>
      </w:pPr>
      <w:r w:rsidRPr="00953488">
        <w:t xml:space="preserve">Tijdens de begrotingsbehandeling Koninkrijksrelaties van 7 en 8 oktober jl. heeft het lid Tseggai (PRO) een motie ingediend waarin het kabinet verzocht wordt </w:t>
      </w:r>
    </w:p>
    <w:p w:rsidRPr="00953488" w:rsidR="00A416FE" w:rsidP="0058264A" w14:paraId="44485921" w14:textId="77777777">
      <w:pPr>
        <w:spacing w:line="276" w:lineRule="auto"/>
      </w:pPr>
      <w:r w:rsidRPr="00953488">
        <w:t>om</w:t>
      </w:r>
      <w:r w:rsidRPr="00953488">
        <w:t xml:space="preserve"> in kaart te brengen welke publieke voorzieningen de komende jaren in Caribisch Nederland structureel verbetering behoeven en </w:t>
      </w:r>
      <w:r w:rsidRPr="00953488" w:rsidR="00415158">
        <w:t xml:space="preserve">hierbij </w:t>
      </w:r>
      <w:r w:rsidRPr="00953488">
        <w:t>inzichtelijk te maken hoe</w:t>
      </w:r>
      <w:r w:rsidRPr="00953488" w:rsidR="00415158">
        <w:t xml:space="preserve"> de benodigde verbeteringen kunnen worden gefinancierd. </w:t>
      </w:r>
    </w:p>
    <w:p w:rsidRPr="00953488" w:rsidR="0058264A" w:rsidP="0058264A" w14:paraId="26900FE5" w14:textId="77777777">
      <w:pPr>
        <w:spacing w:line="276" w:lineRule="auto"/>
      </w:pPr>
      <w:r w:rsidRPr="00953488">
        <w:br/>
      </w:r>
      <w:r w:rsidRPr="00953488" w:rsidR="00415158">
        <w:t xml:space="preserve">Met deze </w:t>
      </w:r>
      <w:r w:rsidRPr="00953488">
        <w:t xml:space="preserve">brief </w:t>
      </w:r>
      <w:r w:rsidRPr="00953488" w:rsidR="00415158">
        <w:t xml:space="preserve">geef ik uitvoering aan de motie en bied ik </w:t>
      </w:r>
      <w:r w:rsidRPr="00953488">
        <w:t xml:space="preserve">uw Kamer op basis van </w:t>
      </w:r>
      <w:r w:rsidRPr="00953488">
        <w:t>reeds</w:t>
      </w:r>
      <w:r w:rsidRPr="00953488">
        <w:t xml:space="preserve"> beschikbare openbare rapporten en </w:t>
      </w:r>
      <w:r w:rsidRPr="00953488" w:rsidR="00953488">
        <w:t>data</w:t>
      </w:r>
      <w:r w:rsidRPr="00953488">
        <w:t xml:space="preserve"> inzicht in de structurele verbeteropgaven voor publieke voorzieningen in Caribisch Nederland en</w:t>
      </w:r>
      <w:r w:rsidRPr="00953488" w:rsidR="00415158">
        <w:t xml:space="preserve"> </w:t>
      </w:r>
      <w:r w:rsidRPr="00953488">
        <w:t>bijbehorende financiële knelpunten. Daarbij richt de brief zich op de onderwerpen waarover tijdens de begrotingsbehandeling Koninkrijksrelaties van gedachten is gewisseld, in het bijzonder de fysieke en digitale infrastructuur en de energievoorziening. De brief biedt daarmee geen uitputtend overzicht van alle knelpunten en benodigde investeringen in publieke voorzieningen in Caribisch Nederland. Voor een nadere onderbouwing verwijs ik uw Kamer naar de bijgevoegde rapporten.</w:t>
      </w:r>
    </w:p>
    <w:p w:rsidRPr="00953488" w:rsidR="00A416FE" w:rsidP="0058264A" w14:paraId="7FBE93E9" w14:textId="77777777">
      <w:pPr>
        <w:spacing w:line="276" w:lineRule="auto"/>
      </w:pPr>
    </w:p>
    <w:p w:rsidRPr="00953488" w:rsidR="00A416FE" w:rsidP="0058264A" w14:paraId="4D3D5C09" w14:textId="77777777">
      <w:pPr>
        <w:spacing w:line="276" w:lineRule="auto"/>
        <w:rPr>
          <w:b/>
          <w:bCs/>
        </w:rPr>
      </w:pPr>
      <w:r w:rsidRPr="00953488">
        <w:rPr>
          <w:b/>
          <w:bCs/>
        </w:rPr>
        <w:t>Onderhoud, vervanging en investeringen van infrastructuur</w:t>
      </w:r>
    </w:p>
    <w:p w:rsidRPr="00953488" w:rsidR="00A416FE" w:rsidP="0058264A" w14:paraId="4600B1FE" w14:textId="77777777">
      <w:pPr>
        <w:spacing w:line="276" w:lineRule="auto"/>
      </w:pPr>
      <w:r w:rsidRPr="00953488">
        <w:t>Het onderzoek van AEF levert een beeld op dat er binnen het BES-fonds onvoldoende middelen zijn opgenomen om investerings-, vervangings- en onderhoudskosten in de eilandelijke infrastructuur te dekken. De ongedekte opgaven lopen volgens AEF op van €13,6 à €26,4 miljoen in 2026 naar €61,8 à €63,6 miljoen in 2050.</w:t>
      </w:r>
      <w:r>
        <w:rPr>
          <w:rStyle w:val="FootnoteReference"/>
        </w:rPr>
        <w:footnoteReference w:id="2"/>
      </w:r>
      <w:r w:rsidRPr="00953488">
        <w:t xml:space="preserve"> Daarbij is AEF er in haar onderzoek </w:t>
      </w:r>
      <w:r w:rsidRPr="00953488">
        <w:t>reeds</w:t>
      </w:r>
      <w:r w:rsidRPr="00953488">
        <w:t xml:space="preserve"> vanuit gegaan dat de eilanden op termijn voor investeringen ook kunnen lenen op de kapitaalmarkt en de lasten over meerdere jaren kunnen uitsmeren. </w:t>
      </w:r>
    </w:p>
    <w:p w:rsidRPr="00953488" w:rsidR="00A416FE" w:rsidP="0058264A" w14:paraId="23B92641" w14:textId="77777777">
      <w:pPr>
        <w:spacing w:line="276" w:lineRule="auto"/>
      </w:pPr>
    </w:p>
    <w:p w:rsidRPr="00953488" w:rsidR="00A416FE" w:rsidP="0058264A" w14:paraId="10FD624F" w14:textId="77777777">
      <w:pPr>
        <w:spacing w:line="276" w:lineRule="auto"/>
      </w:pPr>
      <w:r w:rsidRPr="00953488">
        <w:t xml:space="preserve">De Raad voor het Openbaar Bestuur (ROB) concludeert in haar advies dat </w:t>
      </w:r>
      <w:r w:rsidRPr="00953488" w:rsidR="003204CD">
        <w:t>het rapport van AEF een duidelijk beeld geeft van de tekorten voor infrastructuur in Caribisch Nederland</w:t>
      </w:r>
      <w:r w:rsidRPr="00953488">
        <w:t>.</w:t>
      </w:r>
      <w:r>
        <w:rPr>
          <w:rStyle w:val="FootnoteReference"/>
        </w:rPr>
        <w:footnoteReference w:id="3"/>
      </w:r>
      <w:r w:rsidRPr="00953488">
        <w:t xml:space="preserve"> De huidige wijze van bekostiging van de fysieke infrastructuur belet de besturen van de eilanden om volledige integrale bestuurlijke en financiële verantwoordelijkheid uit te oefenen, aldus de ROB. </w:t>
      </w:r>
      <w:r w:rsidRPr="00953488" w:rsidR="003204CD">
        <w:t>Hierdoor wordt</w:t>
      </w:r>
      <w:r w:rsidRPr="00953488">
        <w:t xml:space="preserve"> essentieel onderhoud niet uitgevoerd, ontstaan achterstanden en worden noodzakelijke investeringen niet gedaan. </w:t>
      </w:r>
    </w:p>
    <w:p w:rsidRPr="00953488" w:rsidR="00A416FE" w:rsidP="0058264A" w14:paraId="63B12A3E" w14:textId="77777777">
      <w:pPr>
        <w:spacing w:line="276" w:lineRule="auto"/>
      </w:pPr>
    </w:p>
    <w:p w:rsidRPr="00953488" w:rsidR="00A416FE" w:rsidP="0058264A" w14:paraId="1EAE798C" w14:textId="77777777">
      <w:pPr>
        <w:spacing w:line="276" w:lineRule="auto"/>
        <w:rPr>
          <w:b/>
          <w:bCs/>
        </w:rPr>
      </w:pPr>
      <w:r>
        <w:rPr>
          <w:b/>
          <w:bCs/>
        </w:rPr>
        <w:br/>
      </w:r>
      <w:r w:rsidRPr="00953488">
        <w:rPr>
          <w:b/>
          <w:bCs/>
        </w:rPr>
        <w:t>Geodatafundament</w:t>
      </w:r>
    </w:p>
    <w:p w:rsidRPr="00953488" w:rsidR="00A416FE" w:rsidP="0058264A" w14:paraId="2679AE5A" w14:textId="77777777">
      <w:pPr>
        <w:spacing w:line="276" w:lineRule="auto"/>
      </w:pPr>
      <w:bookmarkStart w:name="_Hlk232416950" w:id="0"/>
      <w:r w:rsidRPr="00953488">
        <w:t>Eerder heeft uw Kamer het</w:t>
      </w:r>
      <w:r w:rsidRPr="00953488">
        <w:rPr>
          <w:b/>
          <w:bCs/>
        </w:rPr>
        <w:t xml:space="preserve"> </w:t>
      </w:r>
      <w:r w:rsidRPr="00953488">
        <w:t>onderzoek kosten-batenanalyse geodatafundament ontvangen.</w:t>
      </w:r>
      <w:r>
        <w:rPr>
          <w:rStyle w:val="FootnoteReference"/>
        </w:rPr>
        <w:footnoteReference w:id="4"/>
      </w:r>
      <w:r w:rsidRPr="00953488">
        <w:t xml:space="preserve"> Het geodatafundament is een verzameling geografische basisregistraties en basisvoorzieningen en bevat onder andere een adressenregistratie, topografische kaarten, actuele luchtfoto’s en satellietbeelden. Deze zijn relevant voor taken waar naast de lokale overheden ook ministeries verantwoordelijk voor zijn. Voor Bonaire, </w:t>
      </w:r>
      <w:r w:rsidRPr="00953488">
        <w:t>Sint Eustatius</w:t>
      </w:r>
      <w:r w:rsidRPr="00953488">
        <w:t xml:space="preserve"> en Saba zijn deze basisregistraties niet of nauwelijks ingericht, terwijl de beschikbaarheid van deze data een belangrijke randvoorwaarde is voor het slagvaardig functioneren van de digitale overheid. Het rapport beschrijft een positieve kosten-batenanalyse waarbij de potentiële baten in totaal tussen €13 en €26 miljoen bedragen. De structurele kosten voor het geodatafundament bedragen afgerond €2 tot €3 miljoen. </w:t>
      </w:r>
      <w:bookmarkEnd w:id="0"/>
      <w:r w:rsidRPr="00953488">
        <w:rPr>
          <w:b/>
          <w:bCs/>
        </w:rPr>
        <w:br/>
      </w:r>
      <w:r w:rsidRPr="00953488">
        <w:rPr>
          <w:b/>
          <w:bCs/>
        </w:rPr>
        <w:br/>
        <w:t xml:space="preserve">Bereikbaarheid </w:t>
      </w:r>
      <w:r w:rsidRPr="00953488">
        <w:rPr>
          <w:b/>
          <w:bCs/>
        </w:rPr>
        <w:br/>
      </w:r>
      <w:r w:rsidRPr="00953488">
        <w:rPr>
          <w:i/>
          <w:iCs/>
        </w:rPr>
        <w:t>Luchtvaart</w:t>
      </w:r>
    </w:p>
    <w:p w:rsidRPr="00953488" w:rsidR="00CB1BBD" w:rsidP="0058264A" w14:paraId="252278E8" w14:textId="77777777">
      <w:pPr>
        <w:spacing w:line="276" w:lineRule="auto"/>
      </w:pPr>
      <w:r w:rsidRPr="00953488">
        <w:t xml:space="preserve">Een subsidie voor een public service obligation (PSO) is één van de instrumenten waarmee de overheid betaalbare luchtverbindingen voor inwoners van Saba en </w:t>
      </w:r>
      <w:r w:rsidRPr="00953488">
        <w:t>Sint Eustatius</w:t>
      </w:r>
      <w:r w:rsidRPr="00953488">
        <w:t xml:space="preserve"> kan borgen. De jaarlijkse kosten liggen, afhankelijk van de specifieke invulling, tussen de €1,5 miljoen en €7,5 miljoen</w:t>
      </w:r>
      <w:r w:rsidRPr="00953488" w:rsidR="00953488">
        <w:t xml:space="preserve"> per jaar</w:t>
      </w:r>
      <w:r w:rsidRPr="00953488">
        <w:t>. Voor meer informatie wordt u verwezen naar het rapport “Actualisatie PSO Bovenwindse Eilanden” van SEO Economisch Onderzoek.</w:t>
      </w:r>
      <w:r>
        <w:rPr>
          <w:rStyle w:val="FootnoteReference"/>
        </w:rPr>
        <w:footnoteReference w:id="5"/>
      </w:r>
    </w:p>
    <w:p w:rsidRPr="00953488" w:rsidR="00CB1BBD" w:rsidP="0058264A" w14:paraId="36851753" w14:textId="77777777">
      <w:pPr>
        <w:spacing w:line="276" w:lineRule="auto"/>
      </w:pPr>
    </w:p>
    <w:p w:rsidRPr="00953488" w:rsidR="00CB1BBD" w:rsidP="0058264A" w14:paraId="2ADCAA17" w14:textId="77777777">
      <w:pPr>
        <w:spacing w:line="276" w:lineRule="auto"/>
        <w:rPr>
          <w:i/>
          <w:iCs/>
        </w:rPr>
      </w:pPr>
      <w:r w:rsidRPr="00953488">
        <w:rPr>
          <w:i/>
          <w:iCs/>
        </w:rPr>
        <w:t>Veerdienst</w:t>
      </w:r>
    </w:p>
    <w:p w:rsidRPr="00953488" w:rsidR="008A0A33" w:rsidP="0058264A" w14:paraId="6E75ED26" w14:textId="77777777">
      <w:pPr>
        <w:spacing w:line="276" w:lineRule="auto"/>
        <w:rPr>
          <w:b/>
          <w:bCs/>
        </w:rPr>
      </w:pPr>
      <w:r w:rsidRPr="00953488">
        <w:t xml:space="preserve">Voor de veerverbinding is tot en met 2027 incidenteel €1,5 miljoen beschikbaar. Op dit moment is er geen structurele financiering beschikbaar voor de voortzetting van de veerdienst vanaf 2028. </w:t>
      </w:r>
      <w:r w:rsidRPr="00953488" w:rsidR="00A416FE">
        <w:rPr>
          <w:b/>
          <w:bCs/>
        </w:rPr>
        <w:br/>
      </w:r>
      <w:r w:rsidRPr="00953488" w:rsidR="00A416FE">
        <w:rPr>
          <w:b/>
          <w:bCs/>
        </w:rPr>
        <w:br/>
        <w:t>Drinkwater</w:t>
      </w:r>
      <w:r w:rsidRPr="00953488" w:rsidR="00A416FE">
        <w:rPr>
          <w:b/>
          <w:bCs/>
        </w:rPr>
        <w:br/>
      </w:r>
      <w:r w:rsidRPr="00953488" w:rsidR="0004343F">
        <w:t>In het AEF-rapport</w:t>
      </w:r>
      <w:r>
        <w:rPr>
          <w:rStyle w:val="FootnoteReference"/>
        </w:rPr>
        <w:footnoteReference w:id="6"/>
      </w:r>
      <w:r w:rsidRPr="00953488" w:rsidR="0004343F">
        <w:t xml:space="preserve"> wordt per eiland ingegaan op de ongedekte opgaven op het gebied </w:t>
      </w:r>
      <w:r w:rsidRPr="00953488" w:rsidR="00953488">
        <w:t xml:space="preserve">van </w:t>
      </w:r>
      <w:r w:rsidRPr="00953488" w:rsidR="0004343F">
        <w:t xml:space="preserve">infrastructuur voor drinkwater (drinkwaterproductie en drinkwaternet c.q. waterleidingen) en afvalwater (afvalwaterzuivering en riolering). Voor exacte bedragen wordt </w:t>
      </w:r>
      <w:r w:rsidRPr="00953488" w:rsidR="00953488">
        <w:t xml:space="preserve">u </w:t>
      </w:r>
      <w:r w:rsidRPr="00953488" w:rsidR="0004343F">
        <w:t>verwezen naar het rapport.</w:t>
      </w:r>
    </w:p>
    <w:p w:rsidRPr="00953488" w:rsidR="00F56547" w:rsidP="0058264A" w14:paraId="3D17BEDE" w14:textId="77777777">
      <w:pPr>
        <w:spacing w:line="276" w:lineRule="auto"/>
        <w:rPr>
          <w:b/>
          <w:bCs/>
        </w:rPr>
      </w:pPr>
      <w:r w:rsidRPr="00953488">
        <w:rPr>
          <w:b/>
          <w:bCs/>
        </w:rPr>
        <w:br/>
        <w:t>Elektriciteit</w:t>
      </w:r>
      <w:r w:rsidRPr="00953488">
        <w:rPr>
          <w:b/>
          <w:bCs/>
        </w:rPr>
        <w:br/>
      </w:r>
      <w:r w:rsidRPr="00953488">
        <w:t xml:space="preserve">Uw Kamer heeft in 2022 het TNO-rapport </w:t>
      </w:r>
      <w:r w:rsidRPr="00953488">
        <w:rPr>
          <w:i/>
          <w:iCs/>
        </w:rPr>
        <w:t>Opties voor klimaatneutrale energievoorziening in Caribisch Nederland</w:t>
      </w:r>
      <w:r w:rsidRPr="00953488">
        <w:t xml:space="preserve"> ontvangen.</w:t>
      </w:r>
      <w:r>
        <w:rPr>
          <w:rStyle w:val="FootnoteReference"/>
        </w:rPr>
        <w:footnoteReference w:id="7"/>
      </w:r>
      <w:r w:rsidRPr="00953488">
        <w:t xml:space="preserve"> Op basis hiervan heeft het kabinet €33,6 miljoen geïnvesteerd in verdere verduurzaming van de elektriciteitsvoorziening, waarvan €7,1 miljoen uit de CN-envelop en €26,5 miljoen uit onder meer SDE++-middelen. Over de verdere uitwerking van maatregelen op basis van het TNO-rapport is uw Kamer geïnformeerd in de brief van 15 september 2026.</w:t>
      </w:r>
      <w:r>
        <w:rPr>
          <w:rStyle w:val="FootnoteReference"/>
        </w:rPr>
        <w:footnoteReference w:id="8"/>
      </w:r>
      <w:r w:rsidRPr="00953488">
        <w:t xml:space="preserve"> Deze maatregelen ter hoogte van €6 miljoen voor zowel </w:t>
      </w:r>
      <w:r w:rsidRPr="00953488">
        <w:t>Sint Eustatius</w:t>
      </w:r>
      <w:r w:rsidRPr="00953488">
        <w:t xml:space="preserve"> en Saba zijn gericht op het verhogen van het aandeel duurzame </w:t>
      </w:r>
      <w:r w:rsidRPr="00953488">
        <w:t xml:space="preserve">elektriciteit op Saba van 69% naar 90% en op Sint Eustatius van 55% naar 85%. Voor </w:t>
      </w:r>
      <w:r w:rsidRPr="00953488">
        <w:t>Sint Eustatius</w:t>
      </w:r>
      <w:r w:rsidRPr="00953488">
        <w:t xml:space="preserve"> is nog een bedrag benodigd van rond de €10 miljoen. Dit vermindert de afhankelijkheid van fossiele brandstoffen en de CO₂-uitstoot en kan leiden tot lagere elektriciteitstarieven. Ook op Bonaire wordt de elektriciteitsvoorziening verder verduurzaamd. Mede door de voorgenomen plaatsing van nieuwe windturbines door </w:t>
      </w:r>
      <w:r w:rsidRPr="00953488">
        <w:t>ContourGlobal</w:t>
      </w:r>
      <w:r w:rsidRPr="00953488">
        <w:t xml:space="preserve"> kan het aandeel duurzame elektriciteit naar verwachting groeien van circa 20% naar ongeveer 70%. De middelen die vrijkomen bij de opheffing van Bonaire Bon </w:t>
      </w:r>
      <w:r w:rsidRPr="00953488">
        <w:t>Transition</w:t>
      </w:r>
      <w:r w:rsidRPr="00953488">
        <w:t xml:space="preserve"> worden op een andere wijze ingezet ter ondersteuning van ditzelfde beleidsdoel.</w:t>
      </w:r>
      <w:r w:rsidRPr="00953488" w:rsidR="008A0A33">
        <w:rPr>
          <w:b/>
          <w:bCs/>
        </w:rPr>
        <w:br/>
      </w:r>
      <w:r w:rsidRPr="00953488">
        <w:rPr>
          <w:b/>
          <w:bCs/>
        </w:rPr>
        <w:br/>
        <w:t>Telecom</w:t>
      </w:r>
      <w:r w:rsidRPr="00953488">
        <w:rPr>
          <w:b/>
          <w:bCs/>
        </w:rPr>
        <w:br/>
      </w:r>
      <w:r w:rsidRPr="00953488">
        <w:rPr>
          <w:i/>
          <w:iCs/>
        </w:rPr>
        <w:t>Onderzoek naar de digitale infrastructuur Caribisch Nederland</w:t>
      </w:r>
      <w:r w:rsidRPr="00953488">
        <w:t xml:space="preserve">  </w:t>
      </w:r>
    </w:p>
    <w:p w:rsidRPr="00953488" w:rsidR="00F56547" w:rsidP="0058264A" w14:paraId="5302326C" w14:textId="77777777">
      <w:pPr>
        <w:kinsoku w:val="0"/>
        <w:overflowPunct w:val="0"/>
        <w:autoSpaceDN/>
        <w:spacing w:line="276" w:lineRule="auto"/>
        <w:contextualSpacing/>
        <w:rPr>
          <w:rFonts w:eastAsia="Times New Roman" w:cs="Times New Roman"/>
          <w:kern w:val="24"/>
        </w:rPr>
      </w:pPr>
      <w:r w:rsidRPr="00953488">
        <w:rPr>
          <w:rFonts w:eastAsia="Times New Roman" w:cs="Times New Roman"/>
          <w:kern w:val="24"/>
        </w:rPr>
        <w:t xml:space="preserve">Economisch Onderzoeksbureau Amsterdam (EBA) heeft in opdracht van het ministerie van Economische Zaken en Klimaat (EZK) een foto gemaakt van de feitelijke stand van de digitale infrastructuur op de eilanden met betrekking tot betaalbaarheid, betrouwbaarheid en kwaliteit. Daarnaast is ook geschetst hoe eindgebruikers in Caribisch Nederland het voorzieningenniveau ervaren - zowel prijs als kwaliteit. Het rapport is </w:t>
      </w:r>
      <w:r w:rsidRPr="00953488" w:rsidR="00953488">
        <w:rPr>
          <w:rFonts w:eastAsia="Times New Roman" w:cs="Times New Roman"/>
          <w:kern w:val="24"/>
        </w:rPr>
        <w:t xml:space="preserve">op </w:t>
      </w:r>
      <w:r w:rsidRPr="00953488">
        <w:rPr>
          <w:rFonts w:eastAsia="Times New Roman" w:cs="Times New Roman"/>
          <w:kern w:val="24"/>
        </w:rPr>
        <w:t>21 januari 2024 aan de Tweede Kamer aangeboden.</w:t>
      </w:r>
      <w:r>
        <w:rPr>
          <w:rStyle w:val="FootnoteReference"/>
          <w:rFonts w:eastAsia="Times New Roman" w:cs="Times New Roman"/>
          <w:kern w:val="24"/>
        </w:rPr>
        <w:footnoteReference w:id="9"/>
      </w:r>
      <w:r w:rsidRPr="00953488">
        <w:rPr>
          <w:rFonts w:eastAsia="Times New Roman" w:cs="Times New Roman"/>
          <w:kern w:val="24"/>
        </w:rPr>
        <w:t xml:space="preserve"> Verder heeft Pioneer onderzoek gedaan naar de ontsluiting van Caribisch Nederland door middel van datazeekabels.</w:t>
      </w:r>
      <w:r>
        <w:rPr>
          <w:rStyle w:val="FootnoteReference"/>
          <w:rFonts w:eastAsia="Times New Roman" w:cs="Times New Roman"/>
          <w:kern w:val="24"/>
        </w:rPr>
        <w:footnoteReference w:id="10"/>
      </w:r>
      <w:r w:rsidRPr="00953488">
        <w:rPr>
          <w:rFonts w:eastAsia="Times New Roman" w:cs="Times New Roman"/>
          <w:kern w:val="24"/>
        </w:rPr>
        <w:t xml:space="preserve"> </w:t>
      </w:r>
    </w:p>
    <w:p w:rsidRPr="00953488" w:rsidR="00F56547" w:rsidP="0058264A" w14:paraId="16554908" w14:textId="77777777">
      <w:pPr>
        <w:kinsoku w:val="0"/>
        <w:overflowPunct w:val="0"/>
        <w:autoSpaceDN/>
        <w:spacing w:line="276" w:lineRule="auto"/>
        <w:contextualSpacing/>
        <w:rPr>
          <w:rFonts w:eastAsia="Times New Roman" w:cs="Times New Roman"/>
          <w:kern w:val="24"/>
        </w:rPr>
      </w:pPr>
    </w:p>
    <w:p w:rsidRPr="00953488" w:rsidR="00F56547" w:rsidP="0058264A" w14:paraId="60DF6BAE" w14:textId="77777777">
      <w:pPr>
        <w:kinsoku w:val="0"/>
        <w:overflowPunct w:val="0"/>
        <w:autoSpaceDN/>
        <w:spacing w:line="276" w:lineRule="auto"/>
        <w:contextualSpacing/>
        <w:rPr>
          <w:rFonts w:eastAsia="Times New Roman" w:cs="Times New Roman"/>
          <w:kern w:val="24"/>
        </w:rPr>
      </w:pPr>
      <w:r w:rsidRPr="00953488">
        <w:rPr>
          <w:rFonts w:eastAsia="Times New Roman" w:cs="Times New Roman"/>
          <w:kern w:val="24"/>
        </w:rPr>
        <w:t>Uit beide onderzoeken blijkt dat er ruimte is voor verbetering. Tegelijkertijd is bekend dat de forse investeringen die nog nodig zijn om de netwerken te moderniseren door de kleine schaalgrootte tot relatief hoge prijzen leiden. In het SEO-rapport wordt geen overzicht gegeven van benodigde investeringen en bedragen. In het rapport van Pioneer wordt een inschatting gegeven voor een directe zeekabel tussen Europese N</w:t>
      </w:r>
      <w:r w:rsidRPr="00953488" w:rsidR="00DA453A">
        <w:rPr>
          <w:rFonts w:eastAsia="Times New Roman" w:cs="Times New Roman"/>
          <w:kern w:val="24"/>
        </w:rPr>
        <w:t>ederland</w:t>
      </w:r>
      <w:r w:rsidRPr="00953488">
        <w:rPr>
          <w:rFonts w:eastAsia="Times New Roman" w:cs="Times New Roman"/>
          <w:kern w:val="24"/>
        </w:rPr>
        <w:t xml:space="preserve"> en </w:t>
      </w:r>
      <w:r w:rsidRPr="00953488" w:rsidR="00DA453A">
        <w:rPr>
          <w:rFonts w:eastAsia="Times New Roman" w:cs="Times New Roman"/>
          <w:kern w:val="24"/>
        </w:rPr>
        <w:t xml:space="preserve">het </w:t>
      </w:r>
      <w:r w:rsidRPr="00953488">
        <w:rPr>
          <w:rFonts w:eastAsia="Times New Roman" w:cs="Times New Roman"/>
          <w:kern w:val="24"/>
        </w:rPr>
        <w:t>Caribisch deel van het Koninkrijk</w:t>
      </w:r>
      <w:r w:rsidRPr="00953488" w:rsidR="00DA453A">
        <w:rPr>
          <w:rFonts w:eastAsia="Times New Roman" w:cs="Times New Roman"/>
          <w:kern w:val="24"/>
        </w:rPr>
        <w:t xml:space="preserve">, namelijk </w:t>
      </w:r>
      <w:r w:rsidRPr="00953488">
        <w:rPr>
          <w:rFonts w:eastAsia="Times New Roman" w:cs="Times New Roman"/>
          <w:kern w:val="24"/>
        </w:rPr>
        <w:t xml:space="preserve">tussen de </w:t>
      </w:r>
      <w:r w:rsidRPr="00953488" w:rsidR="00DA453A">
        <w:t>€</w:t>
      </w:r>
      <w:r w:rsidRPr="00953488">
        <w:rPr>
          <w:rFonts w:eastAsia="Times New Roman" w:cs="Times New Roman"/>
          <w:kern w:val="24"/>
        </w:rPr>
        <w:t xml:space="preserve">250 en </w:t>
      </w:r>
      <w:r w:rsidRPr="00953488" w:rsidR="00DA453A">
        <w:t>€</w:t>
      </w:r>
      <w:r w:rsidRPr="00953488">
        <w:rPr>
          <w:rFonts w:eastAsia="Times New Roman" w:cs="Times New Roman"/>
          <w:kern w:val="24"/>
        </w:rPr>
        <w:t xml:space="preserve">300 miljoen. Daarom heeft </w:t>
      </w:r>
      <w:r w:rsidRPr="00953488" w:rsidR="00DA453A">
        <w:rPr>
          <w:rFonts w:eastAsia="Times New Roman" w:cs="Times New Roman"/>
          <w:kern w:val="24"/>
        </w:rPr>
        <w:t xml:space="preserve">het ministerie van </w:t>
      </w:r>
      <w:r w:rsidRPr="00953488">
        <w:rPr>
          <w:rFonts w:eastAsia="Times New Roman" w:cs="Times New Roman"/>
          <w:kern w:val="24"/>
        </w:rPr>
        <w:t xml:space="preserve">EZK een investeringssubsidie in 2024-2026 beschikbaar gesteld aan private en publieke telecombedrijven. Deze subsidie heeft als doel volledige modernisering van het netwerk te versnellen (aanleg ondergronds glasvezel), en is nadrukkelijk niet bedoeld om achterstallig onderhoud aan bestaande netwerken te financieren. Daarnaast wordt er door </w:t>
      </w:r>
      <w:r w:rsidRPr="00953488" w:rsidR="00953488">
        <w:rPr>
          <w:rFonts w:eastAsia="Times New Roman" w:cs="Times New Roman"/>
          <w:kern w:val="24"/>
        </w:rPr>
        <w:t xml:space="preserve">Saba </w:t>
      </w:r>
      <w:r w:rsidRPr="00953488" w:rsidR="00953488">
        <w:rPr>
          <w:rFonts w:eastAsia="Times New Roman" w:cs="Times New Roman"/>
          <w:kern w:val="24"/>
        </w:rPr>
        <w:t>Statia</w:t>
      </w:r>
      <w:r w:rsidRPr="00953488" w:rsidR="00953488">
        <w:rPr>
          <w:rFonts w:eastAsia="Times New Roman" w:cs="Times New Roman"/>
          <w:kern w:val="24"/>
        </w:rPr>
        <w:t xml:space="preserve"> Cable System B.V. (SSCS)</w:t>
      </w:r>
      <w:r w:rsidRPr="00953488">
        <w:rPr>
          <w:rFonts w:eastAsia="Times New Roman" w:cs="Times New Roman"/>
          <w:kern w:val="24"/>
        </w:rPr>
        <w:t xml:space="preserve"> samen met SETAR een zeekabel aangelegd tussen Aruba en Bonaire, ook dit moet leiden tot lagere prijzen. </w:t>
      </w:r>
    </w:p>
    <w:p w:rsidRPr="00953488" w:rsidR="00F56547" w:rsidP="0058264A" w14:paraId="7632DFC1" w14:textId="77777777">
      <w:pPr>
        <w:spacing w:line="276" w:lineRule="auto"/>
      </w:pPr>
    </w:p>
    <w:p w:rsidRPr="00953488" w:rsidR="00A416FE" w:rsidP="0058264A" w14:paraId="18BEDE62" w14:textId="77777777">
      <w:pPr>
        <w:spacing w:line="276" w:lineRule="auto"/>
      </w:pPr>
      <w:r w:rsidRPr="00953488">
        <w:rPr>
          <w:i/>
          <w:iCs/>
        </w:rPr>
        <w:t xml:space="preserve">Evaluatie eindgebruikerssubsidie vast internet </w:t>
      </w:r>
      <w:r w:rsidRPr="00953488">
        <w:br/>
        <w:t xml:space="preserve">Daar de lopende subsidiebeschikking voor de structurele eindgebruikerssubsidie voor vast internet in 2026 afloopt is ervoor gekozen om deze </w:t>
      </w:r>
      <w:r w:rsidRPr="00953488" w:rsidR="00953488">
        <w:t xml:space="preserve">subsidie </w:t>
      </w:r>
      <w:r w:rsidRPr="00953488">
        <w:t xml:space="preserve">op doelmatigheid en doeltreffendheid te laten evalueren. Op basis van deze evaluatie zouden dan voor het vervolg eventuele aanpassingen in de opzet van de subsidie kunnen worden doorgevoerd. Deze evaluatie is deze zomer uitgevoerd. Doordat de evaluatie vertraging heeft opgelopen en </w:t>
      </w:r>
      <w:r w:rsidRPr="00953488" w:rsidR="00953488">
        <w:t>het</w:t>
      </w:r>
      <w:r w:rsidRPr="00953488">
        <w:t xml:space="preserve"> daardoor niet haalbaar is om gedegen beslissingen te kunnen nemen voor 2027, is besloten om de lopende subsidie met een jaar te verlengen en eventuele wijzigingen niet eerder dan 2028 door te voeren. Uw Kamer zal </w:t>
      </w:r>
      <w:r w:rsidRPr="00953488" w:rsidR="00953488">
        <w:t xml:space="preserve">in </w:t>
      </w:r>
      <w:r w:rsidRPr="00953488">
        <w:t xml:space="preserve">het eerste kwartaal </w:t>
      </w:r>
      <w:r w:rsidRPr="00953488" w:rsidR="00953488">
        <w:t>v</w:t>
      </w:r>
      <w:r w:rsidRPr="00953488">
        <w:t>an 2027 door de Staatssecretaris van Digitale Economie en Soevereiniteit nader</w:t>
      </w:r>
      <w:r w:rsidRPr="00953488" w:rsidR="00DA453A">
        <w:t xml:space="preserve"> over het rapport en de voorliggende beleidskeuzes worden geïnformeerd. </w:t>
      </w:r>
      <w:r w:rsidRPr="00953488" w:rsidR="00A40983">
        <w:br/>
      </w:r>
      <w:r w:rsidRPr="00953488" w:rsidR="00A40983">
        <w:br/>
      </w:r>
      <w:r w:rsidRPr="00953488" w:rsidR="00A40983">
        <w:rPr>
          <w:b/>
          <w:bCs/>
        </w:rPr>
        <w:t>Gezondheidszorg, jeugdzorg en welzijn</w:t>
      </w:r>
      <w:r w:rsidRPr="00953488" w:rsidR="00A40983">
        <w:br/>
        <w:t>Uit de Kamerbrief over de gezondheidszorg, jeugdzorg en welzijn in Caribisch Nederland van 25 augustus 2026 en de daarin opgenomen reactie op rapporten van de Commissie Zorg Caribisch Nederland, de Nationale ombudsman, de Nationaal Coördinator Discriminatie en Racisme en de Inspectie Gezondheidszorg en Jeugd, staat uitgebreid beschreven welke stappen het kabinet neemt om het voorzieningenniveau op deze onderwerpen te verbeteren. Voor een nadere onderbouwing verwijs ik uw Kamer naar de genoemde Kamerbrief en de bijbehorende rapporten in de bijlage.</w:t>
      </w:r>
      <w:r>
        <w:rPr>
          <w:rStyle w:val="FootnoteReference"/>
        </w:rPr>
        <w:footnoteReference w:id="11"/>
      </w:r>
      <w:r w:rsidRPr="00953488">
        <w:br/>
      </w:r>
      <w:r w:rsidRPr="00953488" w:rsidR="00CB1BBD">
        <w:rPr>
          <w:b/>
          <w:bCs/>
        </w:rPr>
        <w:br/>
        <w:t>Tot slot</w:t>
      </w:r>
      <w:r w:rsidRPr="00953488" w:rsidR="00CB1BBD">
        <w:rPr>
          <w:b/>
          <w:bCs/>
        </w:rPr>
        <w:br/>
      </w:r>
      <w:r w:rsidRPr="00953488" w:rsidR="003204CD">
        <w:t>Er is geen structurele financiering beschikbaar voor de publieke voorzieningen genoemd in deze brief</w:t>
      </w:r>
      <w:r w:rsidRPr="00953488" w:rsidR="008E0B81">
        <w:t>, met uitzondering van de eindgebruikerssubsidie vast internet</w:t>
      </w:r>
      <w:r w:rsidRPr="00953488" w:rsidR="003204CD">
        <w:t>. Bij de verdere verdeling van de coalitieakkoordmiddelen (bestaanszekerheid) voor 2028 en verder worden een aantal maatregelen genoemd in deze brief wel meegewogen, waaronder de veerverbinding en luchtvaart.</w:t>
      </w:r>
      <w:r>
        <w:rPr>
          <w:rStyle w:val="FootnoteReference"/>
        </w:rPr>
        <w:footnoteReference w:id="12"/>
      </w:r>
      <w:r w:rsidRPr="00953488" w:rsidR="003204CD">
        <w:t xml:space="preserve"> Overige opgaven worden niet betrokken bij de verdere </w:t>
      </w:r>
      <w:r w:rsidRPr="00953488" w:rsidR="00953488">
        <w:t xml:space="preserve">verdeling </w:t>
      </w:r>
      <w:r w:rsidRPr="00953488" w:rsidR="003204CD">
        <w:t xml:space="preserve">van de coalitieakkoordmiddelen. Uw Kamer wordt in het najaar geïnformeerd over de opvolging van het rapport van AEF en ROB </w:t>
      </w:r>
      <w:r w:rsidRPr="00953488" w:rsidR="003204CD">
        <w:t>inzake</w:t>
      </w:r>
      <w:r w:rsidRPr="00953488" w:rsidR="003204CD">
        <w:t xml:space="preserve"> een duurzame bekostigingssystematiek voor infrastructuur. </w:t>
      </w:r>
    </w:p>
    <w:p w:rsidRPr="00953488" w:rsidR="0074136E" w:rsidP="0058264A" w14:paraId="6D662566" w14:textId="77777777">
      <w:pPr>
        <w:spacing w:line="276" w:lineRule="auto"/>
      </w:pPr>
    </w:p>
    <w:p w:rsidRPr="00953488" w:rsidR="0004343F" w:rsidP="0058264A" w14:paraId="02B5A50E" w14:textId="77777777">
      <w:pPr>
        <w:spacing w:line="276" w:lineRule="auto"/>
      </w:pPr>
    </w:p>
    <w:p w:rsidRPr="00953488" w:rsidR="00713ECB" w:rsidP="0058264A" w14:paraId="0D89CC40" w14:textId="77777777">
      <w:pPr>
        <w:spacing w:line="276" w:lineRule="auto"/>
      </w:pPr>
      <w:r w:rsidRPr="00953488">
        <w:t>De staatssecretaris van Binnenlandse Zaken en Koninkrijksrelaties</w:t>
      </w:r>
      <w:r w:rsidR="00C62AA4">
        <w:t>,</w:t>
      </w:r>
      <w:r w:rsidRPr="00953488">
        <w:br/>
      </w:r>
      <w:r w:rsidRPr="00953488">
        <w:br/>
      </w:r>
      <w:r w:rsidRPr="00953488">
        <w:br/>
      </w:r>
      <w:r w:rsidRPr="00953488">
        <w:br/>
      </w:r>
      <w:r w:rsidRPr="00953488">
        <w:br/>
      </w:r>
      <w:r w:rsidRPr="00953488">
        <w:br/>
        <w:t>Eric van der Burg</w:t>
      </w:r>
    </w:p>
    <w:sectPr>
      <w:headerReference w:type="even" r:id="rId10"/>
      <w:headerReference w:type="default" r:id="rId11"/>
      <w:footerReference w:type="even" r:id="rId12"/>
      <w:footerReference w:type="default" r:id="rId13"/>
      <w:headerReference w:type="first" r:id="rId14"/>
      <w:footerReference w:type="first" r:id="rId15"/>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40339" w14:paraId="33DAE22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136E" w14:paraId="2A99599C"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40339" w14:paraId="4B09F8C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E057B" w14:paraId="6E73F9F1" w14:textId="77777777">
      <w:pPr>
        <w:pStyle w:val="FootnoteText"/>
      </w:pPr>
    </w:p>
  </w:footnote>
  <w:footnote w:type="continuationSeparator" w:id="1">
    <w:p w:rsidR="001E057B" w14:paraId="60A3BC5D" w14:textId="77777777">
      <w:pPr>
        <w:pStyle w:val="FootnoteText"/>
      </w:pPr>
    </w:p>
  </w:footnote>
  <w:footnote w:id="2">
    <w:p w:rsidR="00A416FE" w14:paraId="1EFF5B32" w14:textId="77777777">
      <w:pPr>
        <w:pStyle w:val="FootnoteText"/>
      </w:pPr>
      <w:r>
        <w:rPr>
          <w:rStyle w:val="FootnoteReference"/>
        </w:rPr>
        <w:footnoteRef/>
      </w:r>
      <w:r>
        <w:t xml:space="preserve"> AEF. </w:t>
      </w:r>
      <w:hyperlink r:id="rId1" w:history="1">
        <w:r w:rsidRPr="00384916">
          <w:rPr>
            <w:rStyle w:val="Hyperlink"/>
          </w:rPr>
          <w:t>Klein gebied, grote opgave</w:t>
        </w:r>
      </w:hyperlink>
      <w:r>
        <w:t>. 2025.</w:t>
      </w:r>
    </w:p>
  </w:footnote>
  <w:footnote w:id="3">
    <w:p w:rsidR="00A416FE" w14:paraId="455A4D27" w14:textId="77777777">
      <w:pPr>
        <w:pStyle w:val="FootnoteText"/>
      </w:pPr>
      <w:r>
        <w:rPr>
          <w:rStyle w:val="FootnoteReference"/>
        </w:rPr>
        <w:footnoteRef/>
      </w:r>
      <w:r>
        <w:t xml:space="preserve"> </w:t>
      </w:r>
      <w:r w:rsidRPr="00384916">
        <w:t xml:space="preserve">Raad voor het Openbaar Bestuur. </w:t>
      </w:r>
      <w:hyperlink r:id="rId2" w:history="1">
        <w:r w:rsidRPr="00384916">
          <w:rPr>
            <w:rStyle w:val="Hyperlink"/>
          </w:rPr>
          <w:t>Advies bekostiging infrastructurele opgaven Caribisch Nederland</w:t>
        </w:r>
      </w:hyperlink>
      <w:r w:rsidRPr="00384916">
        <w:t>. 25 juli 2025.</w:t>
      </w:r>
    </w:p>
  </w:footnote>
  <w:footnote w:id="4">
    <w:p w:rsidR="00A416FE" w14:paraId="344EAFA7" w14:textId="77777777">
      <w:pPr>
        <w:pStyle w:val="FootnoteText"/>
      </w:pPr>
      <w:r>
        <w:rPr>
          <w:rStyle w:val="FootnoteReference"/>
        </w:rPr>
        <w:footnoteRef/>
      </w:r>
      <w:r>
        <w:t xml:space="preserve"> Berenschot. </w:t>
      </w:r>
      <w:hyperlink r:id="rId3" w:history="1">
        <w:r w:rsidRPr="00A416FE">
          <w:rPr>
            <w:rStyle w:val="Hyperlink"/>
          </w:rPr>
          <w:t xml:space="preserve">Kosten-batenanalyse geodatafundament Bonaire, </w:t>
        </w:r>
        <w:r w:rsidRPr="00A416FE">
          <w:rPr>
            <w:rStyle w:val="Hyperlink"/>
          </w:rPr>
          <w:t>Sint Eustatius</w:t>
        </w:r>
        <w:r w:rsidRPr="00A416FE">
          <w:rPr>
            <w:rStyle w:val="Hyperlink"/>
          </w:rPr>
          <w:t xml:space="preserve"> en Saba</w:t>
        </w:r>
      </w:hyperlink>
      <w:r>
        <w:t xml:space="preserve">. 27 oktober 2025. </w:t>
      </w:r>
    </w:p>
  </w:footnote>
  <w:footnote w:id="5">
    <w:p w:rsidR="00A416FE" w14:paraId="49B57561" w14:textId="77777777">
      <w:pPr>
        <w:pStyle w:val="FootnoteText"/>
      </w:pPr>
      <w:r>
        <w:rPr>
          <w:rStyle w:val="FootnoteReference"/>
        </w:rPr>
        <w:footnoteRef/>
      </w:r>
      <w:r>
        <w:t xml:space="preserve"> SEO. </w:t>
      </w:r>
      <w:hyperlink r:id="rId4" w:history="1">
        <w:r w:rsidRPr="008B1B70">
          <w:rPr>
            <w:rStyle w:val="Hyperlink"/>
          </w:rPr>
          <w:t>Actualisatie PSO Bovenwindse Eilanden</w:t>
        </w:r>
      </w:hyperlink>
      <w:r>
        <w:t>. April 2026.</w:t>
      </w:r>
    </w:p>
  </w:footnote>
  <w:footnote w:id="6">
    <w:p w:rsidR="0004343F" w14:paraId="5164F0AA" w14:textId="77777777">
      <w:pPr>
        <w:pStyle w:val="FootnoteText"/>
      </w:pPr>
      <w:r>
        <w:rPr>
          <w:rStyle w:val="FootnoteReference"/>
        </w:rPr>
        <w:footnoteRef/>
      </w:r>
      <w:r>
        <w:t xml:space="preserve"> AEF. </w:t>
      </w:r>
      <w:hyperlink r:id="rId1" w:history="1">
        <w:r w:rsidRPr="00384916">
          <w:rPr>
            <w:rStyle w:val="Hyperlink"/>
          </w:rPr>
          <w:t>Klein gebied, grote opgave</w:t>
        </w:r>
      </w:hyperlink>
      <w:r>
        <w:t>. 2025. Pagina 80 tot en met 94.</w:t>
      </w:r>
    </w:p>
  </w:footnote>
  <w:footnote w:id="7">
    <w:p w:rsidR="00F56547" w14:paraId="28718F36" w14:textId="77777777">
      <w:pPr>
        <w:pStyle w:val="FootnoteText"/>
      </w:pPr>
      <w:r>
        <w:rPr>
          <w:rStyle w:val="FootnoteReference"/>
        </w:rPr>
        <w:footnoteRef/>
      </w:r>
      <w:r>
        <w:t xml:space="preserve"> </w:t>
      </w:r>
      <w:r w:rsidRPr="00F56547">
        <w:t>Kamerstukken II 2021–2022, 32 813, nr. 1005</w:t>
      </w:r>
      <w:r>
        <w:t>.</w:t>
      </w:r>
    </w:p>
  </w:footnote>
  <w:footnote w:id="8">
    <w:p w:rsidR="00F56547" w14:paraId="278FE236" w14:textId="77777777">
      <w:pPr>
        <w:pStyle w:val="FootnoteText"/>
      </w:pPr>
      <w:r>
        <w:rPr>
          <w:rStyle w:val="FootnoteReference"/>
        </w:rPr>
        <w:footnoteRef/>
      </w:r>
      <w:r>
        <w:t xml:space="preserve"> </w:t>
      </w:r>
      <w:r w:rsidRPr="00F56547">
        <w:t>Kamerstukken II 2026–2027, 37 020-IV, nr. 15</w:t>
      </w:r>
      <w:r>
        <w:t>.</w:t>
      </w:r>
    </w:p>
  </w:footnote>
  <w:footnote w:id="9">
    <w:p w:rsidR="00F56547" w:rsidP="00F56547" w14:paraId="55E5F20E" w14:textId="77777777">
      <w:pPr>
        <w:pStyle w:val="FootnoteText"/>
      </w:pPr>
      <w:r>
        <w:rPr>
          <w:rStyle w:val="FootnoteReference"/>
        </w:rPr>
        <w:footnoteRef/>
      </w:r>
      <w:r>
        <w:t xml:space="preserve"> </w:t>
      </w:r>
      <w:hyperlink r:id="rId5" w:history="1">
        <w:r w:rsidRPr="00F56547">
          <w:rPr>
            <w:color w:val="0000FF"/>
            <w:sz w:val="14"/>
            <w:szCs w:val="14"/>
            <w:u w:val="single"/>
          </w:rPr>
          <w:t>Kamerbrief over Staat van de Digitale Infrastructuur | Rijksoverheid.nl</w:t>
        </w:r>
      </w:hyperlink>
      <w:r w:rsidR="00953488">
        <w:t>.</w:t>
      </w:r>
    </w:p>
  </w:footnote>
  <w:footnote w:id="10">
    <w:p w:rsidR="00F56547" w:rsidRPr="0018646E" w:rsidP="00F56547" w14:paraId="7183E504" w14:textId="77777777">
      <w:pPr>
        <w:pStyle w:val="FootnoteText"/>
      </w:pPr>
      <w:r>
        <w:rPr>
          <w:rStyle w:val="FootnoteReference"/>
        </w:rPr>
        <w:footnoteRef/>
      </w:r>
      <w:r>
        <w:t xml:space="preserve"> </w:t>
      </w:r>
      <w:r w:rsidRPr="0018646E">
        <w:t>Bijlage bij brief «Voortgang onderzeese datakabels» Kamerstuk 26 643, nr. 1222</w:t>
      </w:r>
    </w:p>
  </w:footnote>
  <w:footnote w:id="11">
    <w:p w:rsidR="00A40983" w:rsidP="00F56547" w14:paraId="6BF5B3CD" w14:textId="77777777">
      <w:r w:rsidRPr="00953488">
        <w:rPr>
          <w:rStyle w:val="FootnoteReference"/>
          <w:sz w:val="14"/>
          <w:szCs w:val="14"/>
        </w:rPr>
        <w:footnoteRef/>
      </w:r>
      <w:r w:rsidR="00953488">
        <w:t xml:space="preserve"> </w:t>
      </w:r>
      <w:r w:rsidRPr="00F56547">
        <w:rPr>
          <w:sz w:val="14"/>
          <w:szCs w:val="14"/>
        </w:rPr>
        <w:t>Kamerstukken 2026</w:t>
      </w:r>
      <w:r>
        <w:rPr>
          <w:sz w:val="14"/>
          <w:szCs w:val="14"/>
        </w:rPr>
        <w:t>-20</w:t>
      </w:r>
      <w:r w:rsidRPr="00F56547">
        <w:rPr>
          <w:sz w:val="14"/>
          <w:szCs w:val="14"/>
        </w:rPr>
        <w:t>27, 31765-991</w:t>
      </w:r>
    </w:p>
  </w:footnote>
  <w:footnote w:id="12">
    <w:p w:rsidR="003204CD" w:rsidRPr="00415158" w:rsidP="003204CD" w14:paraId="4BFFA84C" w14:textId="77777777">
      <w:pPr>
        <w:pStyle w:val="FootnoteText"/>
        <w:rPr>
          <w:sz w:val="14"/>
          <w:szCs w:val="14"/>
        </w:rPr>
      </w:pPr>
      <w:r w:rsidRPr="00415158">
        <w:rPr>
          <w:rStyle w:val="FootnoteReference"/>
          <w:sz w:val="14"/>
          <w:szCs w:val="14"/>
        </w:rPr>
        <w:footnoteRef/>
      </w:r>
      <w:r w:rsidRPr="00415158">
        <w:rPr>
          <w:sz w:val="14"/>
          <w:szCs w:val="14"/>
        </w:rPr>
        <w:t xml:space="preserve"> </w:t>
      </w:r>
      <w:r w:rsidRPr="00AD7D59">
        <w:rPr>
          <w:sz w:val="14"/>
          <w:szCs w:val="14"/>
        </w:rPr>
        <w:t>Kamerstukken 2025-2026, 2026z18901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40339" w14:paraId="40215EF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136E" w14:paraId="20EC418A"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713ECB"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713ECB" w14:paraId="4F6996B0"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74136E" w14:textId="77777777">
                          <w:pPr>
                            <w:pStyle w:val="Referentiegegevensbold"/>
                          </w:pPr>
                          <w:r>
                            <w:t>DG Koninkrijksrelaties</w:t>
                          </w:r>
                        </w:p>
                        <w:p w:rsidR="0074136E" w14:textId="77777777">
                          <w:pPr>
                            <w:pStyle w:val="WitregelW2"/>
                          </w:pPr>
                        </w:p>
                        <w:p w:rsidR="0074136E" w14:textId="43C4B3BE">
                          <w:pPr>
                            <w:pStyle w:val="Referentiegegevensbold"/>
                          </w:pPr>
                          <w:r>
                            <w:br/>
                          </w:r>
                        </w:p>
                        <w:p w:rsidR="0074136E" w14:textId="77777777">
                          <w:pPr>
                            <w:pStyle w:val="Referentiegegevensbold"/>
                          </w:pPr>
                          <w:r>
                            <w:t>Onze referentie</w:t>
                          </w:r>
                        </w:p>
                        <w:p w:rsidR="0074136E" w14:textId="1A9F879B">
                          <w:pPr>
                            <w:pStyle w:val="Referentiegegevens"/>
                          </w:pPr>
                          <w:r>
                            <w:fldChar w:fldCharType="begin"/>
                          </w:r>
                          <w:r>
                            <w:instrText xml:space="preserve"> DOCPROPERTY  "Kenmerk"  \* MERGEFORMAT </w:instrText>
                          </w:r>
                          <w:r>
                            <w:fldChar w:fldCharType="separate"/>
                          </w:r>
                          <w:r w:rsidR="00834D46">
                            <w:t>2026-0000543556</w:t>
                          </w:r>
                          <w:r w:rsidR="00834D46">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74136E" w14:paraId="05A43B04" w14:textId="77777777">
                    <w:pPr>
                      <w:pStyle w:val="Referentiegegevensbold"/>
                    </w:pPr>
                    <w:r>
                      <w:t>DG Koninkrijksrelaties</w:t>
                    </w:r>
                  </w:p>
                  <w:p w:rsidR="0074136E" w14:paraId="0878C0BA" w14:textId="77777777">
                    <w:pPr>
                      <w:pStyle w:val="WitregelW2"/>
                    </w:pPr>
                  </w:p>
                  <w:p w:rsidR="0074136E" w14:paraId="1B8662DC" w14:textId="43C4B3BE">
                    <w:pPr>
                      <w:pStyle w:val="Referentiegegevensbold"/>
                    </w:pPr>
                    <w:r>
                      <w:br/>
                    </w:r>
                  </w:p>
                  <w:p w:rsidR="0074136E" w14:paraId="0D8B49BF" w14:textId="77777777">
                    <w:pPr>
                      <w:pStyle w:val="Referentiegegevensbold"/>
                    </w:pPr>
                    <w:r>
                      <w:t>Onze referentie</w:t>
                    </w:r>
                  </w:p>
                  <w:p w:rsidR="0074136E" w14:paraId="3398E43A" w14:textId="1A9F879B">
                    <w:pPr>
                      <w:pStyle w:val="Referentiegegevens"/>
                    </w:pPr>
                    <w:r>
                      <w:fldChar w:fldCharType="begin"/>
                    </w:r>
                    <w:r>
                      <w:instrText xml:space="preserve"> DOCPROPERTY  "Kenmerk"  \* MERGEFORMAT </w:instrText>
                    </w:r>
                    <w:r>
                      <w:fldChar w:fldCharType="separate"/>
                    </w:r>
                    <w:r w:rsidR="00834D46">
                      <w:t>2026-0000543556</w:t>
                    </w:r>
                    <w:r w:rsidR="00834D46">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713ECB"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713ECB" w14:paraId="2279725B"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6B7E15"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6B7E15" w14:paraId="26C14502"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1103" w:rsidP="009E1103" w14:paraId="633E9D18" w14:textId="77777777">
    <w:pPr>
      <w:framePr w:w="7540" w:h="841" w:hRule="exact" w:wrap="none" w:vAnchor="page" w:hAnchor="page" w:x="1606" w:y="2956" w:anchorLock="1"/>
    </w:pPr>
    <w:r>
      <w:t>Aan de Voorzitter van de Tweede Kamer der Staten-Generaal</w:t>
    </w:r>
  </w:p>
  <w:p w:rsidR="009E1103" w:rsidP="009E1103" w14:paraId="741D9016" w14:textId="77777777">
    <w:pPr>
      <w:framePr w:w="7540" w:h="841" w:hRule="exact" w:wrap="none" w:vAnchor="page" w:hAnchor="page" w:x="1606" w:y="2956" w:anchorLock="1"/>
    </w:pPr>
    <w:r>
      <w:t>Postbus 20018</w:t>
    </w:r>
  </w:p>
  <w:p w:rsidR="009E1103" w:rsidP="009E1103" w14:paraId="2D2D8B30" w14:textId="77777777">
    <w:pPr>
      <w:framePr w:w="7540" w:h="841" w:hRule="exact" w:wrap="none" w:vAnchor="page" w:hAnchor="page" w:x="1606" w:y="2956" w:anchorLock="1"/>
    </w:pPr>
    <w:r>
      <w:t>2500 EA  Den Haag</w:t>
    </w:r>
  </w:p>
  <w:p w:rsidR="009E1103" w:rsidP="009E1103" w14:paraId="47417931" w14:textId="77777777">
    <w:pPr>
      <w:framePr w:w="7540" w:h="841" w:hRule="exact" w:wrap="none" w:vAnchor="page" w:hAnchor="page" w:x="1606" w:y="2956" w:anchorLock="1"/>
    </w:pPr>
  </w:p>
  <w:p w:rsidR="0074136E" w14:paraId="35D334F4"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margin">
                <wp:align>right</wp:align>
              </wp:positionH>
              <wp:positionV relativeFrom="paragraph">
                <wp:posOffset>3135630</wp:posOffset>
              </wp:positionV>
              <wp:extent cx="4787900" cy="59055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590550"/>
                      </a:xfrm>
                      <a:prstGeom prst="rect">
                        <a:avLst/>
                      </a:prstGeom>
                      <a:noFill/>
                    </wps:spPr>
                    <wps:txbx>
                      <w:txbxContent>
                        <w:tbl>
                          <w:tblPr>
                            <w:tblW w:w="0" w:type="auto"/>
                            <w:tblInd w:w="-120" w:type="dxa"/>
                            <w:tblLayout w:type="fixed"/>
                            <w:tblLook w:val="07E0"/>
                          </w:tblPr>
                          <w:tblGrid>
                            <w:gridCol w:w="1140"/>
                            <w:gridCol w:w="5918"/>
                          </w:tblGrid>
                          <w:tr w14:paraId="5A021B22" w14:textId="77777777">
                            <w:tblPrEx>
                              <w:tblW w:w="0" w:type="auto"/>
                              <w:tblInd w:w="-120" w:type="dxa"/>
                              <w:tblLayout w:type="fixed"/>
                              <w:tblLook w:val="07E0"/>
                            </w:tblPrEx>
                            <w:trPr>
                              <w:trHeight w:val="240"/>
                            </w:trPr>
                            <w:tc>
                              <w:tcPr>
                                <w:tcW w:w="1140" w:type="dxa"/>
                              </w:tcPr>
                              <w:p w:rsidR="00A416FE" w14:textId="77777777">
                                <w:r>
                                  <w:t>Datum</w:t>
                                </w:r>
                              </w:p>
                            </w:tc>
                            <w:tc>
                              <w:tcPr>
                                <w:tcW w:w="5918" w:type="dxa"/>
                              </w:tcPr>
                              <w:p w:rsidR="00A416FE" w14:textId="3D805F56">
                                <w:r>
                                  <w:t>16 oktober 2026</w:t>
                                </w:r>
                              </w:p>
                            </w:tc>
                          </w:tr>
                          <w:tr w14:paraId="312500BD" w14:textId="77777777">
                            <w:tblPrEx>
                              <w:tblW w:w="0" w:type="auto"/>
                              <w:tblInd w:w="-120" w:type="dxa"/>
                              <w:tblLayout w:type="fixed"/>
                              <w:tblLook w:val="07E0"/>
                            </w:tblPrEx>
                            <w:trPr>
                              <w:trHeight w:val="240"/>
                            </w:trPr>
                            <w:tc>
                              <w:tcPr>
                                <w:tcW w:w="1140" w:type="dxa"/>
                              </w:tcPr>
                              <w:p w:rsidR="00A416FE" w14:textId="77777777">
                                <w:r>
                                  <w:t>Betreft</w:t>
                                </w:r>
                              </w:p>
                            </w:tc>
                            <w:tc>
                              <w:tcPr>
                                <w:tcW w:w="5918" w:type="dxa"/>
                              </w:tcPr>
                              <w:p w:rsidR="00A416FE" w14:textId="77777777">
                                <w:r>
                                  <w:t xml:space="preserve">Rapporten en data </w:t>
                                </w:r>
                                <w:r>
                                  <w:t>inzake</w:t>
                                </w:r>
                                <w:r>
                                  <w:t xml:space="preserve"> publieke voorzieningen Caribisch Nederland </w:t>
                                </w:r>
                              </w:p>
                            </w:tc>
                          </w:tr>
                        </w:tbl>
                        <w:p w:rsidR="00A416FE" w:rsidP="00A416FE" w14:textId="77777777"/>
                      </w:txbxContent>
                    </wps:txbx>
                    <wps:bodyPr vert="horz" wrap="square" lIns="0" tIns="0" rIns="0" bIns="0" anchor="t" anchorCtr="0"/>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670fa0c-13cb-45ec-92be-ef1f34d237c5" o:spid="_x0000_s2053" type="#_x0000_t202" style="width:377pt;height:46.5pt;margin-top:246.9pt;margin-left:325.8pt;mso-height-percent:0;mso-height-relative:margin;mso-position-horizontal:right;mso-position-horizontal-relative:margin;mso-wrap-distance-bottom:0;mso-wrap-distance-left:0;mso-wrap-distance-right:0;mso-wrap-distance-top:0;mso-wrap-style:square;position:absolute;v-text-anchor:top;visibility:visible;z-index:251667456" filled="f" stroked="f">
              <v:textbox inset="0,0,0,0">
                <w:txbxContent>
                  <w:tbl>
                    <w:tblPr>
                      <w:tblW w:w="0" w:type="auto"/>
                      <w:tblInd w:w="-120" w:type="dxa"/>
                      <w:tblLayout w:type="fixed"/>
                      <w:tblLook w:val="07E0"/>
                    </w:tblPr>
                    <w:tblGrid>
                      <w:gridCol w:w="1140"/>
                      <w:gridCol w:w="5918"/>
                    </w:tblGrid>
                    <w:tr w14:paraId="5A021B21" w14:textId="77777777">
                      <w:tblPrEx>
                        <w:tblW w:w="0" w:type="auto"/>
                        <w:tblInd w:w="-120" w:type="dxa"/>
                        <w:tblLayout w:type="fixed"/>
                        <w:tblLook w:val="07E0"/>
                      </w:tblPrEx>
                      <w:trPr>
                        <w:trHeight w:val="240"/>
                      </w:trPr>
                      <w:tc>
                        <w:tcPr>
                          <w:tcW w:w="1140" w:type="dxa"/>
                        </w:tcPr>
                        <w:p w:rsidR="00A416FE" w14:paraId="7B54864F" w14:textId="77777777">
                          <w:r>
                            <w:t>Datum</w:t>
                          </w:r>
                        </w:p>
                      </w:tc>
                      <w:tc>
                        <w:tcPr>
                          <w:tcW w:w="5918" w:type="dxa"/>
                        </w:tcPr>
                        <w:p w:rsidR="00A416FE" w14:paraId="74B189D8" w14:textId="3D805F56">
                          <w:r>
                            <w:t>16 oktober 2026</w:t>
                          </w:r>
                        </w:p>
                      </w:tc>
                    </w:tr>
                    <w:tr w14:paraId="312500BC" w14:textId="77777777">
                      <w:tblPrEx>
                        <w:tblW w:w="0" w:type="auto"/>
                        <w:tblInd w:w="-120" w:type="dxa"/>
                        <w:tblLayout w:type="fixed"/>
                        <w:tblLook w:val="07E0"/>
                      </w:tblPrEx>
                      <w:trPr>
                        <w:trHeight w:val="240"/>
                      </w:trPr>
                      <w:tc>
                        <w:tcPr>
                          <w:tcW w:w="1140" w:type="dxa"/>
                        </w:tcPr>
                        <w:p w:rsidR="00A416FE" w14:paraId="1DD79DFA" w14:textId="77777777">
                          <w:r>
                            <w:t>Betreft</w:t>
                          </w:r>
                        </w:p>
                      </w:tc>
                      <w:tc>
                        <w:tcPr>
                          <w:tcW w:w="5918" w:type="dxa"/>
                        </w:tcPr>
                        <w:p w:rsidR="00A416FE" w14:paraId="73D44341" w14:textId="77777777">
                          <w:r>
                            <w:t xml:space="preserve">Rapporten en data </w:t>
                          </w:r>
                          <w:r>
                            <w:t>inzake</w:t>
                          </w:r>
                          <w:r>
                            <w:t xml:space="preserve"> publieke voorzieningen Caribisch Nederland </w:t>
                          </w:r>
                        </w:p>
                      </w:tc>
                    </w:tr>
                  </w:tbl>
                  <w:p w:rsidR="00A416FE" w:rsidP="00A416FE" w14:paraId="739A0A54" w14:textId="77777777"/>
                </w:txbxContent>
              </v:textbox>
              <w10:wrap anchorx="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F662E3"/>
    <w:multiLevelType w:val="multilevel"/>
    <w:tmpl w:val="DCA0CE0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34B36A35"/>
    <w:multiLevelType w:val="hybridMultilevel"/>
    <w:tmpl w:val="0CCEAF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CA81962"/>
    <w:multiLevelType w:val="multilevel"/>
    <w:tmpl w:val="0DA7E49C"/>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411FB099"/>
    <w:multiLevelType w:val="multilevel"/>
    <w:tmpl w:val="96FC760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nsid w:val="73135A59"/>
    <w:multiLevelType w:val="multilevel"/>
    <w:tmpl w:val="5315C08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111438461">
    <w:abstractNumId w:val="0"/>
  </w:num>
  <w:num w:numId="2" w16cid:durableId="550074728">
    <w:abstractNumId w:val="4"/>
  </w:num>
  <w:num w:numId="3" w16cid:durableId="215821685">
    <w:abstractNumId w:val="3"/>
  </w:num>
  <w:num w:numId="4" w16cid:durableId="1486900351">
    <w:abstractNumId w:val="2"/>
  </w:num>
  <w:num w:numId="5" w16cid:durableId="1163083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36E"/>
    <w:rsid w:val="0004343F"/>
    <w:rsid w:val="000E5725"/>
    <w:rsid w:val="000F44FB"/>
    <w:rsid w:val="001330E9"/>
    <w:rsid w:val="0018646E"/>
    <w:rsid w:val="001E057B"/>
    <w:rsid w:val="00215A3E"/>
    <w:rsid w:val="002D2589"/>
    <w:rsid w:val="003204CD"/>
    <w:rsid w:val="00384916"/>
    <w:rsid w:val="00405F02"/>
    <w:rsid w:val="00415158"/>
    <w:rsid w:val="004E6B75"/>
    <w:rsid w:val="0058264A"/>
    <w:rsid w:val="00693AD3"/>
    <w:rsid w:val="006B7E15"/>
    <w:rsid w:val="00713ECB"/>
    <w:rsid w:val="00726EC7"/>
    <w:rsid w:val="00732531"/>
    <w:rsid w:val="00740F66"/>
    <w:rsid w:val="0074136E"/>
    <w:rsid w:val="00796D15"/>
    <w:rsid w:val="0083038C"/>
    <w:rsid w:val="00834D46"/>
    <w:rsid w:val="008A0A33"/>
    <w:rsid w:val="008B1B70"/>
    <w:rsid w:val="008E0B81"/>
    <w:rsid w:val="00953488"/>
    <w:rsid w:val="00986C82"/>
    <w:rsid w:val="009E1103"/>
    <w:rsid w:val="00A23F9C"/>
    <w:rsid w:val="00A40983"/>
    <w:rsid w:val="00A416FE"/>
    <w:rsid w:val="00AA1001"/>
    <w:rsid w:val="00AD7D59"/>
    <w:rsid w:val="00B14C2A"/>
    <w:rsid w:val="00B75E1B"/>
    <w:rsid w:val="00C2217D"/>
    <w:rsid w:val="00C23D41"/>
    <w:rsid w:val="00C40339"/>
    <w:rsid w:val="00C62AA4"/>
    <w:rsid w:val="00CB1BBD"/>
    <w:rsid w:val="00CE39B3"/>
    <w:rsid w:val="00CF1DBF"/>
    <w:rsid w:val="00D60974"/>
    <w:rsid w:val="00DA3BE9"/>
    <w:rsid w:val="00DA453A"/>
    <w:rsid w:val="00EA41E0"/>
    <w:rsid w:val="00F505D9"/>
    <w:rsid w:val="00F56547"/>
    <w:rsid w:val="00FD7741"/>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597D0476"/>
  <w15:docId w15:val="{3B1731AB-AFEE-4A87-8FDE-EA3F8425A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A416FE"/>
    <w:pPr>
      <w:tabs>
        <w:tab w:val="center" w:pos="4536"/>
        <w:tab w:val="right" w:pos="9072"/>
      </w:tabs>
      <w:spacing w:line="240" w:lineRule="auto"/>
    </w:pPr>
  </w:style>
  <w:style w:type="character" w:customStyle="1" w:styleId="KoptekstChar">
    <w:name w:val="Koptekst Char"/>
    <w:basedOn w:val="DefaultParagraphFont"/>
    <w:link w:val="Header"/>
    <w:uiPriority w:val="99"/>
    <w:rsid w:val="00A416FE"/>
    <w:rPr>
      <w:rFonts w:ascii="Verdana" w:hAnsi="Verdana"/>
      <w:color w:val="000000"/>
      <w:sz w:val="18"/>
      <w:szCs w:val="18"/>
    </w:rPr>
  </w:style>
  <w:style w:type="paragraph" w:styleId="Footer">
    <w:name w:val="footer"/>
    <w:basedOn w:val="Normal"/>
    <w:link w:val="VoettekstChar"/>
    <w:uiPriority w:val="99"/>
    <w:unhideWhenUsed/>
    <w:rsid w:val="00A416FE"/>
    <w:pPr>
      <w:tabs>
        <w:tab w:val="center" w:pos="4536"/>
        <w:tab w:val="right" w:pos="9072"/>
      </w:tabs>
      <w:spacing w:line="240" w:lineRule="auto"/>
    </w:pPr>
  </w:style>
  <w:style w:type="character" w:customStyle="1" w:styleId="VoettekstChar">
    <w:name w:val="Voettekst Char"/>
    <w:basedOn w:val="DefaultParagraphFont"/>
    <w:link w:val="Footer"/>
    <w:uiPriority w:val="99"/>
    <w:rsid w:val="00A416FE"/>
    <w:rPr>
      <w:rFonts w:ascii="Verdana" w:hAnsi="Verdana"/>
      <w:color w:val="000000"/>
      <w:sz w:val="18"/>
      <w:szCs w:val="18"/>
    </w:rPr>
  </w:style>
  <w:style w:type="paragraph" w:customStyle="1" w:styleId="Standaardgroen">
    <w:name w:val="Standaard groen"/>
    <w:basedOn w:val="Normal"/>
    <w:next w:val="Normal"/>
    <w:rsid w:val="00A416FE"/>
    <w:pPr>
      <w:spacing w:line="240" w:lineRule="exact"/>
    </w:pPr>
    <w:rPr>
      <w:color w:val="70AD47"/>
    </w:rPr>
  </w:style>
  <w:style w:type="paragraph" w:styleId="ListParagraph">
    <w:name w:val="List Paragraph"/>
    <w:basedOn w:val="Normal"/>
    <w:uiPriority w:val="34"/>
    <w:semiHidden/>
    <w:rsid w:val="00A416FE"/>
    <w:pPr>
      <w:spacing w:line="240" w:lineRule="exact"/>
      <w:ind w:left="720"/>
      <w:contextualSpacing/>
    </w:pPr>
  </w:style>
  <w:style w:type="character" w:styleId="FootnoteReference">
    <w:name w:val="footnote reference"/>
    <w:basedOn w:val="DefaultParagraphFont"/>
    <w:uiPriority w:val="99"/>
    <w:semiHidden/>
    <w:unhideWhenUsed/>
    <w:rsid w:val="00A416FE"/>
    <w:rPr>
      <w:vertAlign w:val="superscript"/>
    </w:rPr>
  </w:style>
  <w:style w:type="character" w:customStyle="1" w:styleId="VoetnoottekstChar">
    <w:name w:val="Voetnoottekst Char"/>
    <w:basedOn w:val="DefaultParagraphFont"/>
    <w:link w:val="FootnoteText"/>
    <w:uiPriority w:val="99"/>
    <w:rsid w:val="00A416FE"/>
    <w:rPr>
      <w:rFonts w:ascii="Verdana" w:hAnsi="Verdana"/>
      <w:sz w:val="13"/>
      <w:szCs w:val="13"/>
    </w:rPr>
  </w:style>
  <w:style w:type="table" w:styleId="PlainTable2">
    <w:name w:val="Plain Table 2"/>
    <w:basedOn w:val="TableNormal"/>
    <w:uiPriority w:val="42"/>
    <w:rsid w:val="00A416F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A416FE"/>
    <w:rPr>
      <w:color w:val="605E5C"/>
      <w:shd w:val="clear" w:color="auto" w:fill="E1DFDD"/>
    </w:rPr>
  </w:style>
  <w:style w:type="paragraph" w:styleId="Revision">
    <w:name w:val="Revision"/>
    <w:hidden/>
    <w:uiPriority w:val="99"/>
    <w:semiHidden/>
    <w:rsid w:val="00A40983"/>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F56547"/>
    <w:rPr>
      <w:sz w:val="16"/>
      <w:szCs w:val="16"/>
    </w:rPr>
  </w:style>
  <w:style w:type="paragraph" w:styleId="CommentText">
    <w:name w:val="annotation text"/>
    <w:basedOn w:val="Normal"/>
    <w:link w:val="TekstopmerkingChar"/>
    <w:uiPriority w:val="99"/>
    <w:unhideWhenUsed/>
    <w:rsid w:val="00F56547"/>
    <w:pPr>
      <w:spacing w:line="240" w:lineRule="auto"/>
    </w:pPr>
    <w:rPr>
      <w:sz w:val="20"/>
      <w:szCs w:val="20"/>
    </w:rPr>
  </w:style>
  <w:style w:type="character" w:customStyle="1" w:styleId="TekstopmerkingChar">
    <w:name w:val="Tekst opmerking Char"/>
    <w:basedOn w:val="DefaultParagraphFont"/>
    <w:link w:val="CommentText"/>
    <w:uiPriority w:val="99"/>
    <w:rsid w:val="00F56547"/>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EA41E0"/>
    <w:rPr>
      <w:b/>
      <w:bCs/>
    </w:rPr>
  </w:style>
  <w:style w:type="character" w:customStyle="1" w:styleId="OnderwerpvanopmerkingChar">
    <w:name w:val="Onderwerp van opmerking Char"/>
    <w:basedOn w:val="TekstopmerkingChar"/>
    <w:link w:val="CommentSubject"/>
    <w:uiPriority w:val="99"/>
    <w:semiHidden/>
    <w:rsid w:val="00EA41E0"/>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1.xml" Id="rId10" /><Relationship Type="http://schemas.openxmlformats.org/officeDocument/2006/relationships/header" Target="header2.xml" Id="rId11" /><Relationship Type="http://schemas.openxmlformats.org/officeDocument/2006/relationships/footer" Target="footer1.xml" Id="rId12" /><Relationship Type="http://schemas.openxmlformats.org/officeDocument/2006/relationships/footer" Target="footer2.xml" Id="rId13" /><Relationship Type="http://schemas.openxmlformats.org/officeDocument/2006/relationships/header" Target="header3.xml" Id="rId14" /><Relationship Type="http://schemas.openxmlformats.org/officeDocument/2006/relationships/footer" Target="footer3.xml" Id="rId15" /><Relationship Type="http://schemas.openxmlformats.org/officeDocument/2006/relationships/theme" Target="theme/theme1.xml" Id="rId16" /><Relationship Type="http://schemas.openxmlformats.org/officeDocument/2006/relationships/numbering" Target="numbering.xml" Id="rId17" /><Relationship Type="http://schemas.openxmlformats.org/officeDocument/2006/relationships/styles" Target="styles.xml" Id="rId18"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image" Target="media/image3.png" Id="rId9" /></Relationships>
</file>

<file path=word/_rels/footnotes.xml.rels><?xml version="1.0" encoding="utf-8" standalone="yes"?><Relationships xmlns="http://schemas.openxmlformats.org/package/2006/relationships"><Relationship Id="rId1" Type="http://schemas.openxmlformats.org/officeDocument/2006/relationships/hyperlink" Target="https://www.rijksoverheid.nl/documenten/2025/03/03/rapport-klein-gebied-grote-opgave-investerings-en-onderhoudsopgave-fysieke-infrastructuur-caribisch-nederland" TargetMode="External" /><Relationship Id="rId2" Type="http://schemas.openxmlformats.org/officeDocument/2006/relationships/hyperlink" Target="https://www.raadopenbaarbestuur.nl/documenten/2025/7/31/financiering-opgave-infrastructuur-caribisch-nederland" TargetMode="External" /><Relationship Id="rId3" Type="http://schemas.openxmlformats.org/officeDocument/2006/relationships/hyperlink" Target="https://www.tweedekamer.nl/kamerstukken/brieven_regering/detail?id=2026Z16081&amp;did=2026D36348" TargetMode="External" /><Relationship Id="rId4" Type="http://schemas.openxmlformats.org/officeDocument/2006/relationships/hyperlink" Target="https://www.tweedekamer.nl/kamerstukken/detail?id=2026D37373&amp;did=2026D37373" TargetMode="External" /><Relationship Id="rId5" Type="http://schemas.openxmlformats.org/officeDocument/2006/relationships/hyperlink" Target="https://www.rijksoverheid.nl/documenten/2024/01/22/staat-van-de-digitale-infrastructuur"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1433</ap:Words>
  <ap:Characters>7883</ap:Characters>
  <ap:DocSecurity>0</ap:DocSecurity>
  <ap:Lines>65</ap:Lines>
  <ap:Paragraphs>18</ap:Paragraphs>
  <ap:ScaleCrop>false</ap:ScaleCrop>
  <ap:HeadingPairs>
    <vt:vector baseType="variant" size="2">
      <vt:variant>
        <vt:lpstr>Titel</vt:lpstr>
      </vt:variant>
      <vt:variant>
        <vt:i4>1</vt:i4>
      </vt:variant>
    </vt:vector>
  </ap:HeadingPairs>
  <ap:TitlesOfParts>
    <vt:vector baseType="lpstr" size="1">
      <vt:lpstr>Brief - Rapporten en data inzake publieke voorzieningen Caribisch Nederland n.a.v. motie Tseggai (PRO)</vt:lpstr>
    </vt:vector>
  </ap:TitlesOfParts>
  <ap:LinksUpToDate>false</ap:LinksUpToDate>
  <ap:CharactersWithSpaces>9298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2026-10-12T14:53:00.0000000Z</dcterms:created>
  <dcterms:modified xsi:type="dcterms:W3CDTF">2026-10-16T14:58:00.0000000Z</dcterms:modified>
  <dc:creator/>
  <lastModifiedBy/>
  <dc:description>------------------------</dc:description>
  <dc:subject/>
  <keywords/>
  <version/>
  <category/>
</coreProperties>
</file>