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FA6876" w14:paraId="2577F0D4"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0"/>
                    <a:stretch>
                      <a:fillRect/>
                    </a:stretch>
                  </pic:blipFill>
                  <pic:spPr bwMode="auto">
                    <a:xfrm>
                      <a:off x="0" y="0"/>
                      <a:ext cx="467995" cy="1583865"/>
                    </a:xfrm>
                    <a:prstGeom prst="rect">
                      <a:avLst/>
                    </a:prstGeom>
                  </pic:spPr>
                </pic:pic>
              </a:graphicData>
            </a:graphic>
          </wp:inline>
        </w:drawing>
      </w:r>
    </w:p>
    <w:p w:rsidR="00FA6876" w14:paraId="055EC09F"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11"/>
                    <a:stretch>
                      <a:fillRect/>
                    </a:stretch>
                  </pic:blipFill>
                  <pic:spPr bwMode="auto">
                    <a:xfrm>
                      <a:off x="0" y="0"/>
                      <a:ext cx="2339975" cy="1582834"/>
                    </a:xfrm>
                    <a:prstGeom prst="rect">
                      <a:avLst/>
                    </a:prstGeom>
                  </pic:spPr>
                </pic:pic>
              </a:graphicData>
            </a:graphic>
          </wp:inline>
        </w:drawing>
      </w:r>
    </w:p>
    <w:p w:rsidR="00FA6876" w14:paraId="1F1051CE" w14:textId="77777777">
      <w:pPr>
        <w:pStyle w:val="Referentiegegevens"/>
        <w:framePr w:w="7540" w:h="255" w:wrap="none" w:hAnchor="page" w:vAnchor="page" w:x="1592" w:y="2709" w:hRule="exact" w:anchorLock="1"/>
      </w:pPr>
      <w:r>
        <w:t>&gt; Retouradres Postbus 20011 2500 EA  Den Haag</w:t>
      </w:r>
    </w:p>
    <w:p w:rsidR="00FA6876" w14:paraId="501F0E99" w14:textId="77777777">
      <w:pPr>
        <w:framePr w:w="7540" w:h="1757" w:wrap="none" w:hAnchor="page" w:vAnchor="page" w:x="1587" w:y="3078" w:hRule="exact" w:anchorLock="1"/>
      </w:pPr>
      <w:r>
        <w:t>Aan de Voorzitter van de Tweede Kamer der Staten-Generaal</w:t>
      </w:r>
    </w:p>
    <w:p w:rsidR="00FA6876" w14:paraId="527FD75A" w14:textId="77777777">
      <w:pPr>
        <w:framePr w:w="7540" w:h="1757" w:wrap="none" w:hAnchor="page" w:vAnchor="page" w:x="1587" w:y="3078" w:hRule="exact" w:anchorLock="1"/>
      </w:pPr>
      <w:r>
        <w:t>Postbus 20018</w:t>
      </w:r>
    </w:p>
    <w:p w:rsidR="00FA6876" w14:paraId="0D757463" w14:textId="77777777">
      <w:pPr>
        <w:framePr w:w="7540" w:h="1757" w:wrap="none" w:hAnchor="page" w:vAnchor="page" w:x="1587" w:y="3078" w:hRule="exact" w:anchorLock="1"/>
      </w:pPr>
      <w:r>
        <w:t>2500 EA    Den Haag</w:t>
      </w:r>
    </w:p>
    <w:p w:rsidR="00FA6876" w14:paraId="6DFEA186" w14:textId="77777777">
      <w:pPr>
        <w:pStyle w:val="Referentiegegevensbold"/>
        <w:framePr w:w="2012" w:h="12614" w:wrap="none" w:hAnchor="page" w:vAnchor="page" w:x="9325" w:y="3095" w:hRule="exact" w:anchorLock="1"/>
      </w:pPr>
      <w:r>
        <w:t>DG Volkshuisvesting en Bouwen</w:t>
      </w:r>
    </w:p>
    <w:p w:rsidR="00FA6876" w14:paraId="5C878E49" w14:textId="77777777">
      <w:pPr>
        <w:pStyle w:val="Referentiegegevens"/>
        <w:framePr w:w="2012" w:h="12614" w:wrap="none" w:hAnchor="page" w:vAnchor="page" w:x="9325" w:y="3095" w:hRule="exact" w:anchorLock="1"/>
      </w:pPr>
      <w:r>
        <w:t>Directie Wonen</w:t>
      </w:r>
    </w:p>
    <w:p w:rsidR="00FA6876" w14:paraId="576A630E" w14:textId="77777777">
      <w:pPr>
        <w:pStyle w:val="WitregelW1"/>
        <w:framePr w:w="2012" w:h="12614" w:wrap="none" w:hAnchor="page" w:vAnchor="page" w:x="9325" w:y="3095" w:hRule="exact" w:anchorLock="1"/>
      </w:pPr>
    </w:p>
    <w:p w:rsidR="00FA6876" w14:paraId="2766F671" w14:textId="77777777">
      <w:pPr>
        <w:pStyle w:val="Referentiegegevens"/>
        <w:framePr w:w="2012" w:h="12614" w:wrap="none" w:hAnchor="page" w:vAnchor="page" w:x="9325" w:y="3095" w:hRule="exact" w:anchorLock="1"/>
      </w:pPr>
      <w:r>
        <w:t>Turfmarkt 147</w:t>
      </w:r>
    </w:p>
    <w:p w:rsidR="00FA6876" w14:paraId="3409052C" w14:textId="77777777">
      <w:pPr>
        <w:pStyle w:val="Referentiegegevens"/>
        <w:framePr w:w="2012" w:h="12614" w:wrap="none" w:hAnchor="page" w:vAnchor="page" w:x="9325" w:y="3095" w:hRule="exact" w:anchorLock="1"/>
      </w:pPr>
      <w:r>
        <w:t>2511 DP  Den Haag</w:t>
      </w:r>
    </w:p>
    <w:p w:rsidRPr="00C655C0" w:rsidR="00FA6876" w14:paraId="591844B2" w14:textId="77777777">
      <w:pPr>
        <w:pStyle w:val="Referentiegegevens"/>
        <w:framePr w:w="2012" w:h="12614" w:wrap="none" w:hAnchor="page" w:vAnchor="page" w:x="9325" w:y="3095" w:hRule="exact" w:anchorLock="1"/>
      </w:pPr>
      <w:r w:rsidRPr="00C655C0">
        <w:t>Postbus 20011</w:t>
      </w:r>
    </w:p>
    <w:p w:rsidRPr="00C655C0" w:rsidR="00FA6876" w14:paraId="13104718" w14:textId="77777777">
      <w:pPr>
        <w:pStyle w:val="Referentiegegevens"/>
        <w:framePr w:w="2012" w:h="12614" w:wrap="none" w:hAnchor="page" w:vAnchor="page" w:x="9325" w:y="3095" w:hRule="exact" w:anchorLock="1"/>
      </w:pPr>
      <w:r w:rsidRPr="00C655C0">
        <w:t>2500 EA  Den Haag</w:t>
      </w:r>
    </w:p>
    <w:p w:rsidRPr="00C655C0" w:rsidR="00FA6876" w14:paraId="728422CE" w14:textId="77777777">
      <w:pPr>
        <w:pStyle w:val="WitregelW1"/>
        <w:framePr w:w="2012" w:h="12614" w:wrap="none" w:hAnchor="page" w:vAnchor="page" w:x="9325" w:y="3095" w:hRule="exact" w:anchorLock="1"/>
      </w:pPr>
    </w:p>
    <w:p w:rsidR="00525FEE" w14:paraId="523836CA" w14:textId="77777777">
      <w:pPr>
        <w:pStyle w:val="Referentiegegevensbold"/>
        <w:framePr w:w="2012" w:h="12614" w:wrap="none" w:hAnchor="page" w:vAnchor="page" w:x="9325" w:y="3095" w:hRule="exact" w:anchorLock="1"/>
      </w:pPr>
    </w:p>
    <w:p w:rsidR="00FA6876" w14:paraId="519ACA42" w14:textId="77777777">
      <w:pPr>
        <w:pStyle w:val="Referentiegegevensbold"/>
        <w:framePr w:w="2012" w:h="12614" w:wrap="none" w:hAnchor="page" w:vAnchor="page" w:x="9325" w:y="3095" w:hRule="exact" w:anchorLock="1"/>
      </w:pPr>
      <w:r>
        <w:t>Onze referentie</w:t>
      </w:r>
    </w:p>
    <w:p w:rsidR="00525FEE" w:rsidP="00525FEE" w14:paraId="3A4E2EE0" w14:textId="77777777">
      <w:pPr>
        <w:framePr w:w="2012" w:h="12614" w:wrap="none" w:hAnchor="page" w:vAnchor="page" w:x="9325" w:y="3095" w:hRule="exact" w:anchorLock="1"/>
      </w:pPr>
    </w:p>
    <w:p w:rsidRPr="00525FEE" w:rsidR="00525FEE" w:rsidP="00525FEE" w14:paraId="64692C9A" w14:textId="77777777">
      <w:pPr>
        <w:framePr w:w="2012" w:h="12614" w:wrap="none" w:hAnchor="page" w:vAnchor="page" w:x="9325" w:y="3095" w:hRule="exact" w:anchorLock="1"/>
      </w:pPr>
    </w:p>
    <w:p w:rsidR="00D46ADC" w14:paraId="31E0F8FF" w14:textId="77777777">
      <w:pPr>
        <w:pStyle w:val="Referentiegegevens"/>
        <w:framePr w:w="2012" w:h="12614" w:wrap="none" w:hAnchor="page" w:vAnchor="page" w:x="9325" w:y="3095" w:hRule="exact" w:anchorLock="1"/>
        <w:rPr>
          <w:b/>
          <w:bCs/>
        </w:rPr>
      </w:pPr>
      <w:r>
        <w:rPr>
          <w:b/>
          <w:bCs/>
        </w:rPr>
        <w:t xml:space="preserve">Bijlage(n) </w:t>
      </w:r>
    </w:p>
    <w:tbl>
      <w:tblPr>
        <w:tblW w:w="0" w:type="auto"/>
        <w:tblLayout w:type="fixed"/>
        <w:tblLook w:val="0740"/>
      </w:tblPr>
      <w:tblGrid>
        <w:gridCol w:w="1140"/>
        <w:gridCol w:w="5918"/>
      </w:tblGrid>
      <w:tr w14:paraId="40656DB0" w14:textId="77777777">
        <w:tblPrEx>
          <w:tblW w:w="0" w:type="auto"/>
          <w:tblLayout w:type="fixed"/>
          <w:tblLook w:val="0740"/>
        </w:tblPrEx>
        <w:trPr>
          <w:trHeight w:val="240"/>
        </w:trPr>
        <w:tc>
          <w:tcPr>
            <w:tcW w:w="1140" w:type="dxa"/>
          </w:tcPr>
          <w:p w:rsidR="00FA6876" w14:paraId="1EBD1B71" w14:textId="77777777">
            <w:pPr>
              <w:framePr w:w="7540" w:h="510" w:wrap="none" w:hAnchor="page" w:vAnchor="page" w:x="1589" w:y="5283" w:hRule="exact" w:anchorLock="1"/>
            </w:pPr>
            <w:r>
              <w:t>Datum</w:t>
            </w:r>
          </w:p>
        </w:tc>
        <w:tc>
          <w:tcPr>
            <w:tcW w:w="5918" w:type="dxa"/>
          </w:tcPr>
          <w:p w:rsidR="00FA6876" w14:paraId="57D2787E" w14:textId="2A504F20">
            <w:pPr>
              <w:framePr w:w="7540" w:h="510" w:wrap="none" w:hAnchor="page" w:vAnchor="page" w:x="1589" w:y="5283" w:hRule="exact" w:anchorLock="1"/>
            </w:pPr>
            <w:r>
              <w:t>16 oktober 2026</w:t>
            </w:r>
          </w:p>
        </w:tc>
      </w:tr>
      <w:tr w14:paraId="039E8C3C" w14:textId="77777777">
        <w:tblPrEx>
          <w:tblW w:w="0" w:type="auto"/>
          <w:tblLayout w:type="fixed"/>
          <w:tblLook w:val="0740"/>
        </w:tblPrEx>
        <w:trPr>
          <w:trHeight w:val="240"/>
        </w:trPr>
        <w:tc>
          <w:tcPr>
            <w:tcW w:w="1140" w:type="dxa"/>
          </w:tcPr>
          <w:p w:rsidR="00FA6876" w14:paraId="0E2DD2B4" w14:textId="77777777">
            <w:pPr>
              <w:framePr w:w="7540" w:h="510" w:wrap="none" w:hAnchor="page" w:vAnchor="page" w:x="1589" w:y="5283" w:hRule="exact" w:anchorLock="1"/>
            </w:pPr>
            <w:r>
              <w:t>Betreft</w:t>
            </w:r>
          </w:p>
        </w:tc>
        <w:tc>
          <w:tcPr>
            <w:tcW w:w="5918" w:type="dxa"/>
          </w:tcPr>
          <w:p w:rsidR="00FA6876" w14:paraId="0EF90E19"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Aanpassen opkoopbescherming n.a.v. evaluatie</w:t>
            </w:r>
            <w:r>
              <w:fldChar w:fldCharType="end"/>
            </w:r>
          </w:p>
        </w:tc>
      </w:tr>
    </w:tbl>
    <w:p w:rsidR="00717EBB" w14:paraId="74768148" w14:textId="77777777">
      <w:pPr>
        <w:pStyle w:val="Referentiegegevens"/>
        <w:framePr w:w="2025" w:h="254" w:wrap="none" w:hAnchor="page" w:vAnchor="page" w:x="9325" w:y="16055" w:hRule="exact" w:anchorLock="1"/>
        <w:rPr>
          <w:color w:val="7F7F7F" w:themeColor="text1" w:themeTint="80"/>
        </w:rPr>
      </w:pPr>
      <w:r>
        <w:rPr>
          <w:color w:val="7F7F7F" w:themeColor="text1" w:themeTint="80"/>
        </w:rPr>
        <w:t xml:space="preserve">Pagina </w:t>
      </w:r>
      <w:r>
        <w:rPr>
          <w:color w:val="7F7F7F" w:themeColor="text1" w:themeTint="80"/>
        </w:rPr>
        <w:fldChar w:fldCharType="begin"/>
      </w:r>
      <w:r>
        <w:rPr>
          <w:color w:val="7F7F7F" w:themeColor="text1" w:themeTint="80"/>
        </w:rPr>
        <w:instrText xml:space="preserve"> PAGE </w:instrText>
      </w:r>
      <w:r>
        <w:rPr>
          <w:color w:val="7F7F7F" w:themeColor="text1" w:themeTint="80"/>
        </w:rPr>
        <w:fldChar w:fldCharType="separate"/>
      </w:r>
      <w:r>
        <w:t>1</w:t>
      </w:r>
      <w:r>
        <w:fldChar w:fldCharType="end"/>
      </w:r>
      <w:r>
        <w:rPr>
          <w:color w:val="7F7F7F" w:themeColor="text1" w:themeTint="80"/>
        </w:rPr>
        <w:t xml:space="preserve"> van 5</w:t>
      </w:r>
    </w:p>
    <w:p w:rsidRPr="00DC119E" w:rsidR="00FA6876" w14:paraId="014A9CCC" w14:textId="77777777">
      <w:pPr>
        <w:rPr>
          <w:b/>
          <w:bCs/>
        </w:rPr>
      </w:pPr>
    </w:p>
    <w:p w:rsidRPr="00AE1AD1" w:rsidR="00D14188" w:rsidP="0006009C" w14:paraId="266DF87B" w14:textId="77777777">
      <w:r>
        <w:t xml:space="preserve">Sinds </w:t>
      </w:r>
      <w:r w:rsidR="0006009C">
        <w:t xml:space="preserve">1 januari </w:t>
      </w:r>
      <w:r>
        <w:t xml:space="preserve">2022 kunnen gemeenten </w:t>
      </w:r>
      <w:r w:rsidR="00D81CEC">
        <w:t xml:space="preserve">de </w:t>
      </w:r>
      <w:r>
        <w:t>opkoopbescherming toepassen</w:t>
      </w:r>
      <w:r w:rsidR="0006009C">
        <w:t xml:space="preserve"> op </w:t>
      </w:r>
      <w:r w:rsidR="00E72BC6">
        <w:t>(</w:t>
      </w:r>
      <w:r w:rsidR="0006009C">
        <w:t>een deel van</w:t>
      </w:r>
      <w:r w:rsidR="00E72BC6">
        <w:t>)</w:t>
      </w:r>
      <w:r w:rsidR="0006009C">
        <w:t xml:space="preserve"> de bestaande woningvoorraad</w:t>
      </w:r>
      <w:r>
        <w:t xml:space="preserve"> door het instrument op te nemen in de lokale huisvestingsverordening</w:t>
      </w:r>
      <w:r w:rsidR="00B22AC9">
        <w:t>.</w:t>
      </w:r>
      <w:r>
        <w:rPr>
          <w:rStyle w:val="FootnoteReference"/>
        </w:rPr>
        <w:footnoteReference w:id="2"/>
      </w:r>
      <w:r w:rsidR="0006009C">
        <w:t xml:space="preserve"> Dit houdt in dat </w:t>
      </w:r>
      <w:r w:rsidR="000C067F">
        <w:t>er een</w:t>
      </w:r>
      <w:r w:rsidR="0006009C">
        <w:t xml:space="preserve"> verbod is o</w:t>
      </w:r>
      <w:r w:rsidR="000C067F">
        <w:t>p</w:t>
      </w:r>
      <w:r w:rsidR="0006009C">
        <w:t xml:space="preserve"> </w:t>
      </w:r>
      <w:r w:rsidR="000C067F">
        <w:t xml:space="preserve">het </w:t>
      </w:r>
      <w:r w:rsidR="001E0F00">
        <w:t xml:space="preserve">verhuren van </w:t>
      </w:r>
      <w:r w:rsidR="0006009C">
        <w:t xml:space="preserve">deze aangewezen </w:t>
      </w:r>
      <w:r w:rsidR="001E0F00">
        <w:t>woonruimte</w:t>
      </w:r>
      <w:r w:rsidR="00E72BC6">
        <w:t>n</w:t>
      </w:r>
      <w:r w:rsidR="006E2464">
        <w:t>, zonder vergunning van de gemeente</w:t>
      </w:r>
      <w:r w:rsidR="001E0F00">
        <w:t xml:space="preserve">. </w:t>
      </w:r>
      <w:r w:rsidR="00B22AC9">
        <w:t>Het</w:t>
      </w:r>
      <w:r w:rsidR="001E0F00">
        <w:t xml:space="preserve"> verbod geldt voor een periode van </w:t>
      </w:r>
      <w:r w:rsidR="00B22AC9">
        <w:t>vier</w:t>
      </w:r>
      <w:r w:rsidR="001E0F00">
        <w:t xml:space="preserve"> jaar na aankoop van de woning. </w:t>
      </w:r>
      <w:r>
        <w:t>D</w:t>
      </w:r>
      <w:r w:rsidR="0006009C">
        <w:t>it instrument is destijds</w:t>
      </w:r>
      <w:r>
        <w:t xml:space="preserve"> ingevoerd met drie doelen</w:t>
      </w:r>
      <w:r w:rsidR="00A90371">
        <w:t>.</w:t>
      </w:r>
      <w:r>
        <w:t xml:space="preserve"> Allereerst </w:t>
      </w:r>
      <w:r w:rsidR="001E0F00">
        <w:t>was</w:t>
      </w:r>
      <w:r>
        <w:t xml:space="preserve"> h</w:t>
      </w:r>
      <w:r w:rsidRPr="00E8220A">
        <w:t xml:space="preserve">et </w:t>
      </w:r>
      <w:r w:rsidRPr="00477380">
        <w:t>beoogde effect</w:t>
      </w:r>
      <w:r w:rsidRPr="00E8220A">
        <w:t xml:space="preserve"> van </w:t>
      </w:r>
      <w:r>
        <w:t>de opkoopbescherming</w:t>
      </w:r>
      <w:r w:rsidRPr="00E8220A">
        <w:t xml:space="preserve"> om de kansen voor </w:t>
      </w:r>
      <w:r w:rsidR="001E0F00">
        <w:t>koopstarters</w:t>
      </w:r>
      <w:r w:rsidRPr="00E8220A">
        <w:t xml:space="preserve"> te vergroten</w:t>
      </w:r>
      <w:r w:rsidR="00A90371">
        <w:t>.</w:t>
      </w:r>
      <w:r w:rsidR="001E0F00">
        <w:t xml:space="preserve"> Daarnaast moest de opkoopbescherming</w:t>
      </w:r>
      <w:r w:rsidRPr="00E8220A">
        <w:t xml:space="preserve"> de leefbaarheid verbeteren daar waar de leefbaarheid onder druk k</w:t>
      </w:r>
      <w:r w:rsidR="001E0F00">
        <w:t>wam</w:t>
      </w:r>
      <w:r w:rsidRPr="00E8220A">
        <w:t xml:space="preserve"> te staan door de opkoop </w:t>
      </w:r>
      <w:r w:rsidR="00B22AC9">
        <w:t xml:space="preserve">van woningen </w:t>
      </w:r>
      <w:r w:rsidRPr="00E8220A">
        <w:t>voor verhuur</w:t>
      </w:r>
      <w:r>
        <w:t xml:space="preserve">. </w:t>
      </w:r>
      <w:r w:rsidR="001E0F00">
        <w:t>Tenslotte</w:t>
      </w:r>
      <w:r>
        <w:t xml:space="preserve"> werd via de opkoopbescherming ingezet op het tegengaan van malafide verhuurders</w:t>
      </w:r>
      <w:r w:rsidR="001E0F00">
        <w:t xml:space="preserve">. </w:t>
      </w:r>
    </w:p>
    <w:p w:rsidR="00B2628F" w:rsidP="0006009C" w14:paraId="63E24D44" w14:textId="77777777"/>
    <w:p w:rsidR="00B2628F" w:rsidP="0006009C" w14:paraId="7BBB1316" w14:textId="77777777">
      <w:r>
        <w:t>In het</w:t>
      </w:r>
      <w:r w:rsidRPr="00AE1AD1">
        <w:t xml:space="preserve"> coalitieakkoord</w:t>
      </w:r>
      <w:r>
        <w:t xml:space="preserve"> </w:t>
      </w:r>
      <w:r w:rsidR="00D81CEC">
        <w:t>is</w:t>
      </w:r>
      <w:r>
        <w:t xml:space="preserve"> afgesproken om de </w:t>
      </w:r>
      <w:r w:rsidRPr="00AE1AD1">
        <w:t xml:space="preserve">opkoopbescherming </w:t>
      </w:r>
      <w:r>
        <w:t>‘</w:t>
      </w:r>
      <w:r w:rsidRPr="00AE1AD1">
        <w:t>fors in</w:t>
      </w:r>
      <w:r>
        <w:t xml:space="preserve"> te </w:t>
      </w:r>
      <w:r w:rsidRPr="00AE1AD1">
        <w:t>perken en gerichter te maken, afhankelijk van de evaluatie</w:t>
      </w:r>
      <w:r>
        <w:t>’</w:t>
      </w:r>
      <w:r w:rsidRPr="00AE1AD1" w:rsidR="0009670D">
        <w:t>.</w:t>
      </w:r>
      <w:r>
        <w:t xml:space="preserve"> Deze evaluatie is reeds met uw </w:t>
      </w:r>
      <w:r w:rsidR="00EE2F1C">
        <w:t>K</w:t>
      </w:r>
      <w:r>
        <w:t>amer gedeeld.</w:t>
      </w:r>
      <w:r>
        <w:rPr>
          <w:rStyle w:val="FootnoteReference"/>
        </w:rPr>
        <w:footnoteReference w:id="3"/>
      </w:r>
      <w:r>
        <w:t xml:space="preserve"> Middels deze brief wil ik uw </w:t>
      </w:r>
      <w:r w:rsidR="00A6716D">
        <w:t>K</w:t>
      </w:r>
      <w:r>
        <w:t xml:space="preserve">amer informeren over de aanpassingen die ik voornemens ben door te voeren </w:t>
      </w:r>
      <w:r w:rsidR="00B22AC9">
        <w:t>en licht ik</w:t>
      </w:r>
      <w:r>
        <w:t xml:space="preserve"> het verdere proces</w:t>
      </w:r>
      <w:r w:rsidR="00B22AC9">
        <w:t xml:space="preserve"> toe</w:t>
      </w:r>
      <w:r>
        <w:t xml:space="preserve">. </w:t>
      </w:r>
      <w:r w:rsidR="00EE2F1C">
        <w:t xml:space="preserve">De voorgestelde wijzigingen van de opkoopbescherming zijn daarbij onderdeel van het bredere pakket aan maatregelen uit het Actieplan Versnelling Woningbouw (actie 18b), gericht op het verbeteren van </w:t>
      </w:r>
      <w:r w:rsidRPr="009C7A35" w:rsidR="00EE2F1C">
        <w:t>het investeringsklimaat</w:t>
      </w:r>
      <w:r w:rsidR="00EE2F1C">
        <w:t xml:space="preserve"> voor private verhuurders.</w:t>
      </w:r>
    </w:p>
    <w:p w:rsidRPr="00DC119E" w:rsidR="00DC119E" w14:paraId="52D8325F" w14:textId="77777777">
      <w:pPr>
        <w:rPr>
          <w:b/>
          <w:bCs/>
        </w:rPr>
      </w:pPr>
    </w:p>
    <w:p w:rsidR="00DC119E" w14:paraId="4B113842" w14:textId="77777777">
      <w:pPr>
        <w:rPr>
          <w:b/>
          <w:bCs/>
        </w:rPr>
      </w:pPr>
      <w:r>
        <w:rPr>
          <w:b/>
          <w:bCs/>
        </w:rPr>
        <w:t>Resultaten e</w:t>
      </w:r>
      <w:r w:rsidRPr="00DC119E">
        <w:rPr>
          <w:b/>
          <w:bCs/>
        </w:rPr>
        <w:t xml:space="preserve">valuatie </w:t>
      </w:r>
    </w:p>
    <w:p w:rsidR="00F837B1" w:rsidP="00F837B1" w14:paraId="6EA81C55" w14:textId="77777777">
      <w:bookmarkStart w:name="_Hlk231978884" w:id="0"/>
      <w:r>
        <w:t xml:space="preserve">Sinds de invoering van de opkoopbescherming is het instrument door </w:t>
      </w:r>
      <w:r w:rsidR="004940DA">
        <w:t xml:space="preserve">ca. </w:t>
      </w:r>
      <w:r>
        <w:t>7</w:t>
      </w:r>
      <w:r w:rsidR="004940DA">
        <w:t>0</w:t>
      </w:r>
      <w:r>
        <w:t xml:space="preserve"> gemeenten toegepast.</w:t>
      </w:r>
      <w:bookmarkEnd w:id="0"/>
      <w:r>
        <w:rPr>
          <w:rStyle w:val="FootnoteReference"/>
        </w:rPr>
        <w:footnoteReference w:id="4"/>
      </w:r>
      <w:r>
        <w:t xml:space="preserve"> </w:t>
      </w:r>
      <w:r w:rsidR="00FD772F">
        <w:t xml:space="preserve">In 2026 is de evaluatie </w:t>
      </w:r>
      <w:r w:rsidR="006E2464">
        <w:t xml:space="preserve">van </w:t>
      </w:r>
      <w:r w:rsidR="00FD772F">
        <w:t xml:space="preserve">de opkoopbescherming uitgevoerd, met aandacht voor de inzet en effectiviteit van het instrument in deze gemeenten. </w:t>
      </w:r>
    </w:p>
    <w:p w:rsidRPr="00791C76" w:rsidR="00F837B1" w:rsidP="00F837B1" w14:paraId="4253D959" w14:textId="77777777">
      <w:pPr>
        <w:rPr>
          <w:i/>
        </w:rPr>
      </w:pPr>
    </w:p>
    <w:p w:rsidR="00DC119E" w:rsidP="00F837B1" w14:paraId="25C5F789" w14:textId="77777777">
      <w:r>
        <w:t xml:space="preserve">De </w:t>
      </w:r>
      <w:r>
        <w:t>evaluatie</w:t>
      </w:r>
      <w:r w:rsidR="00B22AC9">
        <w:t>, die zich baseert op kwantitatieve en kwalitatieve gegevens,</w:t>
      </w:r>
      <w:r>
        <w:t xml:space="preserve"> laat zien dat het instrument</w:t>
      </w:r>
      <w:r w:rsidR="00A6716D">
        <w:t xml:space="preserve"> in de huidige (markt)omstandigheden</w:t>
      </w:r>
      <w:r>
        <w:t xml:space="preserve"> geen effectief middel meer is voor het verbeteren van de slaagkans voor koopstarters. </w:t>
      </w:r>
      <w:r w:rsidR="00FD20DC">
        <w:t>Onder andere</w:t>
      </w:r>
      <w:r w:rsidR="00D92173">
        <w:t xml:space="preserve"> </w:t>
      </w:r>
      <w:r w:rsidR="00AF08E7">
        <w:t>de</w:t>
      </w:r>
      <w:r w:rsidR="00D92173">
        <w:t xml:space="preserve"> toe- of afname van het </w:t>
      </w:r>
      <w:r w:rsidRPr="003B3887" w:rsidR="00D92173">
        <w:t xml:space="preserve">aanbod </w:t>
      </w:r>
      <w:r w:rsidR="00FD20DC">
        <w:t xml:space="preserve">aan </w:t>
      </w:r>
      <w:r w:rsidRPr="003B3887" w:rsidR="00D92173">
        <w:t>betaalbare en middeldure koopwoningen</w:t>
      </w:r>
      <w:r w:rsidR="006E2464">
        <w:t>,</w:t>
      </w:r>
      <w:r w:rsidRPr="003B3887" w:rsidR="00D92173">
        <w:t xml:space="preserve"> de verhouding</w:t>
      </w:r>
      <w:r w:rsidR="00D92173">
        <w:t>en</w:t>
      </w:r>
      <w:r w:rsidRPr="003B3887" w:rsidR="00D92173">
        <w:t xml:space="preserve"> t</w:t>
      </w:r>
      <w:r w:rsidR="00D92173">
        <w:t xml:space="preserve">ussen het aanbod koop- en </w:t>
      </w:r>
      <w:r w:rsidRPr="003B3887" w:rsidR="00D92173">
        <w:t>huur</w:t>
      </w:r>
      <w:r w:rsidR="00D92173">
        <w:t>woningen</w:t>
      </w:r>
      <w:r w:rsidR="00FD20DC">
        <w:t xml:space="preserve"> </w:t>
      </w:r>
      <w:r w:rsidR="00D92173">
        <w:t xml:space="preserve">en </w:t>
      </w:r>
      <w:r w:rsidRPr="003B3887" w:rsidR="00D92173">
        <w:t>verandering</w:t>
      </w:r>
      <w:r w:rsidR="00D92173">
        <w:t>en</w:t>
      </w:r>
      <w:r w:rsidRPr="003B3887" w:rsidR="00D92173">
        <w:t xml:space="preserve"> in koopprijzen</w:t>
      </w:r>
      <w:r w:rsidR="00FD20DC">
        <w:t xml:space="preserve"> is onderzocht</w:t>
      </w:r>
      <w:r w:rsidR="00D92173">
        <w:t xml:space="preserve">. </w:t>
      </w:r>
      <w:r>
        <w:t>D</w:t>
      </w:r>
      <w:r w:rsidR="00D92173">
        <w:t>e afgenomen effectiviteit</w:t>
      </w:r>
      <w:r w:rsidR="00791C76">
        <w:t xml:space="preserve">, die </w:t>
      </w:r>
      <w:r>
        <w:t>sinds het tweede kwartaal in 2023</w:t>
      </w:r>
      <w:r w:rsidR="00791C76">
        <w:t xml:space="preserve"> zichtbaar is,</w:t>
      </w:r>
      <w:r>
        <w:t xml:space="preserve"> is het gevolg van veranderde macro-economische </w:t>
      </w:r>
      <w:r>
        <w:t xml:space="preserve">omstandigheden, </w:t>
      </w:r>
      <w:r w:rsidR="00FD20DC">
        <w:t>nieuwe</w:t>
      </w:r>
      <w:r>
        <w:t xml:space="preserve"> </w:t>
      </w:r>
      <w:r w:rsidR="00FD20DC">
        <w:t>huurregelgeving</w:t>
      </w:r>
      <w:r w:rsidR="00BF6D82">
        <w:t xml:space="preserve"> </w:t>
      </w:r>
      <w:r>
        <w:t xml:space="preserve">en fiscale </w:t>
      </w:r>
      <w:r w:rsidR="00BF6D82">
        <w:t>beleid</w:t>
      </w:r>
      <w:r>
        <w:t>.</w:t>
      </w:r>
      <w:r>
        <w:rPr>
          <w:rStyle w:val="FootnoteReference"/>
        </w:rPr>
        <w:footnoteReference w:id="5"/>
      </w:r>
      <w:r>
        <w:t xml:space="preserve"> Daarnaast zijn er geschiktere instrumenten voorhanden voor het aanpakken van malafide verhuur (Wet goed verhuurderschap) en het tegengaan van verkamering (handhaving op het omgevingsplan of huisvestingsverordening). De evaluatie is dan ook kritisch op de doeltreffendheid</w:t>
      </w:r>
      <w:r w:rsidR="0064042F">
        <w:t xml:space="preserve"> ten aanzien van </w:t>
      </w:r>
      <w:r w:rsidR="00AF08E7">
        <w:t>twee van de drie oorspronkelijke doelen</w:t>
      </w:r>
      <w:r>
        <w:t xml:space="preserve">, en </w:t>
      </w:r>
      <w:r w:rsidR="00F45BDE">
        <w:t>ziet de meeste relevantie van de opkoopbescherming anno 2026</w:t>
      </w:r>
      <w:r>
        <w:t xml:space="preserve"> </w:t>
      </w:r>
      <w:r w:rsidR="00F45BDE">
        <w:t xml:space="preserve">in de inzet voor het instrument voor </w:t>
      </w:r>
      <w:r>
        <w:t>het behoud en bevorderen van de leefbaarheid</w:t>
      </w:r>
      <w:r w:rsidR="00F45BDE">
        <w:t xml:space="preserve"> en sociale cohesie</w:t>
      </w:r>
      <w:r>
        <w:t xml:space="preserve">. </w:t>
      </w:r>
    </w:p>
    <w:p w:rsidR="00A6716D" w:rsidP="00F837B1" w14:paraId="36B61232" w14:textId="77777777"/>
    <w:p w:rsidR="00DF79DA" w:rsidP="00F837B1" w14:paraId="01E4D053" w14:textId="77777777">
      <w:r w:rsidRPr="00DF79DA">
        <w:t xml:space="preserve">Voor het kwalitatieve onderdeel van </w:t>
      </w:r>
      <w:r>
        <w:t xml:space="preserve">de evaluatie </w:t>
      </w:r>
      <w:r w:rsidRPr="00DF79DA">
        <w:t xml:space="preserve">zijn gesprekken gevoerd met verschillende gemeenten, verhuurders, investeerders, makelaars en experts. Een belangrijke uitkomst is dat deze stakeholders erkennen dat andere instrumenten en maatregelen een grotere invloed hebben op de investeringsbereidheid ten aanzien van het opkopen en verhuren van woningen. Tegelijkertijd beschouwen gemeenten de opkoopbescherming als een essentieel onderdeel van het bredere instrumentarium aan sturingsmogelijkheden. De opkoopbescherming biedt gemeenten als enige instrument de mogelijkheid om rechtstreeks te sturen op het aandeel eigenaar-bewoners binnen de bestaande woningvoorraad. </w:t>
      </w:r>
      <w:r w:rsidR="008C2EF9">
        <w:t>Ook</w:t>
      </w:r>
      <w:r w:rsidRPr="00DF79DA">
        <w:t xml:space="preserve"> blijkt uit de evaluatie dat bij gemeenten een duidelijke behoefte bestaat om het instrument te behouden, zodat </w:t>
      </w:r>
      <w:r>
        <w:t>hiermee kan worden gereageerd</w:t>
      </w:r>
      <w:r w:rsidRPr="00DF79DA">
        <w:t xml:space="preserve"> op toekomstige</w:t>
      </w:r>
      <w:r w:rsidR="00FE4B78">
        <w:t xml:space="preserve"> </w:t>
      </w:r>
      <w:r w:rsidRPr="00DF79DA">
        <w:t>ontwikkelingen en veranderingen op de woningmarkt.</w:t>
      </w:r>
    </w:p>
    <w:p w:rsidR="00DF79DA" w:rsidP="00F837B1" w14:paraId="4218B08E" w14:textId="77777777"/>
    <w:p w:rsidRPr="00AD1F22" w:rsidR="00DF79DA" w:rsidP="00AD1F22" w14:paraId="483A1E77" w14:textId="77777777">
      <w:pPr>
        <w:spacing w:line="276" w:lineRule="auto"/>
        <w:rPr>
          <w:b/>
        </w:rPr>
      </w:pPr>
      <w:r>
        <w:t>Het evaluatierapport is kritisch op de proportionaliteit van de inzet van de opkoopbescherming door gemeenten, en op de kwaliteit van de onderbouwing die ten grondslag ligt aan de toepassing van het instrument. Gemeenten hebben in veel gevallen niet onderbouwd waarop een prijsgrens is gebaseerd. Ook ontbreekt in de meeste gevallen een analyse die aantoont waarom de opkoopbescherming in een specifiek</w:t>
      </w:r>
      <w:r w:rsidR="00AD1F22">
        <w:t xml:space="preserve"> gebied </w:t>
      </w:r>
      <w:r>
        <w:t>noodzakelijk en geschikt is. In gemeenten waar wel sprake is van een onderbouwing, wordt de noodzaak en geschiktheid aangetoond door te wijzen op de schaarste van het aanbod voor koopsta</w:t>
      </w:r>
      <w:r w:rsidR="00AD1F22">
        <w:t>r</w:t>
      </w:r>
      <w:r>
        <w:t xml:space="preserve">ters. </w:t>
      </w:r>
      <w:r w:rsidR="00EC6512">
        <w:t xml:space="preserve">Uit het evaluatierapport blijkt dat slechts enkele gemeenten het instrument toepassen met </w:t>
      </w:r>
      <w:r w:rsidR="00FE4B78">
        <w:t xml:space="preserve">formeel </w:t>
      </w:r>
      <w:r w:rsidR="00EC6512">
        <w:t>als doel de leefbaarheid van de wijk te bewaken.</w:t>
      </w:r>
      <w:r w:rsidR="00FE4B78">
        <w:t xml:space="preserve"> </w:t>
      </w:r>
      <w:r w:rsidR="00EC6512">
        <w:t>Uit een analyse van de verordeningen van deze gemeenten volgt dat de onderbouwing hiervoor zeer beperkt is, en niet op cijfers gestoeld</w:t>
      </w:r>
      <w:r w:rsidR="00FE4B78">
        <w:t>.</w:t>
      </w:r>
      <w:r w:rsidR="00EC6512">
        <w:t xml:space="preserve"> Daarentegen hebben gemeenten in gesprekken, als onderdeel van de evaluatie, wel aangegeven dat leefbaarheid een belangrijk argument is voor de inzet van het instrument.</w:t>
      </w:r>
      <w:r w:rsidRPr="00AD1F22" w:rsidR="00AD1F22">
        <w:t xml:space="preserve"> </w:t>
      </w:r>
      <w:r w:rsidRPr="00AD1F22">
        <w:t>Het</w:t>
      </w:r>
      <w:r w:rsidRPr="00125BD0">
        <w:t xml:space="preserve"> ontbreken van een adequate onderbouwing door gemeenten maakt dat de afweging over de geschiktheid en proportionaliteit van de inzet van het instrument </w:t>
      </w:r>
      <w:r w:rsidR="00EC6512">
        <w:t xml:space="preserve">echter </w:t>
      </w:r>
      <w:r w:rsidR="00B63BF5">
        <w:t>niet herleidbaar</w:t>
      </w:r>
      <w:r w:rsidRPr="00125BD0" w:rsidR="00B63BF5">
        <w:t xml:space="preserve"> </w:t>
      </w:r>
      <w:r w:rsidRPr="00125BD0">
        <w:t xml:space="preserve">is. </w:t>
      </w:r>
    </w:p>
    <w:p w:rsidR="00F837B1" w:rsidP="00F837B1" w14:paraId="78AF94C4" w14:textId="77777777"/>
    <w:p w:rsidRPr="00791C76" w:rsidR="008C2EF9" w:rsidP="00F837B1" w14:paraId="02EB25BB" w14:textId="77777777">
      <w:pPr>
        <w:rPr>
          <w:i/>
          <w:iCs/>
        </w:rPr>
      </w:pPr>
      <w:r w:rsidRPr="00273C08">
        <w:rPr>
          <w:i/>
          <w:iCs/>
        </w:rPr>
        <w:t xml:space="preserve">Voorgestelde wijzigingen </w:t>
      </w:r>
    </w:p>
    <w:p w:rsidR="0064042F" w:rsidP="00044A47" w14:paraId="12133A99" w14:textId="77777777">
      <w:pPr>
        <w:spacing w:line="276" w:lineRule="auto"/>
      </w:pPr>
      <w:r>
        <w:t>Naar aanleiding</w:t>
      </w:r>
      <w:r>
        <w:t xml:space="preserve"> van de evaluatie ben ik voornemens om twee wijzigingen </w:t>
      </w:r>
      <w:r>
        <w:t>voor te stellen</w:t>
      </w:r>
      <w:r>
        <w:t xml:space="preserve"> ten behoeve van een doeltreffend en proportioneel instrument: </w:t>
      </w:r>
    </w:p>
    <w:p w:rsidR="00044A47" w:rsidP="00044A47" w14:paraId="06BBB3E3" w14:textId="77777777">
      <w:pPr>
        <w:pStyle w:val="ListParagraph"/>
        <w:numPr>
          <w:ilvl w:val="0"/>
          <w:numId w:val="14"/>
        </w:numPr>
        <w:spacing w:line="276" w:lineRule="auto"/>
      </w:pPr>
      <w:r>
        <w:t>het aanscherpen van de doelen van het instrument;</w:t>
      </w:r>
    </w:p>
    <w:p w:rsidR="00FE4B78" w:rsidP="00044A47" w14:paraId="69F0CDB3" w14:textId="77777777">
      <w:pPr>
        <w:pStyle w:val="ListParagraph"/>
        <w:numPr>
          <w:ilvl w:val="0"/>
          <w:numId w:val="14"/>
        </w:numPr>
        <w:spacing w:line="276" w:lineRule="auto"/>
      </w:pPr>
      <w:r>
        <w:t>het inperken van de toepassingsmogelijkheden van het instrument door middel van</w:t>
      </w:r>
      <w:r>
        <w:t>:</w:t>
      </w:r>
    </w:p>
    <w:p w:rsidR="004220EB" w:rsidP="00FE4B78" w14:paraId="56103BBF" w14:textId="77777777">
      <w:pPr>
        <w:pStyle w:val="ListParagraph"/>
        <w:numPr>
          <w:ilvl w:val="1"/>
          <w:numId w:val="14"/>
        </w:numPr>
        <w:spacing w:line="276" w:lineRule="auto"/>
      </w:pPr>
      <w:r>
        <w:t xml:space="preserve">een </w:t>
      </w:r>
      <w:r>
        <w:t>onderbouwing enkel op basis van leefbaarheid;</w:t>
      </w:r>
    </w:p>
    <w:p w:rsidR="00FE4B78" w:rsidP="00FE4B78" w14:paraId="47D0E18F" w14:textId="77777777">
      <w:pPr>
        <w:pStyle w:val="ListParagraph"/>
        <w:numPr>
          <w:ilvl w:val="1"/>
          <w:numId w:val="14"/>
        </w:numPr>
        <w:spacing w:line="276" w:lineRule="auto"/>
      </w:pPr>
      <w:r>
        <w:t xml:space="preserve">het focussen op een </w:t>
      </w:r>
      <w:r w:rsidR="00F45547">
        <w:t>g</w:t>
      </w:r>
      <w:r w:rsidRPr="00F45547" w:rsidR="00F45547">
        <w:t>ebieds-/wijkgerichte inzet</w:t>
      </w:r>
      <w:r>
        <w:t>;</w:t>
      </w:r>
    </w:p>
    <w:p w:rsidR="00FB2ABE" w:rsidP="00FE4B78" w14:paraId="3369F641" w14:textId="77777777">
      <w:pPr>
        <w:pStyle w:val="ListParagraph"/>
        <w:numPr>
          <w:ilvl w:val="1"/>
          <w:numId w:val="14"/>
        </w:numPr>
        <w:spacing w:line="276" w:lineRule="auto"/>
      </w:pPr>
      <w:r>
        <w:t xml:space="preserve">het </w:t>
      </w:r>
      <w:r w:rsidR="00044A47">
        <w:t>introduceren</w:t>
      </w:r>
      <w:r>
        <w:t xml:space="preserve"> van een maximale prijsgrens.</w:t>
      </w:r>
    </w:p>
    <w:p w:rsidR="00044A47" w:rsidP="00044A47" w14:paraId="0318E426" w14:textId="77777777">
      <w:pPr>
        <w:spacing w:line="276" w:lineRule="auto"/>
      </w:pPr>
    </w:p>
    <w:p w:rsidR="00FB2ABE" w:rsidP="00044A47" w14:paraId="6CF532AF" w14:textId="77777777">
      <w:pPr>
        <w:spacing w:line="276" w:lineRule="auto"/>
      </w:pPr>
      <w:r>
        <w:t xml:space="preserve">Deze </w:t>
      </w:r>
      <w:r w:rsidR="007303E9">
        <w:t>voorgenomen</w:t>
      </w:r>
      <w:r>
        <w:t xml:space="preserve"> wijzigingen </w:t>
      </w:r>
      <w:r w:rsidR="0072073C">
        <w:t xml:space="preserve">licht ik hieronder toe. </w:t>
      </w:r>
      <w:r w:rsidR="00D11AD3">
        <w:t xml:space="preserve"> </w:t>
      </w:r>
    </w:p>
    <w:p w:rsidRPr="00DC119E" w:rsidR="00DC119E" w14:paraId="15A65C37" w14:textId="77777777">
      <w:pPr>
        <w:rPr>
          <w:b/>
          <w:bCs/>
        </w:rPr>
      </w:pPr>
      <w:r>
        <w:rPr>
          <w:b/>
          <w:bCs/>
        </w:rPr>
        <w:t>Wijzigen van het</w:t>
      </w:r>
      <w:r w:rsidR="0029251B">
        <w:rPr>
          <w:b/>
          <w:bCs/>
        </w:rPr>
        <w:t xml:space="preserve"> doel van de opkoopbescherming</w:t>
      </w:r>
    </w:p>
    <w:p w:rsidR="00EC6512" w:rsidP="00EC6512" w14:paraId="2A2C5F1B" w14:textId="77777777">
      <w:pPr>
        <w:spacing w:line="276" w:lineRule="auto"/>
        <w:rPr>
          <w:i/>
        </w:rPr>
      </w:pPr>
      <w:r>
        <w:t>De opkoopbescherming is destijds ingevoerd met drie doelen.</w:t>
      </w:r>
      <w:r w:rsidR="00F30A31">
        <w:t xml:space="preserve"> </w:t>
      </w:r>
      <w:r w:rsidR="009B217C">
        <w:t>Het</w:t>
      </w:r>
      <w:r w:rsidR="00895B58">
        <w:t xml:space="preserve"> bevorderen van de kans voor de koopstarter wordt </w:t>
      </w:r>
      <w:r w:rsidR="00D11AD3">
        <w:t>met</w:t>
      </w:r>
      <w:r w:rsidR="00895B58">
        <w:t xml:space="preserve"> de huidige</w:t>
      </w:r>
      <w:r w:rsidR="009B217C">
        <w:t xml:space="preserve"> </w:t>
      </w:r>
      <w:r w:rsidR="00D11AD3">
        <w:t>markt</w:t>
      </w:r>
      <w:r w:rsidR="00895B58">
        <w:t>omstandigheden niet langer gezien als een relevant doel</w:t>
      </w:r>
      <w:r w:rsidR="009B217C">
        <w:t>.</w:t>
      </w:r>
      <w:r w:rsidR="00895B58">
        <w:t xml:space="preserve"> Voor het tegengaan van malafide verhuur bestaan geschiktere instrumenten, zoals de </w:t>
      </w:r>
      <w:r w:rsidR="00DC4A29">
        <w:t>W</w:t>
      </w:r>
      <w:r w:rsidR="00895B58">
        <w:t xml:space="preserve">et </w:t>
      </w:r>
      <w:r w:rsidR="00DC4A29">
        <w:t>g</w:t>
      </w:r>
      <w:r w:rsidR="00895B58">
        <w:t xml:space="preserve">oed </w:t>
      </w:r>
      <w:r w:rsidR="00DC4A29">
        <w:t>v</w:t>
      </w:r>
      <w:r w:rsidR="00895B58">
        <w:t xml:space="preserve">erhuurderschap. </w:t>
      </w:r>
      <w:r w:rsidRPr="00FB2ABE" w:rsidR="00FB2ABE">
        <w:t xml:space="preserve">Om die reden </w:t>
      </w:r>
      <w:r w:rsidR="00CE0C80">
        <w:t xml:space="preserve">ben ik voornemens </w:t>
      </w:r>
      <w:r w:rsidR="00DC4A29">
        <w:t xml:space="preserve">om </w:t>
      </w:r>
      <w:r w:rsidR="00CE0C80">
        <w:t>het</w:t>
      </w:r>
      <w:r w:rsidRPr="00FB2ABE" w:rsidR="00FB2ABE">
        <w:t xml:space="preserve"> doel </w:t>
      </w:r>
      <w:r w:rsidR="00AE7D15">
        <w:t xml:space="preserve">van de opkoopbescherming </w:t>
      </w:r>
      <w:r>
        <w:t xml:space="preserve">te </w:t>
      </w:r>
      <w:r w:rsidR="00F8542F">
        <w:t>beperken tot</w:t>
      </w:r>
      <w:r>
        <w:t xml:space="preserve"> </w:t>
      </w:r>
      <w:r w:rsidRPr="00FB2ABE" w:rsidR="00FB2ABE">
        <w:t xml:space="preserve">het tegengaan van druk op de leefbaarheid </w:t>
      </w:r>
      <w:r w:rsidR="006B4320">
        <w:t>middels</w:t>
      </w:r>
      <w:r w:rsidRPr="00FB2ABE" w:rsidR="00FB2ABE">
        <w:t xml:space="preserve"> een </w:t>
      </w:r>
      <w:r w:rsidR="00895B58">
        <w:t>e</w:t>
      </w:r>
      <w:r w:rsidRPr="00FB2ABE" w:rsidR="00FB2ABE">
        <w:t>venwichtige samenstelling van de woningvoorraad</w:t>
      </w:r>
      <w:r w:rsidR="00AE7D15">
        <w:t xml:space="preserve">. </w:t>
      </w:r>
    </w:p>
    <w:p w:rsidR="00EC6512" w:rsidP="00EC6512" w14:paraId="03496056" w14:textId="77777777">
      <w:pPr>
        <w:spacing w:line="276" w:lineRule="auto"/>
        <w:rPr>
          <w:i/>
        </w:rPr>
      </w:pPr>
    </w:p>
    <w:p w:rsidR="00DC4A29" w:rsidP="00EC6512" w14:paraId="31016855" w14:textId="77777777">
      <w:pPr>
        <w:spacing w:line="276" w:lineRule="auto"/>
        <w:rPr>
          <w:i/>
        </w:rPr>
      </w:pPr>
      <w:r>
        <w:rPr>
          <w:i/>
        </w:rPr>
        <w:t>Doel leefbaarheid in relatie tot samenstelling van de woningvoorraad</w:t>
      </w:r>
    </w:p>
    <w:p w:rsidR="00D11AD3" w:rsidP="00D11AD3" w14:paraId="1E0C5B5A" w14:textId="77777777">
      <w:pPr>
        <w:spacing w:line="276" w:lineRule="auto"/>
        <w:rPr>
          <w:i/>
        </w:rPr>
      </w:pPr>
      <w:r w:rsidRPr="00FB2ABE">
        <w:t>De woningvoorraad en de verhuisbewegingen binnen een wijk spelen een belangrijke rol</w:t>
      </w:r>
      <w:r w:rsidR="0031133D">
        <w:t xml:space="preserve"> in de ontwikkeling van een sterke sociale basis, en dragen daarmee bij aan leefbare en veerkrachtige wijken</w:t>
      </w:r>
      <w:r w:rsidRPr="00FB2ABE">
        <w:t>. Een relatief hoge mutatiegraad</w:t>
      </w:r>
      <w:r w:rsidR="002E2A59">
        <w:t xml:space="preserve">, kenmerkend voor </w:t>
      </w:r>
      <w:r w:rsidR="00F30A31">
        <w:t>particuliere huurwoningen</w:t>
      </w:r>
      <w:r>
        <w:rPr>
          <w:rStyle w:val="FootnoteReference"/>
        </w:rPr>
        <w:footnoteReference w:id="6"/>
      </w:r>
      <w:r w:rsidR="002E2A59">
        <w:t>,</w:t>
      </w:r>
      <w:r w:rsidRPr="00FB2ABE">
        <w:t xml:space="preserve"> kan ertoe leiden dat de samenstelling van de </w:t>
      </w:r>
      <w:r w:rsidR="0029251B">
        <w:t xml:space="preserve">buurt </w:t>
      </w:r>
      <w:r w:rsidRPr="00FB2ABE">
        <w:t xml:space="preserve">sneller verandert en dat opgebouwde sociale netwerken vaker worden doorbroken. Woninggebruik dat bijdraagt aan een lagere mutatiegraad en meer stabiliteit </w:t>
      </w:r>
      <w:r w:rsidR="00F30A31">
        <w:t>is</w:t>
      </w:r>
      <w:r w:rsidRPr="00FB2ABE" w:rsidR="00F30A31">
        <w:t xml:space="preserve"> </w:t>
      </w:r>
      <w:r w:rsidRPr="00FB2ABE">
        <w:t>daarom vanuit het perspectief van sociale cohesie wenselijk.</w:t>
      </w:r>
      <w:r w:rsidR="00DE5EFD">
        <w:rPr>
          <w:i/>
        </w:rPr>
        <w:t xml:space="preserve"> </w:t>
      </w:r>
      <w:r w:rsidRPr="00FB2ABE">
        <w:t>Inwoners</w:t>
      </w:r>
      <w:r w:rsidR="00DE5EFD">
        <w:t xml:space="preserve"> van een wijk</w:t>
      </w:r>
      <w:r w:rsidRPr="00FB2ABE">
        <w:t xml:space="preserve"> moeten </w:t>
      </w:r>
      <w:r w:rsidR="00DE5EFD">
        <w:t xml:space="preserve">daarnaast </w:t>
      </w:r>
      <w:r w:rsidRPr="00FB2ABE">
        <w:t xml:space="preserve">de mogelijkheid hebben om, wanneer </w:t>
      </w:r>
      <w:r w:rsidR="00DE5EFD">
        <w:t>de</w:t>
      </w:r>
      <w:r w:rsidRPr="00FB2ABE">
        <w:t xml:space="preserve"> woonbehoefte verandert, een woning te vinden die past bij hun levensfase en financiële situatie. Wanneer dit mogelijk is binnen de eigen wijk of buurt blijven sociale netwerken in de wijk bestaan. Dit onderstreept het belang van een gevarieerd en voldoende woningaanbod binnen wijken en buurten, zowel in het koop- als in het huursegment.</w:t>
      </w:r>
      <w:r>
        <w:rPr>
          <w:i/>
        </w:rPr>
        <w:t xml:space="preserve"> </w:t>
      </w:r>
    </w:p>
    <w:p w:rsidR="00D11AD3" w:rsidP="00D11AD3" w14:paraId="5B194756" w14:textId="77777777">
      <w:pPr>
        <w:spacing w:line="276" w:lineRule="auto"/>
        <w:rPr>
          <w:i/>
        </w:rPr>
      </w:pPr>
    </w:p>
    <w:p w:rsidR="00FB2ABE" w:rsidP="00D11AD3" w14:paraId="73D29E8F" w14:textId="77777777">
      <w:pPr>
        <w:spacing w:line="276" w:lineRule="auto"/>
      </w:pPr>
      <w:r w:rsidRPr="00FB2ABE">
        <w:t xml:space="preserve">Naast verhuisbewegingen is ook de samenstelling van de woningvoorraad zelf van belang. Een </w:t>
      </w:r>
      <w:r w:rsidR="00CB2B79">
        <w:t>evenwichtige</w:t>
      </w:r>
      <w:r w:rsidRPr="00FB2ABE" w:rsidR="00CB2B79">
        <w:t xml:space="preserve"> </w:t>
      </w:r>
      <w:r w:rsidRPr="00FB2ABE">
        <w:t xml:space="preserve">samenstelling van de woningvoorraad voorkomt een eenzijdige sociale en fysieke wijkstructuur en bevordert </w:t>
      </w:r>
      <w:r w:rsidR="00F138F0">
        <w:t>gemengde wijken</w:t>
      </w:r>
      <w:r w:rsidR="00CB2B79">
        <w:t xml:space="preserve"> met een gemixte voorraad </w:t>
      </w:r>
      <w:r w:rsidR="000647AA">
        <w:t>(</w:t>
      </w:r>
      <w:r w:rsidR="00CB2B79">
        <w:t>koop, corporatiebezit en particuliere verhuur</w:t>
      </w:r>
      <w:r w:rsidR="000647AA">
        <w:t>)</w:t>
      </w:r>
      <w:r w:rsidRPr="00FB2ABE">
        <w:t xml:space="preserve">. Veranderingen in het gebruik van woningen kunnen deze balans beïnvloeden. Wanneer </w:t>
      </w:r>
      <w:r w:rsidR="00D11AD3">
        <w:t>bestaande</w:t>
      </w:r>
      <w:r w:rsidRPr="00FB2ABE">
        <w:t xml:space="preserve"> </w:t>
      </w:r>
      <w:r w:rsidR="00A73C35">
        <w:t>koop</w:t>
      </w:r>
      <w:r w:rsidRPr="00FB2ABE">
        <w:t xml:space="preserve">woningen in het lagere en middensegment worden opgekocht voor verhuur, </w:t>
      </w:r>
      <w:r w:rsidR="00A73C35">
        <w:t>neemt het</w:t>
      </w:r>
      <w:r w:rsidRPr="00FB2ABE">
        <w:t xml:space="preserve"> aandeel koopwoningen in een wijk </w:t>
      </w:r>
      <w:r w:rsidR="00A73C35">
        <w:t>af</w:t>
      </w:r>
      <w:r w:rsidRPr="00FB2ABE">
        <w:t xml:space="preserve">. Dit kan op termijn gevolgen hebben voor de samenstelling </w:t>
      </w:r>
      <w:r w:rsidR="00A74B8B">
        <w:t xml:space="preserve">van en doorstroming binnen </w:t>
      </w:r>
      <w:r w:rsidRPr="00FB2ABE">
        <w:t>de wijk.</w:t>
      </w:r>
    </w:p>
    <w:p w:rsidRPr="00D11AD3" w:rsidR="004A2CCB" w:rsidP="00D11AD3" w14:paraId="7219B880" w14:textId="77777777">
      <w:pPr>
        <w:spacing w:line="276" w:lineRule="auto"/>
        <w:rPr>
          <w:i/>
        </w:rPr>
      </w:pPr>
    </w:p>
    <w:p w:rsidRPr="00FB0383" w:rsidR="00FB2ABE" w:rsidP="00D11AD3" w14:paraId="5FC7FDB6" w14:textId="77777777">
      <w:pPr>
        <w:spacing w:line="276" w:lineRule="auto"/>
      </w:pPr>
      <w:r w:rsidRPr="00FB0383">
        <w:t>Gemeenten kunnen daarom behoefte hebben aan instrumenten om</w:t>
      </w:r>
      <w:r w:rsidR="00C4233A">
        <w:t xml:space="preserve"> </w:t>
      </w:r>
      <w:r w:rsidRPr="00FB0383" w:rsidR="00C4233A">
        <w:t>te sturen op het behoud van woningen voor eigenaar-bewoners</w:t>
      </w:r>
      <w:r w:rsidR="00C4233A">
        <w:t xml:space="preserve">, </w:t>
      </w:r>
      <w:r w:rsidRPr="00FB0383">
        <w:t xml:space="preserve">waar dat vanuit de leefbaarheid </w:t>
      </w:r>
      <w:r w:rsidR="00D11AD3">
        <w:t xml:space="preserve">van de wijk </w:t>
      </w:r>
      <w:r w:rsidRPr="00FB0383">
        <w:t xml:space="preserve">wenselijk is. Door woningen in het lagere </w:t>
      </w:r>
      <w:r w:rsidR="00D11AD3">
        <w:t>en midden</w:t>
      </w:r>
      <w:r w:rsidRPr="00FB0383">
        <w:t>prijssegment beschikbaar te houden voor eigenaar-bewon</w:t>
      </w:r>
      <w:r w:rsidR="00F030BE">
        <w:t>ers</w:t>
      </w:r>
      <w:r w:rsidRPr="00FB0383">
        <w:t>, kan de opkoopbescherming bijdragen aan de mogelijkheden voor huishoudens zich voor langere tijd in de wijk te vestigen. Dit ondersteunt de continuïteit van sociale netwerken en de binding met de buurt.</w:t>
      </w:r>
    </w:p>
    <w:p w:rsidRPr="00FB0383" w:rsidR="002E2A59" w:rsidP="00D11AD3" w14:paraId="165D08A9" w14:textId="77777777">
      <w:pPr>
        <w:spacing w:line="276" w:lineRule="auto"/>
      </w:pPr>
    </w:p>
    <w:p w:rsidR="0029251B" w:rsidP="002E2A59" w14:paraId="0A21F132" w14:textId="77777777">
      <w:pPr>
        <w:spacing w:line="276" w:lineRule="auto"/>
      </w:pPr>
      <w:r>
        <w:t>Ik erken</w:t>
      </w:r>
      <w:r w:rsidRPr="00FB0383" w:rsidR="00FB2ABE">
        <w:t xml:space="preserve"> dat </w:t>
      </w:r>
      <w:r w:rsidR="00A73C35">
        <w:t>de woningvoorraad en verhuisbewegingen</w:t>
      </w:r>
      <w:r w:rsidRPr="00FB0383" w:rsidR="00FB2ABE">
        <w:t xml:space="preserve"> slechts </w:t>
      </w:r>
      <w:r w:rsidR="00A73C35">
        <w:t>enkele</w:t>
      </w:r>
      <w:r w:rsidRPr="00FB0383" w:rsidR="00A73C35">
        <w:t xml:space="preserve"> </w:t>
      </w:r>
      <w:r w:rsidRPr="00FB0383" w:rsidR="00FB2ABE">
        <w:t xml:space="preserve">van de factoren </w:t>
      </w:r>
      <w:r w:rsidR="00A73C35">
        <w:t>zijn</w:t>
      </w:r>
      <w:r w:rsidRPr="00FB0383" w:rsidR="00A73C35">
        <w:t xml:space="preserve"> </w:t>
      </w:r>
      <w:r w:rsidRPr="00FB0383" w:rsidR="00FB2ABE">
        <w:t xml:space="preserve">die de leefbaarheid </w:t>
      </w:r>
      <w:r>
        <w:t>k</w:t>
      </w:r>
      <w:r w:rsidR="00FC733D">
        <w:t>unnen</w:t>
      </w:r>
      <w:r w:rsidRPr="00FB0383" w:rsidR="00FB2ABE">
        <w:t xml:space="preserve"> beïnvloeden. </w:t>
      </w:r>
      <w:r w:rsidR="00A73C35">
        <w:t>Veel meer</w:t>
      </w:r>
      <w:r w:rsidRPr="00F1047A" w:rsidR="00A73C35">
        <w:t xml:space="preserve"> </w:t>
      </w:r>
      <w:r w:rsidRPr="00F1047A" w:rsidR="002E2A59">
        <w:t xml:space="preserve">aspecten van zowel de fysieke als de sociale omgeving dragen bij aan de wijze waarop inwoners de leefbaarheid van hun buurt of wijk ervaren. </w:t>
      </w:r>
      <w:r w:rsidR="002E2A59">
        <w:t>Naast d</w:t>
      </w:r>
      <w:r w:rsidRPr="00F1047A" w:rsidR="002E2A59">
        <w:t xml:space="preserve">e mate </w:t>
      </w:r>
      <w:r w:rsidR="00D462C1">
        <w:t>van sociale cohesie</w:t>
      </w:r>
      <w:r w:rsidR="002E2A59">
        <w:t xml:space="preserve">, wordt leefbaarheid beïnvloed door </w:t>
      </w:r>
      <w:r w:rsidRPr="00F1047A" w:rsidR="002E2A59">
        <w:t>onder meer de kwaliteit van de openbare ruimte, veiligheid</w:t>
      </w:r>
      <w:r w:rsidR="002E2A59">
        <w:t xml:space="preserve"> en </w:t>
      </w:r>
      <w:r w:rsidR="00D462C1">
        <w:t xml:space="preserve">de </w:t>
      </w:r>
      <w:r w:rsidR="002E2A59">
        <w:t>beschikbaarheid van</w:t>
      </w:r>
      <w:r w:rsidRPr="00F1047A" w:rsidR="002E2A59">
        <w:t xml:space="preserve"> voorzieningen.</w:t>
      </w:r>
      <w:r w:rsidR="002E2A59">
        <w:t xml:space="preserve"> </w:t>
      </w:r>
    </w:p>
    <w:p w:rsidR="00A73C35" w:rsidP="00AC5387" w14:paraId="532ECEAC" w14:textId="77777777">
      <w:pPr>
        <w:spacing w:line="276" w:lineRule="auto"/>
      </w:pPr>
    </w:p>
    <w:p w:rsidRPr="004A2CCB" w:rsidR="00A73C35" w:rsidP="00AC5387" w14:paraId="45BB8F93" w14:textId="77777777">
      <w:pPr>
        <w:spacing w:line="276" w:lineRule="auto"/>
        <w:rPr>
          <w:b/>
          <w:bCs/>
        </w:rPr>
      </w:pPr>
      <w:r>
        <w:rPr>
          <w:b/>
          <w:bCs/>
        </w:rPr>
        <w:t xml:space="preserve">Toepassing van de opkoopbescherming </w:t>
      </w:r>
      <w:r w:rsidR="004A2CCB">
        <w:rPr>
          <w:b/>
          <w:bCs/>
        </w:rPr>
        <w:t>d</w:t>
      </w:r>
      <w:r>
        <w:rPr>
          <w:b/>
          <w:bCs/>
        </w:rPr>
        <w:t>oor gemeenten</w:t>
      </w:r>
    </w:p>
    <w:p w:rsidR="0029251B" w:rsidP="0029251B" w14:paraId="477FD43E" w14:textId="77777777">
      <w:pPr>
        <w:spacing w:line="276" w:lineRule="auto"/>
      </w:pPr>
      <w:r>
        <w:t>Het aanpassen van het doel van het instrument heeft als gevolg dat de manier waarop het instrument kan worden ingezet moet worden aangepast. Daarnaast is het van belang de reikwijdte en toepassing van het instrument te herzien in het licht van de kritiek op de proportionaliteit en onderbouwing van de inzet van het instrument door gemeenten. Deze wijzigingen worden hieronder toegelicht.</w:t>
      </w:r>
    </w:p>
    <w:p w:rsidR="00AC5387" w:rsidP="00AC5387" w14:paraId="0DFE2033" w14:textId="77777777">
      <w:pPr>
        <w:rPr>
          <w:b/>
          <w:bCs/>
        </w:rPr>
      </w:pPr>
    </w:p>
    <w:p w:rsidRPr="004A2CCB" w:rsidR="007541BD" w:rsidP="00AC5387" w14:paraId="6925F78D" w14:textId="77777777">
      <w:pPr>
        <w:rPr>
          <w:i/>
          <w:iCs/>
        </w:rPr>
      </w:pPr>
      <w:r w:rsidRPr="004A2CCB">
        <w:rPr>
          <w:i/>
          <w:iCs/>
        </w:rPr>
        <w:t>Onderbouwing op basis van leefbaarheid</w:t>
      </w:r>
    </w:p>
    <w:p w:rsidRPr="00C44CAB" w:rsidR="007541BD" w:rsidP="009E3A97" w14:paraId="7096D0CF" w14:textId="77777777">
      <w:pPr>
        <w:spacing w:line="276" w:lineRule="auto"/>
        <w:rPr>
          <w:b/>
        </w:rPr>
      </w:pPr>
      <w:r w:rsidRPr="00BF4935">
        <w:t>De</w:t>
      </w:r>
      <w:r>
        <w:t xml:space="preserve"> onderbouwing van het </w:t>
      </w:r>
      <w:r w:rsidRPr="00BF4935">
        <w:t>instrument</w:t>
      </w:r>
      <w:r w:rsidR="00BF4935">
        <w:t xml:space="preserve"> </w:t>
      </w:r>
      <w:r w:rsidRPr="00BF4935">
        <w:t xml:space="preserve">dient in lijn te zijn met het </w:t>
      </w:r>
      <w:r w:rsidR="00537B9F">
        <w:t xml:space="preserve">nieuwe </w:t>
      </w:r>
      <w:r w:rsidRPr="00BF4935">
        <w:t xml:space="preserve">doel: het tegengaan van druk op de leefbaarheid vanuit een ovenwichtige samenstelling van de woningvoorraad. </w:t>
      </w:r>
      <w:r>
        <w:t xml:space="preserve">Om aan te sluiten bij het doel van het instrument, </w:t>
      </w:r>
      <w:r w:rsidR="00FC733D">
        <w:t xml:space="preserve">zullen gemeenten moeten kunnen aantonen dat er sprake is van een aanhoudende </w:t>
      </w:r>
      <w:r>
        <w:t xml:space="preserve">druk op de leefbaarheid in de wijk </w:t>
      </w:r>
      <w:r w:rsidR="00FC733D">
        <w:t>in combinatie met</w:t>
      </w:r>
      <w:r>
        <w:t xml:space="preserve"> een onevenwichtige </w:t>
      </w:r>
      <w:r w:rsidRPr="00985649">
        <w:t xml:space="preserve">verdeling in de samenstelling </w:t>
      </w:r>
      <w:r w:rsidRPr="00BF4935">
        <w:t>koop</w:t>
      </w:r>
      <w:r w:rsidRPr="00BF4935" w:rsidR="00BF4935">
        <w:t xml:space="preserve"> en</w:t>
      </w:r>
      <w:r w:rsidRPr="00BF4935">
        <w:t xml:space="preserve"> </w:t>
      </w:r>
      <w:r w:rsidRPr="00985649">
        <w:t>huur.</w:t>
      </w:r>
      <w:r w:rsidRPr="00BF4935" w:rsidR="00BF4935">
        <w:t xml:space="preserve"> </w:t>
      </w:r>
      <w:r w:rsidR="00BF4935">
        <w:t xml:space="preserve">Gemeenten blijven met dit voorstel zelf aan zet bij het maken van </w:t>
      </w:r>
      <w:r w:rsidRPr="00BF4935" w:rsidR="00BF4935">
        <w:t>een afweging over de noodzakelijkheid en geschiktheid van het instrument.</w:t>
      </w:r>
    </w:p>
    <w:p w:rsidR="007541BD" w:rsidP="00AC5387" w14:paraId="64D58750" w14:textId="77777777">
      <w:pPr>
        <w:rPr>
          <w:b/>
          <w:bCs/>
        </w:rPr>
      </w:pPr>
    </w:p>
    <w:p w:rsidRPr="004A2CCB" w:rsidR="00DC119E" w14:paraId="6EB4FA7A" w14:textId="77777777">
      <w:pPr>
        <w:rPr>
          <w:i/>
          <w:iCs/>
        </w:rPr>
      </w:pPr>
      <w:r w:rsidRPr="004A2CCB">
        <w:rPr>
          <w:i/>
          <w:iCs/>
        </w:rPr>
        <w:t>Gebieds</w:t>
      </w:r>
      <w:r w:rsidRPr="004A2CCB" w:rsidR="00B138D7">
        <w:rPr>
          <w:i/>
          <w:iCs/>
        </w:rPr>
        <w:t>-/wijk</w:t>
      </w:r>
      <w:r w:rsidRPr="004A2CCB">
        <w:rPr>
          <w:i/>
          <w:iCs/>
        </w:rPr>
        <w:t>gerichte inzet</w:t>
      </w:r>
    </w:p>
    <w:p w:rsidRPr="00D94AB8" w:rsidR="00B138D7" w:rsidP="00D94AB8" w14:paraId="2FFA022C" w14:textId="77777777">
      <w:pPr>
        <w:spacing w:line="276" w:lineRule="auto"/>
      </w:pPr>
      <w:r>
        <w:t xml:space="preserve">In de huidige situatie dienen gemeenten de inzet van de opkoopbescherming per gebied te motiveren. </w:t>
      </w:r>
      <w:r w:rsidR="00D94AB8">
        <w:t>V</w:t>
      </w:r>
      <w:r>
        <w:t>olgens het evaluatierapport</w:t>
      </w:r>
      <w:r>
        <w:t xml:space="preserve"> ontbreekt bij veel gemeenten de analyse waarom de opkoopbescherming in een specifiek</w:t>
      </w:r>
      <w:r w:rsidR="00D462C1">
        <w:t xml:space="preserve"> gebied</w:t>
      </w:r>
      <w:r>
        <w:t xml:space="preserve"> noodzakelijk en geschikt is. </w:t>
      </w:r>
      <w:r w:rsidRPr="00621BAA" w:rsidR="00621BAA">
        <w:t>Dit maakt</w:t>
      </w:r>
      <w:r w:rsidRPr="00125BD0">
        <w:t xml:space="preserve"> de afweging over de geschiktheid en proportionaliteit van de inzet van het instrument </w:t>
      </w:r>
      <w:r w:rsidR="00621BAA">
        <w:t xml:space="preserve">in een bepaald gebied </w:t>
      </w:r>
      <w:r w:rsidR="00B63BF5">
        <w:t>niet herleidbaar</w:t>
      </w:r>
      <w:r w:rsidRPr="00125BD0">
        <w:t xml:space="preserve">. </w:t>
      </w:r>
      <w:r w:rsidRPr="00985649" w:rsidR="00985649">
        <w:t xml:space="preserve">Met concrete gebiedsgerichte inzet van de opkoopbescherming in de gemeente </w:t>
      </w:r>
      <w:r w:rsidR="00D94AB8">
        <w:t xml:space="preserve">streef ik </w:t>
      </w:r>
      <w:r w:rsidRPr="00985649" w:rsidR="00985649">
        <w:t>naar een proportionele toepassing van het instrument.</w:t>
      </w:r>
      <w:r w:rsidR="00D94AB8">
        <w:t xml:space="preserve"> </w:t>
      </w:r>
      <w:r w:rsidR="00BF4935">
        <w:rPr>
          <w:iCs/>
        </w:rPr>
        <w:t>De</w:t>
      </w:r>
      <w:r w:rsidR="00A40A65">
        <w:rPr>
          <w:iCs/>
        </w:rPr>
        <w:t xml:space="preserve"> voorgestelde </w:t>
      </w:r>
      <w:r w:rsidR="00BF4935">
        <w:rPr>
          <w:iCs/>
        </w:rPr>
        <w:t xml:space="preserve">wijziging houdt in dat </w:t>
      </w:r>
      <w:r w:rsidR="00BF4935">
        <w:t>de inzet van de opkoopbescherming per gebied (zoals wijk of buurt) wordt onderbouwd</w:t>
      </w:r>
      <w:r w:rsidR="00243B56">
        <w:t>. Daarbij dient de</w:t>
      </w:r>
      <w:r w:rsidR="00BF4935">
        <w:t xml:space="preserve"> beoordeling van de druk op de </w:t>
      </w:r>
      <w:r w:rsidR="00F8542F">
        <w:t>leefbaarheid te</w:t>
      </w:r>
      <w:r w:rsidR="00243B56">
        <w:t xml:space="preserve"> worden gerelateerd aan de</w:t>
      </w:r>
      <w:r w:rsidRPr="00A40A65" w:rsidR="00BF4935">
        <w:t xml:space="preserve"> omliggende of nabijgelegen gebieden in de desbetreffende gemeente</w:t>
      </w:r>
      <w:r w:rsidRPr="00A40A65" w:rsidR="00BF4935">
        <w:rPr>
          <w:iCs/>
        </w:rPr>
        <w:t xml:space="preserve">. </w:t>
      </w:r>
      <w:r w:rsidR="00F8542F">
        <w:rPr>
          <w:iCs/>
        </w:rPr>
        <w:t xml:space="preserve">Enkel in gebieden in de gemeente waar de leefbaarheid meer onder druk staat dan in de rest van de gemeente, kan dan de opkoopbescherming worden ingevoerd. </w:t>
      </w:r>
      <w:r w:rsidR="00877A04">
        <w:t>Ik wil hiermee</w:t>
      </w:r>
      <w:r w:rsidRPr="00D94AB8" w:rsidR="00877A04">
        <w:rPr>
          <w:iCs/>
        </w:rPr>
        <w:t xml:space="preserve"> </w:t>
      </w:r>
      <w:r w:rsidR="00FC733D">
        <w:rPr>
          <w:iCs/>
        </w:rPr>
        <w:t>borgen</w:t>
      </w:r>
      <w:r w:rsidRPr="00D94AB8" w:rsidR="00FC733D">
        <w:rPr>
          <w:iCs/>
        </w:rPr>
        <w:t xml:space="preserve"> </w:t>
      </w:r>
      <w:r w:rsidRPr="00D94AB8" w:rsidR="00877A04">
        <w:rPr>
          <w:iCs/>
        </w:rPr>
        <w:t xml:space="preserve">dat </w:t>
      </w:r>
      <w:r w:rsidR="00877A04">
        <w:rPr>
          <w:iCs/>
        </w:rPr>
        <w:t>de opkoopbeschermin</w:t>
      </w:r>
      <w:r w:rsidR="00C26771">
        <w:rPr>
          <w:iCs/>
        </w:rPr>
        <w:t>g</w:t>
      </w:r>
      <w:r w:rsidR="00877A04">
        <w:rPr>
          <w:iCs/>
        </w:rPr>
        <w:t xml:space="preserve"> in een gemeente </w:t>
      </w:r>
      <w:r w:rsidR="00FC733D">
        <w:rPr>
          <w:iCs/>
        </w:rPr>
        <w:t xml:space="preserve">alleen wordt ingezet in buurten en wijken waar sprake is van aanhoudende druk op de leefbaarheid én een onevenwichtige samenstelling koop en huur. </w:t>
      </w:r>
    </w:p>
    <w:p w:rsidRPr="00DC119E" w:rsidR="00DC119E" w14:paraId="25322289" w14:textId="77777777">
      <w:pPr>
        <w:rPr>
          <w:b/>
          <w:bCs/>
        </w:rPr>
      </w:pPr>
    </w:p>
    <w:p w:rsidRPr="004A2CCB" w:rsidR="00FB0383" w:rsidP="00FB0383" w14:paraId="0F639F5D" w14:textId="77777777">
      <w:pPr>
        <w:rPr>
          <w:i/>
          <w:iCs/>
        </w:rPr>
      </w:pPr>
      <w:r w:rsidRPr="004A2CCB">
        <w:rPr>
          <w:i/>
          <w:iCs/>
        </w:rPr>
        <w:t xml:space="preserve">Maximale prijsgrens </w:t>
      </w:r>
    </w:p>
    <w:p w:rsidRPr="00E27D30" w:rsidR="00FB0383" w:rsidP="00E27D30" w14:paraId="7BE57219" w14:textId="77777777">
      <w:pPr>
        <w:spacing w:line="276" w:lineRule="auto"/>
        <w:rPr>
          <w:bCs/>
        </w:rPr>
      </w:pPr>
      <w:r w:rsidRPr="00E27D30">
        <w:rPr>
          <w:bCs/>
        </w:rPr>
        <w:t xml:space="preserve">Momenteel is de opkoopbescherming bedoeld voor het verbieden van opkoop en verhuur van goedkope en middeldure koopwoningen. </w:t>
      </w:r>
      <w:r w:rsidR="00A4399F">
        <w:rPr>
          <w:bCs/>
        </w:rPr>
        <w:t>De</w:t>
      </w:r>
      <w:r w:rsidRPr="00E27D30">
        <w:rPr>
          <w:bCs/>
        </w:rPr>
        <w:t xml:space="preserve"> opkoopbescherming</w:t>
      </w:r>
      <w:r w:rsidR="00A4399F">
        <w:rPr>
          <w:bCs/>
        </w:rPr>
        <w:t xml:space="preserve"> geldt daar</w:t>
      </w:r>
      <w:r w:rsidR="00F030BE">
        <w:rPr>
          <w:bCs/>
        </w:rPr>
        <w:t>mee in de praktijk</w:t>
      </w:r>
      <w:r w:rsidR="00A4399F">
        <w:rPr>
          <w:bCs/>
        </w:rPr>
        <w:t xml:space="preserve"> voor woningen met een WOZ-waarde tot een lokaal vastgestelde grens</w:t>
      </w:r>
      <w:r w:rsidRPr="00FB0383">
        <w:rPr>
          <w:bCs/>
        </w:rPr>
        <w:t>.</w:t>
      </w:r>
      <w:r w:rsidRPr="00E27D30">
        <w:rPr>
          <w:bCs/>
        </w:rPr>
        <w:t xml:space="preserve"> Door het ontbreken van een wettelijke bovengrens, kan de </w:t>
      </w:r>
      <w:r w:rsidRPr="00E27D30">
        <w:rPr>
          <w:bCs/>
        </w:rPr>
        <w:t xml:space="preserve">opkoopbescherming worden ingezet voor uiteenlopende prijscategorieën en op een groot deel van de voorraad worden toegepast. </w:t>
      </w:r>
    </w:p>
    <w:p w:rsidR="00E27D30" w:rsidP="00E27D30" w14:paraId="2C571594" w14:textId="77777777">
      <w:pPr>
        <w:spacing w:line="276" w:lineRule="auto"/>
      </w:pPr>
    </w:p>
    <w:p w:rsidRPr="00E27D30" w:rsidR="00FB0383" w:rsidP="00E27D30" w14:paraId="23E3A935" w14:textId="77777777">
      <w:pPr>
        <w:spacing w:line="276" w:lineRule="auto"/>
        <w:rPr>
          <w:b/>
        </w:rPr>
      </w:pPr>
      <w:r>
        <w:t>Gemeenten hebben</w:t>
      </w:r>
      <w:r w:rsidR="00C26771">
        <w:t xml:space="preserve"> in veel gevallen </w:t>
      </w:r>
      <w:r>
        <w:t xml:space="preserve">niet onderbouwd waarop een bepaalde </w:t>
      </w:r>
      <w:r w:rsidR="00F8542F">
        <w:t>prijsgrens</w:t>
      </w:r>
      <w:r>
        <w:t xml:space="preserve"> is gebaseerd. </w:t>
      </w:r>
      <w:r w:rsidRPr="00FB0383">
        <w:t xml:space="preserve">Het aanscherpen van de kaders van het instrument is nodig voor het borgen van een proportionele en navolgbare inzet van de opkoopbescherming. </w:t>
      </w:r>
    </w:p>
    <w:p w:rsidR="00E27D30" w:rsidP="00E27D30" w14:paraId="6FDF12F1" w14:textId="77777777">
      <w:pPr>
        <w:spacing w:line="276" w:lineRule="auto"/>
      </w:pPr>
    </w:p>
    <w:p w:rsidRPr="00E27D30" w:rsidR="00FB0383" w:rsidP="00E27D30" w14:paraId="5BE6ACB2" w14:textId="77777777">
      <w:pPr>
        <w:spacing w:line="276" w:lineRule="auto"/>
        <w:rPr>
          <w:b/>
        </w:rPr>
      </w:pPr>
      <w:r>
        <w:t xml:space="preserve">Ik ben daarom voornemens om een maximale prijsgrens vast te stellen. </w:t>
      </w:r>
      <w:r w:rsidR="00C26771">
        <w:rPr>
          <w:rFonts w:eastAsia="Times New Roman"/>
        </w:rPr>
        <w:t>Momenteel verken ik</w:t>
      </w:r>
      <w:r w:rsidR="00F45547">
        <w:rPr>
          <w:rFonts w:eastAsia="Times New Roman"/>
        </w:rPr>
        <w:t xml:space="preserve"> de mogelijkheid om</w:t>
      </w:r>
      <w:r w:rsidR="00C26771">
        <w:rPr>
          <w:rFonts w:eastAsia="Times New Roman"/>
        </w:rPr>
        <w:t xml:space="preserve"> de</w:t>
      </w:r>
      <w:r w:rsidRPr="00E27D30">
        <w:rPr>
          <w:rFonts w:eastAsia="Times New Roman"/>
        </w:rPr>
        <w:t xml:space="preserve"> opkoopbescherming </w:t>
      </w:r>
      <w:r w:rsidR="0000609F">
        <w:rPr>
          <w:rFonts w:eastAsia="Times New Roman"/>
        </w:rPr>
        <w:t>enkel</w:t>
      </w:r>
      <w:r w:rsidRPr="00E27D30">
        <w:rPr>
          <w:rFonts w:eastAsia="Times New Roman"/>
        </w:rPr>
        <w:t xml:space="preserve"> van toepassing </w:t>
      </w:r>
      <w:r w:rsidR="00F45547">
        <w:rPr>
          <w:rFonts w:eastAsia="Times New Roman"/>
        </w:rPr>
        <w:t>te laten</w:t>
      </w:r>
      <w:r w:rsidR="00C26771">
        <w:rPr>
          <w:rFonts w:eastAsia="Times New Roman"/>
        </w:rPr>
        <w:t xml:space="preserve"> </w:t>
      </w:r>
      <w:r w:rsidRPr="00E27D30">
        <w:rPr>
          <w:rFonts w:eastAsia="Times New Roman"/>
        </w:rPr>
        <w:t xml:space="preserve">zijn op woningen met een </w:t>
      </w:r>
      <w:r w:rsidR="00F8542F">
        <w:rPr>
          <w:rFonts w:eastAsia="Times New Roman"/>
        </w:rPr>
        <w:t>WOZ-waarde</w:t>
      </w:r>
      <w:r w:rsidR="0000609F">
        <w:rPr>
          <w:rFonts w:eastAsia="Times New Roman"/>
        </w:rPr>
        <w:t xml:space="preserve"> tot</w:t>
      </w:r>
      <w:r w:rsidRPr="00E27D30">
        <w:rPr>
          <w:rFonts w:eastAsia="Times New Roman"/>
        </w:rPr>
        <w:t xml:space="preserve"> de </w:t>
      </w:r>
      <w:r w:rsidR="0029251B">
        <w:rPr>
          <w:rFonts w:eastAsia="Times New Roman"/>
        </w:rPr>
        <w:t xml:space="preserve">gemiddelde </w:t>
      </w:r>
      <w:r w:rsidRPr="00FB0383">
        <w:rPr>
          <w:rFonts w:eastAsia="Times New Roman"/>
        </w:rPr>
        <w:t>WOZ</w:t>
      </w:r>
      <w:r w:rsidR="00C26771">
        <w:rPr>
          <w:rFonts w:eastAsia="Times New Roman"/>
        </w:rPr>
        <w:t>-</w:t>
      </w:r>
      <w:r w:rsidRPr="00E27D30">
        <w:rPr>
          <w:rFonts w:eastAsia="Times New Roman"/>
        </w:rPr>
        <w:t xml:space="preserve">waarde </w:t>
      </w:r>
      <w:r w:rsidR="00F8542F">
        <w:rPr>
          <w:rFonts w:eastAsia="Times New Roman"/>
        </w:rPr>
        <w:t xml:space="preserve">van woningen in </w:t>
      </w:r>
      <w:r w:rsidRPr="00E27D30">
        <w:rPr>
          <w:rFonts w:eastAsia="Times New Roman"/>
        </w:rPr>
        <w:t>de desbetreffende gemeente</w:t>
      </w:r>
      <w:r w:rsidRPr="00FB0383">
        <w:rPr>
          <w:rFonts w:eastAsia="Times New Roman"/>
          <w:i/>
          <w:iCs/>
        </w:rPr>
        <w:t>.</w:t>
      </w:r>
      <w:r w:rsidR="0000609F">
        <w:rPr>
          <w:rFonts w:eastAsia="Times New Roman"/>
        </w:rPr>
        <w:t xml:space="preserve"> De </w:t>
      </w:r>
      <w:r w:rsidR="0029251B">
        <w:rPr>
          <w:rFonts w:eastAsia="Times New Roman"/>
        </w:rPr>
        <w:t xml:space="preserve">gemiddelde </w:t>
      </w:r>
      <w:r w:rsidR="0000609F">
        <w:rPr>
          <w:rFonts w:eastAsia="Times New Roman"/>
        </w:rPr>
        <w:t>WOZ</w:t>
      </w:r>
      <w:r w:rsidR="00C26771">
        <w:rPr>
          <w:rFonts w:eastAsia="Times New Roman"/>
        </w:rPr>
        <w:t>-</w:t>
      </w:r>
      <w:r w:rsidR="0000609F">
        <w:rPr>
          <w:rFonts w:eastAsia="Times New Roman"/>
        </w:rPr>
        <w:t xml:space="preserve">waarde </w:t>
      </w:r>
      <w:r w:rsidR="00D808D8">
        <w:rPr>
          <w:rFonts w:eastAsia="Times New Roman"/>
        </w:rPr>
        <w:t>is representatief voor</w:t>
      </w:r>
      <w:r w:rsidR="0000609F">
        <w:rPr>
          <w:rFonts w:eastAsia="Times New Roman"/>
        </w:rPr>
        <w:t xml:space="preserve"> de lokale woningmarkt</w:t>
      </w:r>
      <w:r w:rsidR="00D808D8">
        <w:rPr>
          <w:rFonts w:eastAsia="Times New Roman"/>
        </w:rPr>
        <w:t>.</w:t>
      </w:r>
      <w:r w:rsidR="0000609F">
        <w:rPr>
          <w:rFonts w:eastAsia="Times New Roman"/>
        </w:rPr>
        <w:t xml:space="preserve"> </w:t>
      </w:r>
      <w:r w:rsidR="00D808D8">
        <w:rPr>
          <w:rFonts w:eastAsia="Times New Roman"/>
        </w:rPr>
        <w:t xml:space="preserve">De lokale, </w:t>
      </w:r>
      <w:r w:rsidR="0029251B">
        <w:rPr>
          <w:rFonts w:eastAsia="Times New Roman"/>
        </w:rPr>
        <w:t xml:space="preserve">gemiddelde </w:t>
      </w:r>
      <w:r w:rsidR="00D808D8">
        <w:rPr>
          <w:rFonts w:eastAsia="Times New Roman"/>
        </w:rPr>
        <w:t>WOZ</w:t>
      </w:r>
      <w:r w:rsidR="00C26771">
        <w:rPr>
          <w:rFonts w:eastAsia="Times New Roman"/>
        </w:rPr>
        <w:t>-</w:t>
      </w:r>
      <w:r w:rsidR="00D808D8">
        <w:rPr>
          <w:rFonts w:eastAsia="Times New Roman"/>
        </w:rPr>
        <w:t>waarde</w:t>
      </w:r>
      <w:r w:rsidR="0000609F">
        <w:rPr>
          <w:rFonts w:eastAsia="Times New Roman"/>
        </w:rPr>
        <w:t xml:space="preserve"> sluit </w:t>
      </w:r>
      <w:r w:rsidR="00F8542F">
        <w:rPr>
          <w:rFonts w:eastAsia="Times New Roman"/>
        </w:rPr>
        <w:t>ook</w:t>
      </w:r>
      <w:r w:rsidR="00D808D8">
        <w:rPr>
          <w:rFonts w:eastAsia="Times New Roman"/>
        </w:rPr>
        <w:t xml:space="preserve"> </w:t>
      </w:r>
      <w:r w:rsidR="00F8542F">
        <w:rPr>
          <w:rFonts w:eastAsia="Times New Roman"/>
        </w:rPr>
        <w:t xml:space="preserve">beter </w:t>
      </w:r>
      <w:r w:rsidR="00D808D8">
        <w:rPr>
          <w:rFonts w:eastAsia="Times New Roman"/>
        </w:rPr>
        <w:t>aan op lokale omstandigheden ten opzichte van een vaste, landelijke bovengrens.</w:t>
      </w:r>
    </w:p>
    <w:p w:rsidRPr="00DC119E" w:rsidR="00DC119E" w14:paraId="3B7C2053" w14:textId="77777777">
      <w:pPr>
        <w:rPr>
          <w:b/>
          <w:bCs/>
        </w:rPr>
      </w:pPr>
    </w:p>
    <w:p w:rsidRPr="00DC119E" w:rsidR="00DC119E" w14:paraId="23F0ED11" w14:textId="77777777">
      <w:pPr>
        <w:rPr>
          <w:b/>
          <w:bCs/>
        </w:rPr>
      </w:pPr>
      <w:r>
        <w:rPr>
          <w:b/>
          <w:bCs/>
        </w:rPr>
        <w:t xml:space="preserve">Tot slot </w:t>
      </w:r>
    </w:p>
    <w:p w:rsidRPr="002B658D" w:rsidR="002B658D" w:rsidP="002B658D" w14:paraId="6CC361A4" w14:textId="77777777">
      <w:r w:rsidRPr="002B658D">
        <w:t>De hierboven genoemde voorstellen vergen een wijziging van de Huisvestingswet 2014.</w:t>
      </w:r>
      <w:r w:rsidR="005B22F1">
        <w:t xml:space="preserve"> Bij deze wijziging </w:t>
      </w:r>
      <w:r w:rsidR="008C6904">
        <w:t>betrek ik uiteraard</w:t>
      </w:r>
      <w:r w:rsidR="005B22F1">
        <w:t xml:space="preserve"> de</w:t>
      </w:r>
      <w:r w:rsidRPr="002B658D" w:rsidR="005B22F1">
        <w:t xml:space="preserve"> VNG</w:t>
      </w:r>
      <w:r w:rsidR="005B22F1">
        <w:t xml:space="preserve">, </w:t>
      </w:r>
      <w:r w:rsidR="005A227E">
        <w:t xml:space="preserve">diverse </w:t>
      </w:r>
      <w:r w:rsidRPr="002B658D" w:rsidR="005B22F1">
        <w:t xml:space="preserve">gemeenten </w:t>
      </w:r>
      <w:r w:rsidR="005B22F1">
        <w:t>en andere stakeholders</w:t>
      </w:r>
      <w:r w:rsidR="008C6904">
        <w:t xml:space="preserve"> </w:t>
      </w:r>
      <w:r w:rsidR="00521264">
        <w:t>in verschillende fasen van het traject</w:t>
      </w:r>
      <w:r w:rsidR="005B22F1">
        <w:t>.</w:t>
      </w:r>
      <w:r w:rsidR="00521264">
        <w:t xml:space="preserve"> </w:t>
      </w:r>
      <w:r w:rsidR="009363C3">
        <w:t>Zo zal er een verkenning plaatsvinden naar onder andere de uitvoeringsconsequenties voor gemeenten</w:t>
      </w:r>
      <w:r w:rsidR="0093557D">
        <w:t>,</w:t>
      </w:r>
      <w:r w:rsidR="009363C3">
        <w:t xml:space="preserve"> passend overgangsrecht</w:t>
      </w:r>
      <w:r w:rsidR="0093557D">
        <w:t xml:space="preserve"> en geschikte handvatten ten behoeve van een zorgvuldige en gefundeerde toepassing van het instrument op lokaal niveau</w:t>
      </w:r>
      <w:r w:rsidR="009363C3">
        <w:t xml:space="preserve">. Ik streef </w:t>
      </w:r>
      <w:r w:rsidR="00F8542F">
        <w:t>ernaar</w:t>
      </w:r>
      <w:r w:rsidR="005B22F1">
        <w:t xml:space="preserve"> </w:t>
      </w:r>
      <w:r w:rsidRPr="002B658D">
        <w:t xml:space="preserve">om deze wetswijziging eind </w:t>
      </w:r>
      <w:r w:rsidR="009363C3">
        <w:t xml:space="preserve">van </w:t>
      </w:r>
      <w:r w:rsidRPr="002B658D">
        <w:t>dit jaar in internetconsultatie te laten gaan</w:t>
      </w:r>
      <w:r w:rsidR="005B22F1">
        <w:t>.</w:t>
      </w:r>
    </w:p>
    <w:p w:rsidR="00FA6876" w14:paraId="1E85C0D3" w14:textId="77777777"/>
    <w:p w:rsidR="00FA6876" w14:paraId="0C431607" w14:textId="77777777"/>
    <w:p w:rsidR="00FA6876" w14:paraId="04B0C6F0" w14:textId="77777777">
      <w:r>
        <w:t>Hoogachtend,</w:t>
      </w:r>
    </w:p>
    <w:p w:rsidR="00AA51C6" w14:paraId="0CCCA81A" w14:textId="77777777"/>
    <w:p w:rsidR="00AA51C6" w14:paraId="2259A8CA" w14:textId="77777777">
      <w:r>
        <w:t>De Minister van Volkshuisvesting en Ruimtelijke Ordening,</w:t>
      </w:r>
    </w:p>
    <w:tbl>
      <w:tblPr>
        <w:tblStyle w:val="Tabelzonderranden"/>
        <w:tblW w:w="7541" w:type="dxa"/>
        <w:tblInd w:w="0" w:type="dxa"/>
        <w:tblLayout w:type="fixed"/>
        <w:tblLook w:val="0740"/>
      </w:tblPr>
      <w:tblGrid>
        <w:gridCol w:w="3394"/>
        <w:gridCol w:w="3127"/>
        <w:gridCol w:w="1020"/>
      </w:tblGrid>
      <w:tr w:rsidTr="004A2CCB" w14:paraId="1476A581" w14:textId="77777777">
        <w:tblPrEx>
          <w:tblW w:w="7541" w:type="dxa"/>
          <w:tblInd w:w="0" w:type="dxa"/>
          <w:tblLayout w:type="fixed"/>
          <w:tblLook w:val="0740"/>
        </w:tblPrEx>
        <w:trPr>
          <w:gridAfter w:val="1"/>
          <w:wAfter w:w="1020" w:type="dxa"/>
        </w:trPr>
        <w:tc>
          <w:tcPr>
            <w:tcW w:w="3394" w:type="dxa"/>
          </w:tcPr>
          <w:p w:rsidR="00FA6876" w14:paraId="64AD21D3" w14:textId="77777777"/>
        </w:tc>
        <w:tc>
          <w:tcPr>
            <w:tcW w:w="3127" w:type="dxa"/>
          </w:tcPr>
          <w:p w:rsidR="00FA6876" w14:paraId="60F790B0" w14:textId="77777777"/>
        </w:tc>
      </w:tr>
      <w:tr w:rsidTr="004A2CCB" w14:paraId="580B2365" w14:textId="77777777">
        <w:tblPrEx>
          <w:tblW w:w="7541" w:type="dxa"/>
          <w:tblInd w:w="0" w:type="dxa"/>
          <w:tblLayout w:type="fixed"/>
          <w:tblLook w:val="0740"/>
        </w:tblPrEx>
        <w:tc>
          <w:tcPr>
            <w:tcW w:w="3394" w:type="dxa"/>
          </w:tcPr>
          <w:p w:rsidR="00FA6876" w14:paraId="26B7F91E" w14:textId="77777777"/>
          <w:p w:rsidR="00FA6876" w14:paraId="7ADCB0A9" w14:textId="77777777"/>
          <w:p w:rsidR="00FA6876" w14:paraId="7F724F82" w14:textId="77777777"/>
        </w:tc>
        <w:tc>
          <w:tcPr>
            <w:tcW w:w="3127" w:type="dxa"/>
          </w:tcPr>
          <w:p w:rsidR="00FA6876" w14:paraId="5F6121D7" w14:textId="77777777"/>
          <w:p w:rsidR="00FA6876" w14:paraId="2C5C1970" w14:textId="77777777"/>
          <w:p w:rsidR="00FA6876" w14:paraId="6448997A" w14:textId="77777777"/>
          <w:p w:rsidR="00FA6876" w14:paraId="5034DB93" w14:textId="77777777"/>
          <w:p w:rsidR="00FA6876" w14:paraId="16D872B8" w14:textId="77777777"/>
        </w:tc>
        <w:tc>
          <w:tcPr>
            <w:tcW w:w="1020" w:type="dxa"/>
          </w:tcPr>
          <w:p w:rsidR="00FA6876" w14:paraId="08B5A7EE" w14:textId="77777777"/>
          <w:p w:rsidR="00FA6876" w14:paraId="3BF819F2" w14:textId="77777777"/>
          <w:p w:rsidR="00FA6876" w14:paraId="38083381" w14:textId="77777777"/>
          <w:p w:rsidR="00FA6876" w14:paraId="2DACA67E" w14:textId="77777777"/>
          <w:p w:rsidR="00FA6876" w14:paraId="537C0651" w14:textId="77777777"/>
        </w:tc>
      </w:tr>
      <w:tr w:rsidTr="004A2CCB" w14:paraId="46F14EA3" w14:textId="77777777">
        <w:tblPrEx>
          <w:tblW w:w="7541" w:type="dxa"/>
          <w:tblInd w:w="0" w:type="dxa"/>
          <w:tblLayout w:type="fixed"/>
          <w:tblLook w:val="0740"/>
        </w:tblPrEx>
        <w:trPr>
          <w:gridAfter w:val="1"/>
          <w:wAfter w:w="1020" w:type="dxa"/>
        </w:trPr>
        <w:tc>
          <w:tcPr>
            <w:tcW w:w="3394" w:type="dxa"/>
          </w:tcPr>
          <w:p w:rsidR="00FA6876" w14:paraId="3E59CEF4" w14:textId="77777777">
            <w:r>
              <w:t>E</w:t>
            </w:r>
            <w:r w:rsidR="002E30FC">
              <w:t>lanor</w:t>
            </w:r>
            <w:r>
              <w:t xml:space="preserve"> Boekholt-O'Sullivan</w:t>
            </w:r>
          </w:p>
        </w:tc>
        <w:tc>
          <w:tcPr>
            <w:tcW w:w="3127" w:type="dxa"/>
          </w:tcPr>
          <w:p w:rsidR="00FA6876" w14:paraId="16654ABF" w14:textId="77777777"/>
        </w:tc>
      </w:tr>
    </w:tbl>
    <w:p w:rsidR="00AB1A61" w14:paraId="3262A778" w14:textId="77777777"/>
    <w:sectPr>
      <w:headerReference w:type="even" r:id="rId12"/>
      <w:headerReference w:type="default" r:id="rId13"/>
      <w:footerReference w:type="even" r:id="rId14"/>
      <w:footerReference w:type="default" r:id="rId15"/>
      <w:headerReference w:type="first" r:id="rId16"/>
      <w:footerReference w:type="first" r:id="rId17"/>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2F1C" w14:paraId="14D1C9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876" w14:paraId="1DB017DD"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2F1C" w14:paraId="0DED29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187E" w14:paraId="281E6FD2" w14:textId="77777777">
      <w:pPr>
        <w:pStyle w:val="FootnoteText"/>
      </w:pPr>
    </w:p>
  </w:footnote>
  <w:footnote w:type="continuationSeparator" w:id="1">
    <w:p w:rsidR="0000187E" w14:paraId="53D15B75" w14:textId="77777777">
      <w:pPr>
        <w:pStyle w:val="FootnoteText"/>
      </w:pPr>
    </w:p>
  </w:footnote>
  <w:footnote w:id="2">
    <w:p w:rsidR="00270A54" w:rsidRPr="00270A54" w14:paraId="3AA3C799" w14:textId="77777777">
      <w:pPr>
        <w:pStyle w:val="FootnoteText"/>
        <w:rPr>
          <w:sz w:val="16"/>
          <w:szCs w:val="16"/>
        </w:rPr>
      </w:pPr>
      <w:r w:rsidRPr="00270A54">
        <w:rPr>
          <w:rStyle w:val="FootnoteReference"/>
          <w:sz w:val="16"/>
          <w:szCs w:val="16"/>
        </w:rPr>
        <w:footnoteRef/>
      </w:r>
      <w:r w:rsidRPr="00270A54">
        <w:rPr>
          <w:sz w:val="16"/>
          <w:szCs w:val="16"/>
        </w:rPr>
        <w:t xml:space="preserve"> De grondslag voor de opkoopbescherming ligt in de Huisvestingswet 2014, artikel 41, lid 1.</w:t>
      </w:r>
    </w:p>
  </w:footnote>
  <w:footnote w:id="3">
    <w:p w:rsidR="00B2628F" w:rsidRPr="00186EC7" w:rsidP="00B2628F" w14:paraId="382D0310" w14:textId="77777777">
      <w:pPr>
        <w:pStyle w:val="FootnoteText"/>
        <w:rPr>
          <w:sz w:val="16"/>
          <w:szCs w:val="16"/>
        </w:rPr>
      </w:pPr>
      <w:r w:rsidRPr="00186EC7">
        <w:rPr>
          <w:rStyle w:val="FootnoteReference"/>
          <w:sz w:val="16"/>
          <w:szCs w:val="16"/>
        </w:rPr>
        <w:footnoteRef/>
      </w:r>
      <w:r w:rsidRPr="00186EC7">
        <w:rPr>
          <w:sz w:val="16"/>
          <w:szCs w:val="16"/>
        </w:rPr>
        <w:t xml:space="preserve"> Tweede Kamer, vergaderjaar 2025-2026, 27 926, nr. 428</w:t>
      </w:r>
    </w:p>
  </w:footnote>
  <w:footnote w:id="4">
    <w:p w:rsidR="00D14188" w:rsidRPr="00AB276B" w:rsidP="00D14188" w14:paraId="31DB456B" w14:textId="77777777">
      <w:pPr>
        <w:pStyle w:val="FootnoteText"/>
        <w:rPr>
          <w:sz w:val="16"/>
          <w:szCs w:val="16"/>
        </w:rPr>
      </w:pPr>
      <w:r w:rsidRPr="00270A54">
        <w:rPr>
          <w:rStyle w:val="FootnoteReference"/>
          <w:sz w:val="16"/>
          <w:szCs w:val="16"/>
        </w:rPr>
        <w:footnoteRef/>
      </w:r>
      <w:r w:rsidRPr="00270A54">
        <w:rPr>
          <w:sz w:val="16"/>
          <w:szCs w:val="16"/>
        </w:rPr>
        <w:t xml:space="preserve"> </w:t>
      </w:r>
      <w:r w:rsidR="003322D1">
        <w:rPr>
          <w:sz w:val="16"/>
          <w:szCs w:val="16"/>
        </w:rPr>
        <w:t>RIGO</w:t>
      </w:r>
      <w:r w:rsidR="00EE2F1C">
        <w:rPr>
          <w:sz w:val="16"/>
          <w:szCs w:val="16"/>
        </w:rPr>
        <w:t>:</w:t>
      </w:r>
      <w:r w:rsidR="003322D1">
        <w:rPr>
          <w:sz w:val="16"/>
          <w:szCs w:val="16"/>
        </w:rPr>
        <w:t xml:space="preserve"> </w:t>
      </w:r>
      <w:r w:rsidRPr="003322D1" w:rsidR="003322D1">
        <w:rPr>
          <w:sz w:val="16"/>
          <w:szCs w:val="16"/>
        </w:rPr>
        <w:t>De relevantie van de opkoopbescherming toen en nu</w:t>
      </w:r>
      <w:r w:rsidR="003322D1">
        <w:rPr>
          <w:sz w:val="16"/>
          <w:szCs w:val="16"/>
        </w:rPr>
        <w:t xml:space="preserve">. </w:t>
      </w:r>
      <w:r w:rsidRPr="00270A54">
        <w:rPr>
          <w:sz w:val="16"/>
          <w:szCs w:val="16"/>
        </w:rPr>
        <w:t>Peildatum 1 januari 2026.</w:t>
      </w:r>
      <w:r w:rsidR="003322D1">
        <w:rPr>
          <w:sz w:val="16"/>
          <w:szCs w:val="16"/>
        </w:rPr>
        <w:t xml:space="preserve"> </w:t>
      </w:r>
    </w:p>
  </w:footnote>
  <w:footnote w:id="5">
    <w:p w:rsidR="00044A47" w:rsidRPr="00044A47" w14:paraId="4402F416" w14:textId="77777777">
      <w:pPr>
        <w:pStyle w:val="FootnoteText"/>
        <w:rPr>
          <w:sz w:val="16"/>
          <w:szCs w:val="16"/>
        </w:rPr>
      </w:pPr>
      <w:r w:rsidRPr="00044A47">
        <w:rPr>
          <w:rStyle w:val="FootnoteReference"/>
          <w:sz w:val="16"/>
          <w:szCs w:val="16"/>
        </w:rPr>
        <w:footnoteRef/>
      </w:r>
      <w:r w:rsidRPr="00044A47">
        <w:rPr>
          <w:sz w:val="16"/>
          <w:szCs w:val="16"/>
        </w:rPr>
        <w:t xml:space="preserve"> Concreet word</w:t>
      </w:r>
      <w:r w:rsidR="00DE1F8F">
        <w:rPr>
          <w:sz w:val="16"/>
          <w:szCs w:val="16"/>
        </w:rPr>
        <w:t>t</w:t>
      </w:r>
      <w:r w:rsidRPr="00044A47">
        <w:rPr>
          <w:sz w:val="16"/>
          <w:szCs w:val="16"/>
        </w:rPr>
        <w:t xml:space="preserve"> genoemd</w:t>
      </w:r>
      <w:r w:rsidR="00DE1F8F">
        <w:rPr>
          <w:sz w:val="16"/>
          <w:szCs w:val="16"/>
        </w:rPr>
        <w:t xml:space="preserve">: </w:t>
      </w:r>
      <w:r w:rsidRPr="00044A47">
        <w:rPr>
          <w:sz w:val="16"/>
          <w:szCs w:val="16"/>
        </w:rPr>
        <w:t xml:space="preserve">de Wet differentiatie overdrachtsbelasting, de Wet betaalbare huur en de Wet vaste huurcontracten, aanpassingen aan box 3 en de renteontwikkeling.  </w:t>
      </w:r>
    </w:p>
  </w:footnote>
  <w:footnote w:id="6">
    <w:p w:rsidR="00942C2A" w14:paraId="405ABE25" w14:textId="77777777">
      <w:pPr>
        <w:pStyle w:val="FootnoteText"/>
      </w:pPr>
      <w:r>
        <w:rPr>
          <w:rStyle w:val="FootnoteReference"/>
        </w:rPr>
        <w:footnoteRef/>
      </w:r>
      <w:r>
        <w:t xml:space="preserve"> In 2024 was de mutatiegraad voor private huur 16,9%, corporatie huur 7,4% en</w:t>
      </w:r>
      <w:r w:rsidR="00FA1A80">
        <w:t xml:space="preserve"> voor</w:t>
      </w:r>
      <w:r>
        <w:t xml:space="preserve"> koopwoningen 4,9% (CBS Woonbase)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2F1C" w14:paraId="24D843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876" w14:paraId="76F5EF2A"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BA70AE"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BA70AE" w14:paraId="7021BF2B"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A6876" w14:textId="77777777">
                          <w:pPr>
                            <w:pStyle w:val="Referentiegegevensbold"/>
                          </w:pPr>
                          <w:r>
                            <w:t>DG Volkshuisvesting en Bouwen</w:t>
                          </w:r>
                        </w:p>
                        <w:p w:rsidR="00FA6876" w14:textId="77777777">
                          <w:pPr>
                            <w:pStyle w:val="Referentiegegevens"/>
                          </w:pPr>
                          <w:r>
                            <w:t>Directie Wonen</w:t>
                          </w:r>
                        </w:p>
                        <w:p w:rsidR="00FA6876" w14:textId="77777777">
                          <w:pPr>
                            <w:pStyle w:val="WitregelW2"/>
                          </w:pPr>
                        </w:p>
                        <w:p w:rsidR="00FA6876" w14:textId="77777777">
                          <w:pPr>
                            <w:pStyle w:val="Referentiegegevensbold"/>
                          </w:pPr>
                          <w:r>
                            <w:t>Datum</w:t>
                          </w:r>
                        </w:p>
                        <w:p w:rsidR="00FA6876" w14:textId="72C8C94C">
                          <w:pPr>
                            <w:pStyle w:val="Referentiegegevens"/>
                          </w:pPr>
                          <w:r>
                            <w:t>16 oktober 2026</w:t>
                          </w:r>
                        </w:p>
                        <w:p w:rsidR="00FA6876" w14:textId="77777777">
                          <w:pPr>
                            <w:pStyle w:val="WitregelW1"/>
                          </w:pPr>
                        </w:p>
                        <w:p w:rsidR="00FA6876" w14:textId="77777777">
                          <w:pPr>
                            <w:pStyle w:val="Referentiegegevensbold"/>
                          </w:pPr>
                          <w:r>
                            <w:t>Onze referentie</w:t>
                          </w:r>
                        </w:p>
                        <w:p w:rsidR="00717EBB" w14:textId="77777777">
                          <w:pPr>
                            <w:pStyle w:val="Referentiegegevens"/>
                          </w:pPr>
                          <w:r>
                            <w:fldChar w:fldCharType="begin"/>
                          </w:r>
                          <w:r>
                            <w:instrText xml:space="preserve"> DOCPROPERTY  "Kenmerk"  \* MERGEFORMAT </w:instrText>
                          </w:r>
                          <w:r>
                            <w:fldChar w:fldCharType="separate"/>
                          </w:r>
                          <w:r>
                            <w:t>2026-0000520976</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FA6876" w14:paraId="44C76AFA" w14:textId="77777777">
                    <w:pPr>
                      <w:pStyle w:val="Referentiegegevensbold"/>
                    </w:pPr>
                    <w:r>
                      <w:t>DG Volkshuisvesting en Bouwen</w:t>
                    </w:r>
                  </w:p>
                  <w:p w:rsidR="00FA6876" w14:paraId="315FBF8E" w14:textId="77777777">
                    <w:pPr>
                      <w:pStyle w:val="Referentiegegevens"/>
                    </w:pPr>
                    <w:r>
                      <w:t>Directie Wonen</w:t>
                    </w:r>
                  </w:p>
                  <w:p w:rsidR="00FA6876" w14:paraId="4144700B" w14:textId="77777777">
                    <w:pPr>
                      <w:pStyle w:val="WitregelW2"/>
                    </w:pPr>
                  </w:p>
                  <w:p w:rsidR="00FA6876" w14:paraId="798B3E71" w14:textId="77777777">
                    <w:pPr>
                      <w:pStyle w:val="Referentiegegevensbold"/>
                    </w:pPr>
                    <w:r>
                      <w:t>Datum</w:t>
                    </w:r>
                  </w:p>
                  <w:p w:rsidR="00FA6876" w14:paraId="6DE77D31" w14:textId="72C8C94C">
                    <w:pPr>
                      <w:pStyle w:val="Referentiegegevens"/>
                    </w:pPr>
                    <w:r>
                      <w:t>16 oktober 2026</w:t>
                    </w:r>
                  </w:p>
                  <w:p w:rsidR="00FA6876" w14:paraId="64BAC2A6" w14:textId="77777777">
                    <w:pPr>
                      <w:pStyle w:val="WitregelW1"/>
                    </w:pPr>
                  </w:p>
                  <w:p w:rsidR="00FA6876" w14:paraId="6BCA5243" w14:textId="77777777">
                    <w:pPr>
                      <w:pStyle w:val="Referentiegegevensbold"/>
                    </w:pPr>
                    <w:r>
                      <w:t>Onze referentie</w:t>
                    </w:r>
                  </w:p>
                  <w:p w:rsidR="00717EBB" w14:paraId="4BC2CD20" w14:textId="77777777">
                    <w:pPr>
                      <w:pStyle w:val="Referentiegegevens"/>
                    </w:pPr>
                    <w:r>
                      <w:fldChar w:fldCharType="begin"/>
                    </w:r>
                    <w:r>
                      <w:instrText xml:space="preserve"> DOCPROPERTY  "Kenmerk"  \* MERGEFORMAT </w:instrText>
                    </w:r>
                    <w:r>
                      <w:fldChar w:fldCharType="separate"/>
                    </w:r>
                    <w:r>
                      <w:t>2026-0000520976</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A70AE"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BA70AE" w14:paraId="4E3219D6"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717EBB"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717EBB" w14:paraId="2C9477A6"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876" w14:paraId="416B2281"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E24A04F"/>
    <w:multiLevelType w:val="multilevel"/>
    <w:tmpl w:val="0F6C288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D31966CD"/>
    <w:multiLevelType w:val="multilevel"/>
    <w:tmpl w:val="AD68045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E440B70"/>
    <w:multiLevelType w:val="hybridMultilevel"/>
    <w:tmpl w:val="0ED8F6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10053D"/>
    <w:multiLevelType w:val="hybridMultilevel"/>
    <w:tmpl w:val="521A21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5714397"/>
    <w:multiLevelType w:val="hybridMultilevel"/>
    <w:tmpl w:val="2C285ED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94749F6"/>
    <w:multiLevelType w:val="hybridMultilevel"/>
    <w:tmpl w:val="3A985F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C3A6FBE"/>
    <w:multiLevelType w:val="hybridMultilevel"/>
    <w:tmpl w:val="2C285ED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5B50C16"/>
    <w:multiLevelType w:val="hybridMultilevel"/>
    <w:tmpl w:val="5C4422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7B5C47"/>
    <w:multiLevelType w:val="hybridMultilevel"/>
    <w:tmpl w:val="C43815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E5D0F2D"/>
    <w:multiLevelType w:val="multilevel"/>
    <w:tmpl w:val="361A4A8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0">
    <w:nsid w:val="4F924DCB"/>
    <w:multiLevelType w:val="hybridMultilevel"/>
    <w:tmpl w:val="73C239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F06338"/>
    <w:multiLevelType w:val="hybridMultilevel"/>
    <w:tmpl w:val="478C46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9C2345E"/>
    <w:multiLevelType w:val="hybridMultilevel"/>
    <w:tmpl w:val="E07202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AC3407C"/>
    <w:multiLevelType w:val="hybridMultilevel"/>
    <w:tmpl w:val="36EEAD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D703874"/>
    <w:multiLevelType w:val="hybridMultilevel"/>
    <w:tmpl w:val="104237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82FFBE3"/>
    <w:multiLevelType w:val="multilevel"/>
    <w:tmpl w:val="36E1B35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12749141">
    <w:abstractNumId w:val="9"/>
  </w:num>
  <w:num w:numId="2" w16cid:durableId="108201802">
    <w:abstractNumId w:val="15"/>
  </w:num>
  <w:num w:numId="3" w16cid:durableId="186875625">
    <w:abstractNumId w:val="0"/>
  </w:num>
  <w:num w:numId="4" w16cid:durableId="563222328">
    <w:abstractNumId w:val="1"/>
  </w:num>
  <w:num w:numId="5" w16cid:durableId="751657825">
    <w:abstractNumId w:val="8"/>
  </w:num>
  <w:num w:numId="6" w16cid:durableId="494877440">
    <w:abstractNumId w:val="7"/>
  </w:num>
  <w:num w:numId="7" w16cid:durableId="1881434923">
    <w:abstractNumId w:val="3"/>
  </w:num>
  <w:num w:numId="8" w16cid:durableId="1527326528">
    <w:abstractNumId w:val="14"/>
  </w:num>
  <w:num w:numId="9" w16cid:durableId="1342320452">
    <w:abstractNumId w:val="2"/>
  </w:num>
  <w:num w:numId="10" w16cid:durableId="2068452814">
    <w:abstractNumId w:val="5"/>
  </w:num>
  <w:num w:numId="11" w16cid:durableId="512382810">
    <w:abstractNumId w:val="13"/>
  </w:num>
  <w:num w:numId="12" w16cid:durableId="501775557">
    <w:abstractNumId w:val="12"/>
  </w:num>
  <w:num w:numId="13" w16cid:durableId="1274216649">
    <w:abstractNumId w:val="11"/>
  </w:num>
  <w:num w:numId="14" w16cid:durableId="1168515578">
    <w:abstractNumId w:val="6"/>
  </w:num>
  <w:num w:numId="15" w16cid:durableId="414867550">
    <w:abstractNumId w:val="10"/>
  </w:num>
  <w:num w:numId="16" w16cid:durableId="10057403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876"/>
    <w:rsid w:val="0000187E"/>
    <w:rsid w:val="00005398"/>
    <w:rsid w:val="0000609F"/>
    <w:rsid w:val="000336D1"/>
    <w:rsid w:val="00040FDB"/>
    <w:rsid w:val="000414C7"/>
    <w:rsid w:val="00044A47"/>
    <w:rsid w:val="0006009C"/>
    <w:rsid w:val="000647AA"/>
    <w:rsid w:val="00070E5B"/>
    <w:rsid w:val="00081810"/>
    <w:rsid w:val="000862FD"/>
    <w:rsid w:val="0009670D"/>
    <w:rsid w:val="00096A65"/>
    <w:rsid w:val="000B15DC"/>
    <w:rsid w:val="000C067F"/>
    <w:rsid w:val="000D61B0"/>
    <w:rsid w:val="000F7549"/>
    <w:rsid w:val="00100522"/>
    <w:rsid w:val="00100F76"/>
    <w:rsid w:val="00106C48"/>
    <w:rsid w:val="00125BD0"/>
    <w:rsid w:val="0013735F"/>
    <w:rsid w:val="00157A43"/>
    <w:rsid w:val="00186EC7"/>
    <w:rsid w:val="001943E1"/>
    <w:rsid w:val="001A2B89"/>
    <w:rsid w:val="001A3335"/>
    <w:rsid w:val="001A5963"/>
    <w:rsid w:val="001B4178"/>
    <w:rsid w:val="001B7C12"/>
    <w:rsid w:val="001C1732"/>
    <w:rsid w:val="001C359F"/>
    <w:rsid w:val="001C4E7E"/>
    <w:rsid w:val="001D03C3"/>
    <w:rsid w:val="001E0F00"/>
    <w:rsid w:val="001E1822"/>
    <w:rsid w:val="0020215C"/>
    <w:rsid w:val="0020404E"/>
    <w:rsid w:val="00213229"/>
    <w:rsid w:val="002165D3"/>
    <w:rsid w:val="00230FD2"/>
    <w:rsid w:val="00243B56"/>
    <w:rsid w:val="00250A1E"/>
    <w:rsid w:val="00270A54"/>
    <w:rsid w:val="00273C08"/>
    <w:rsid w:val="002747D3"/>
    <w:rsid w:val="0029251B"/>
    <w:rsid w:val="002B0074"/>
    <w:rsid w:val="002B4F79"/>
    <w:rsid w:val="002B658D"/>
    <w:rsid w:val="002C1440"/>
    <w:rsid w:val="002C22C9"/>
    <w:rsid w:val="002D4C5B"/>
    <w:rsid w:val="002E0B1D"/>
    <w:rsid w:val="002E2A59"/>
    <w:rsid w:val="002E30FC"/>
    <w:rsid w:val="002F0A09"/>
    <w:rsid w:val="002F1A90"/>
    <w:rsid w:val="002F283C"/>
    <w:rsid w:val="002F47D5"/>
    <w:rsid w:val="0031133D"/>
    <w:rsid w:val="003322D1"/>
    <w:rsid w:val="003477E3"/>
    <w:rsid w:val="00354F0E"/>
    <w:rsid w:val="00355359"/>
    <w:rsid w:val="00355D6F"/>
    <w:rsid w:val="00357B67"/>
    <w:rsid w:val="003659BE"/>
    <w:rsid w:val="00365D56"/>
    <w:rsid w:val="00381A00"/>
    <w:rsid w:val="00394775"/>
    <w:rsid w:val="003A02E1"/>
    <w:rsid w:val="003B3887"/>
    <w:rsid w:val="003B7354"/>
    <w:rsid w:val="003D39E7"/>
    <w:rsid w:val="003D6EC6"/>
    <w:rsid w:val="00406A47"/>
    <w:rsid w:val="0041781D"/>
    <w:rsid w:val="004220EB"/>
    <w:rsid w:val="0042553F"/>
    <w:rsid w:val="00434AF5"/>
    <w:rsid w:val="00435580"/>
    <w:rsid w:val="00436503"/>
    <w:rsid w:val="00436A1C"/>
    <w:rsid w:val="00437F9A"/>
    <w:rsid w:val="00450E42"/>
    <w:rsid w:val="00454C26"/>
    <w:rsid w:val="00466887"/>
    <w:rsid w:val="00477380"/>
    <w:rsid w:val="00493C60"/>
    <w:rsid w:val="004940DA"/>
    <w:rsid w:val="00494813"/>
    <w:rsid w:val="004A2CCB"/>
    <w:rsid w:val="004A5E26"/>
    <w:rsid w:val="004B0420"/>
    <w:rsid w:val="004B3C31"/>
    <w:rsid w:val="004B6BDD"/>
    <w:rsid w:val="004B7C0F"/>
    <w:rsid w:val="004C1DAB"/>
    <w:rsid w:val="004C3AA0"/>
    <w:rsid w:val="004E5F48"/>
    <w:rsid w:val="004F14C1"/>
    <w:rsid w:val="005161E7"/>
    <w:rsid w:val="00521264"/>
    <w:rsid w:val="00525FEE"/>
    <w:rsid w:val="0053093D"/>
    <w:rsid w:val="005321B7"/>
    <w:rsid w:val="0053239A"/>
    <w:rsid w:val="00537B9F"/>
    <w:rsid w:val="005439C2"/>
    <w:rsid w:val="00552336"/>
    <w:rsid w:val="005555C4"/>
    <w:rsid w:val="005603AB"/>
    <w:rsid w:val="0056110A"/>
    <w:rsid w:val="00580038"/>
    <w:rsid w:val="00593E2C"/>
    <w:rsid w:val="005A227E"/>
    <w:rsid w:val="005A2A67"/>
    <w:rsid w:val="005A32B6"/>
    <w:rsid w:val="005B22F1"/>
    <w:rsid w:val="005C5B1F"/>
    <w:rsid w:val="005D4B74"/>
    <w:rsid w:val="005E0763"/>
    <w:rsid w:val="005E41C5"/>
    <w:rsid w:val="005F286C"/>
    <w:rsid w:val="005F3E6D"/>
    <w:rsid w:val="00600FBB"/>
    <w:rsid w:val="00601B61"/>
    <w:rsid w:val="0060732E"/>
    <w:rsid w:val="00615648"/>
    <w:rsid w:val="006168A8"/>
    <w:rsid w:val="00621BAA"/>
    <w:rsid w:val="00630758"/>
    <w:rsid w:val="0064042F"/>
    <w:rsid w:val="00640548"/>
    <w:rsid w:val="00646A1B"/>
    <w:rsid w:val="00660FDB"/>
    <w:rsid w:val="00690657"/>
    <w:rsid w:val="00697E91"/>
    <w:rsid w:val="006A289C"/>
    <w:rsid w:val="006B4320"/>
    <w:rsid w:val="006B55A9"/>
    <w:rsid w:val="006E0C53"/>
    <w:rsid w:val="006E2464"/>
    <w:rsid w:val="006F19ED"/>
    <w:rsid w:val="00704520"/>
    <w:rsid w:val="0071772F"/>
    <w:rsid w:val="00717C65"/>
    <w:rsid w:val="00717EBB"/>
    <w:rsid w:val="0072073C"/>
    <w:rsid w:val="00730182"/>
    <w:rsid w:val="007303E9"/>
    <w:rsid w:val="007541BD"/>
    <w:rsid w:val="0076061C"/>
    <w:rsid w:val="00760CDB"/>
    <w:rsid w:val="00761A5C"/>
    <w:rsid w:val="00782245"/>
    <w:rsid w:val="00784B50"/>
    <w:rsid w:val="00791C76"/>
    <w:rsid w:val="007C53AF"/>
    <w:rsid w:val="007D50D3"/>
    <w:rsid w:val="007E5B16"/>
    <w:rsid w:val="00802614"/>
    <w:rsid w:val="00827F76"/>
    <w:rsid w:val="00877A04"/>
    <w:rsid w:val="008867AD"/>
    <w:rsid w:val="00895B58"/>
    <w:rsid w:val="008A6863"/>
    <w:rsid w:val="008B7DB0"/>
    <w:rsid w:val="008C2EF9"/>
    <w:rsid w:val="008C6904"/>
    <w:rsid w:val="008D7E0E"/>
    <w:rsid w:val="008F086E"/>
    <w:rsid w:val="008F4FB4"/>
    <w:rsid w:val="00905E14"/>
    <w:rsid w:val="00927EF2"/>
    <w:rsid w:val="00934B00"/>
    <w:rsid w:val="009352D4"/>
    <w:rsid w:val="0093557D"/>
    <w:rsid w:val="009363C3"/>
    <w:rsid w:val="00942C2A"/>
    <w:rsid w:val="00946531"/>
    <w:rsid w:val="00950D0F"/>
    <w:rsid w:val="00967EBD"/>
    <w:rsid w:val="009702E7"/>
    <w:rsid w:val="00981455"/>
    <w:rsid w:val="00983BD7"/>
    <w:rsid w:val="00985649"/>
    <w:rsid w:val="00995008"/>
    <w:rsid w:val="00996EC5"/>
    <w:rsid w:val="009A1DDD"/>
    <w:rsid w:val="009B0D25"/>
    <w:rsid w:val="009B217C"/>
    <w:rsid w:val="009C7A35"/>
    <w:rsid w:val="009D60ED"/>
    <w:rsid w:val="009D68AF"/>
    <w:rsid w:val="009E28B0"/>
    <w:rsid w:val="009E3A97"/>
    <w:rsid w:val="009E61D9"/>
    <w:rsid w:val="009E7863"/>
    <w:rsid w:val="00A002E0"/>
    <w:rsid w:val="00A03D4C"/>
    <w:rsid w:val="00A105AA"/>
    <w:rsid w:val="00A20068"/>
    <w:rsid w:val="00A26933"/>
    <w:rsid w:val="00A27BAF"/>
    <w:rsid w:val="00A37FA7"/>
    <w:rsid w:val="00A40A65"/>
    <w:rsid w:val="00A4399F"/>
    <w:rsid w:val="00A6716D"/>
    <w:rsid w:val="00A67DD1"/>
    <w:rsid w:val="00A73C35"/>
    <w:rsid w:val="00A74B8B"/>
    <w:rsid w:val="00A87244"/>
    <w:rsid w:val="00A90371"/>
    <w:rsid w:val="00AA51C6"/>
    <w:rsid w:val="00AA5269"/>
    <w:rsid w:val="00AB1A61"/>
    <w:rsid w:val="00AB276B"/>
    <w:rsid w:val="00AB5943"/>
    <w:rsid w:val="00AC0432"/>
    <w:rsid w:val="00AC5387"/>
    <w:rsid w:val="00AC6250"/>
    <w:rsid w:val="00AD1F22"/>
    <w:rsid w:val="00AD2D2B"/>
    <w:rsid w:val="00AD75D5"/>
    <w:rsid w:val="00AE1AD1"/>
    <w:rsid w:val="00AE34F7"/>
    <w:rsid w:val="00AE7D15"/>
    <w:rsid w:val="00AF028D"/>
    <w:rsid w:val="00AF08E7"/>
    <w:rsid w:val="00B00E5E"/>
    <w:rsid w:val="00B01CB8"/>
    <w:rsid w:val="00B12234"/>
    <w:rsid w:val="00B134F0"/>
    <w:rsid w:val="00B138D7"/>
    <w:rsid w:val="00B22AC9"/>
    <w:rsid w:val="00B2628F"/>
    <w:rsid w:val="00B32328"/>
    <w:rsid w:val="00B33720"/>
    <w:rsid w:val="00B37867"/>
    <w:rsid w:val="00B52392"/>
    <w:rsid w:val="00B56468"/>
    <w:rsid w:val="00B60F67"/>
    <w:rsid w:val="00B63BF5"/>
    <w:rsid w:val="00B65CB7"/>
    <w:rsid w:val="00B83463"/>
    <w:rsid w:val="00B84BB5"/>
    <w:rsid w:val="00BA70AE"/>
    <w:rsid w:val="00BB557C"/>
    <w:rsid w:val="00BC1FF5"/>
    <w:rsid w:val="00BD33CB"/>
    <w:rsid w:val="00BE4CAF"/>
    <w:rsid w:val="00BF4935"/>
    <w:rsid w:val="00BF6D82"/>
    <w:rsid w:val="00C01FA4"/>
    <w:rsid w:val="00C13AFA"/>
    <w:rsid w:val="00C16A4B"/>
    <w:rsid w:val="00C20FF4"/>
    <w:rsid w:val="00C26771"/>
    <w:rsid w:val="00C30BDB"/>
    <w:rsid w:val="00C4233A"/>
    <w:rsid w:val="00C44CAB"/>
    <w:rsid w:val="00C53824"/>
    <w:rsid w:val="00C55A3E"/>
    <w:rsid w:val="00C60556"/>
    <w:rsid w:val="00C634D0"/>
    <w:rsid w:val="00C655C0"/>
    <w:rsid w:val="00C7291E"/>
    <w:rsid w:val="00C765C5"/>
    <w:rsid w:val="00C8357E"/>
    <w:rsid w:val="00C95F4F"/>
    <w:rsid w:val="00C96205"/>
    <w:rsid w:val="00CA6388"/>
    <w:rsid w:val="00CB16A7"/>
    <w:rsid w:val="00CB1E56"/>
    <w:rsid w:val="00CB2B79"/>
    <w:rsid w:val="00CB4F17"/>
    <w:rsid w:val="00CB7360"/>
    <w:rsid w:val="00CD2415"/>
    <w:rsid w:val="00CD2F5C"/>
    <w:rsid w:val="00CE0C80"/>
    <w:rsid w:val="00CE1512"/>
    <w:rsid w:val="00CF3FE0"/>
    <w:rsid w:val="00CF7D35"/>
    <w:rsid w:val="00D11AD3"/>
    <w:rsid w:val="00D14188"/>
    <w:rsid w:val="00D4628F"/>
    <w:rsid w:val="00D462C1"/>
    <w:rsid w:val="00D46ADC"/>
    <w:rsid w:val="00D4777A"/>
    <w:rsid w:val="00D56C67"/>
    <w:rsid w:val="00D60296"/>
    <w:rsid w:val="00D76742"/>
    <w:rsid w:val="00D808D8"/>
    <w:rsid w:val="00D81CEC"/>
    <w:rsid w:val="00D92173"/>
    <w:rsid w:val="00D94AB8"/>
    <w:rsid w:val="00DA34E1"/>
    <w:rsid w:val="00DC119E"/>
    <w:rsid w:val="00DC4A29"/>
    <w:rsid w:val="00DE1F8F"/>
    <w:rsid w:val="00DE5EFD"/>
    <w:rsid w:val="00DF1F9A"/>
    <w:rsid w:val="00DF377B"/>
    <w:rsid w:val="00DF60F0"/>
    <w:rsid w:val="00DF79DA"/>
    <w:rsid w:val="00E27D30"/>
    <w:rsid w:val="00E54DC8"/>
    <w:rsid w:val="00E55451"/>
    <w:rsid w:val="00E6184E"/>
    <w:rsid w:val="00E72BC6"/>
    <w:rsid w:val="00E7462E"/>
    <w:rsid w:val="00E747AD"/>
    <w:rsid w:val="00E7720A"/>
    <w:rsid w:val="00E8220A"/>
    <w:rsid w:val="00E947B8"/>
    <w:rsid w:val="00EA453F"/>
    <w:rsid w:val="00EB58E0"/>
    <w:rsid w:val="00EB7B9C"/>
    <w:rsid w:val="00EC6512"/>
    <w:rsid w:val="00EE08E5"/>
    <w:rsid w:val="00EE2F1C"/>
    <w:rsid w:val="00EF731E"/>
    <w:rsid w:val="00F01F82"/>
    <w:rsid w:val="00F02963"/>
    <w:rsid w:val="00F030BE"/>
    <w:rsid w:val="00F1047A"/>
    <w:rsid w:val="00F1317B"/>
    <w:rsid w:val="00F138F0"/>
    <w:rsid w:val="00F13A6C"/>
    <w:rsid w:val="00F16B5E"/>
    <w:rsid w:val="00F21DC1"/>
    <w:rsid w:val="00F276C7"/>
    <w:rsid w:val="00F30A31"/>
    <w:rsid w:val="00F36DEA"/>
    <w:rsid w:val="00F40C36"/>
    <w:rsid w:val="00F45547"/>
    <w:rsid w:val="00F45BDE"/>
    <w:rsid w:val="00F465BE"/>
    <w:rsid w:val="00F72E48"/>
    <w:rsid w:val="00F837B1"/>
    <w:rsid w:val="00F8542F"/>
    <w:rsid w:val="00F945F2"/>
    <w:rsid w:val="00FA1A80"/>
    <w:rsid w:val="00FA6876"/>
    <w:rsid w:val="00FB0383"/>
    <w:rsid w:val="00FB2ABE"/>
    <w:rsid w:val="00FB4BB9"/>
    <w:rsid w:val="00FB5ABA"/>
    <w:rsid w:val="00FC47FC"/>
    <w:rsid w:val="00FC733D"/>
    <w:rsid w:val="00FC79BD"/>
    <w:rsid w:val="00FC7C50"/>
    <w:rsid w:val="00FD20DC"/>
    <w:rsid w:val="00FD772F"/>
    <w:rsid w:val="00FE4B78"/>
    <w:rsid w:val="00FE586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9AE7159"/>
  <w15:docId w15:val="{421BBF4A-4167-4D80-921D-241528E61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F01F82"/>
    <w:pPr>
      <w:tabs>
        <w:tab w:val="center" w:pos="4536"/>
        <w:tab w:val="right" w:pos="9072"/>
      </w:tabs>
      <w:spacing w:line="240" w:lineRule="auto"/>
    </w:pPr>
  </w:style>
  <w:style w:type="character" w:customStyle="1" w:styleId="KoptekstChar">
    <w:name w:val="Koptekst Char"/>
    <w:basedOn w:val="DefaultParagraphFont"/>
    <w:link w:val="Header"/>
    <w:uiPriority w:val="99"/>
    <w:rsid w:val="00F01F82"/>
    <w:rPr>
      <w:rFonts w:ascii="Verdana" w:hAnsi="Verdana"/>
      <w:color w:val="000000"/>
      <w:sz w:val="18"/>
      <w:szCs w:val="18"/>
    </w:rPr>
  </w:style>
  <w:style w:type="paragraph" w:styleId="Footer">
    <w:name w:val="footer"/>
    <w:basedOn w:val="Normal"/>
    <w:link w:val="VoettekstChar"/>
    <w:uiPriority w:val="99"/>
    <w:unhideWhenUsed/>
    <w:rsid w:val="00F01F82"/>
    <w:pPr>
      <w:tabs>
        <w:tab w:val="center" w:pos="4536"/>
        <w:tab w:val="right" w:pos="9072"/>
      </w:tabs>
      <w:spacing w:line="240" w:lineRule="auto"/>
    </w:pPr>
  </w:style>
  <w:style w:type="character" w:customStyle="1" w:styleId="VoettekstChar">
    <w:name w:val="Voettekst Char"/>
    <w:basedOn w:val="DefaultParagraphFont"/>
    <w:link w:val="Footer"/>
    <w:uiPriority w:val="99"/>
    <w:rsid w:val="00F01F82"/>
    <w:rPr>
      <w:rFonts w:ascii="Verdana" w:hAnsi="Verdana"/>
      <w:color w:val="000000"/>
      <w:sz w:val="18"/>
      <w:szCs w:val="18"/>
    </w:rPr>
  </w:style>
  <w:style w:type="paragraph" w:styleId="ListParagraph">
    <w:name w:val="List Paragraph"/>
    <w:basedOn w:val="Normal"/>
    <w:uiPriority w:val="34"/>
    <w:qFormat/>
    <w:rsid w:val="00DC119E"/>
    <w:pPr>
      <w:spacing w:line="240" w:lineRule="exact"/>
      <w:ind w:left="720"/>
      <w:contextualSpacing/>
    </w:pPr>
  </w:style>
  <w:style w:type="character" w:customStyle="1" w:styleId="VoetnoottekstChar">
    <w:name w:val="Voetnoottekst Char"/>
    <w:basedOn w:val="DefaultParagraphFont"/>
    <w:link w:val="FootnoteText"/>
    <w:uiPriority w:val="99"/>
    <w:rsid w:val="00D14188"/>
    <w:rPr>
      <w:rFonts w:ascii="Verdana" w:hAnsi="Verdana"/>
      <w:sz w:val="13"/>
      <w:szCs w:val="13"/>
    </w:rPr>
  </w:style>
  <w:style w:type="character" w:styleId="FootnoteReference">
    <w:name w:val="footnote reference"/>
    <w:basedOn w:val="DefaultParagraphFont"/>
    <w:uiPriority w:val="99"/>
    <w:semiHidden/>
    <w:unhideWhenUsed/>
    <w:rsid w:val="00D14188"/>
    <w:rPr>
      <w:vertAlign w:val="superscript"/>
    </w:rPr>
  </w:style>
  <w:style w:type="character" w:styleId="CommentReference">
    <w:name w:val="annotation reference"/>
    <w:basedOn w:val="DefaultParagraphFont"/>
    <w:uiPriority w:val="99"/>
    <w:semiHidden/>
    <w:unhideWhenUsed/>
    <w:rsid w:val="00FB0383"/>
    <w:rPr>
      <w:sz w:val="16"/>
      <w:szCs w:val="16"/>
    </w:rPr>
  </w:style>
  <w:style w:type="paragraph" w:styleId="CommentText">
    <w:name w:val="annotation text"/>
    <w:basedOn w:val="Normal"/>
    <w:link w:val="TekstopmerkingChar"/>
    <w:uiPriority w:val="99"/>
    <w:unhideWhenUsed/>
    <w:rsid w:val="00FB0383"/>
    <w:pPr>
      <w:spacing w:line="240" w:lineRule="auto"/>
    </w:pPr>
    <w:rPr>
      <w:sz w:val="20"/>
      <w:szCs w:val="20"/>
    </w:rPr>
  </w:style>
  <w:style w:type="character" w:customStyle="1" w:styleId="TekstopmerkingChar">
    <w:name w:val="Tekst opmerking Char"/>
    <w:basedOn w:val="DefaultParagraphFont"/>
    <w:link w:val="CommentText"/>
    <w:uiPriority w:val="99"/>
    <w:rsid w:val="00FB0383"/>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FB0383"/>
    <w:rPr>
      <w:b/>
      <w:bCs/>
    </w:rPr>
  </w:style>
  <w:style w:type="character" w:customStyle="1" w:styleId="OnderwerpvanopmerkingChar">
    <w:name w:val="Onderwerp van opmerking Char"/>
    <w:basedOn w:val="TekstopmerkingChar"/>
    <w:link w:val="CommentSubject"/>
    <w:uiPriority w:val="99"/>
    <w:semiHidden/>
    <w:rsid w:val="00FB0383"/>
    <w:rPr>
      <w:rFonts w:ascii="Verdana" w:hAnsi="Verdana"/>
      <w:b/>
      <w:bCs/>
      <w:color w:val="000000"/>
    </w:rPr>
  </w:style>
  <w:style w:type="paragraph" w:styleId="Revision">
    <w:name w:val="Revision"/>
    <w:hidden/>
    <w:uiPriority w:val="99"/>
    <w:semiHidden/>
    <w:rsid w:val="00EF731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image" Target="media/image1.png" Id="rId10" /><Relationship Type="http://schemas.openxmlformats.org/officeDocument/2006/relationships/image" Target="media/image2.png" Id="rId11" /><Relationship Type="http://schemas.openxmlformats.org/officeDocument/2006/relationships/header" Target="header1.xml" Id="rId12" /><Relationship Type="http://schemas.openxmlformats.org/officeDocument/2006/relationships/header" Target="header2.xml" Id="rId13" /><Relationship Type="http://schemas.openxmlformats.org/officeDocument/2006/relationships/footer" Target="footer1.xml" Id="rId14" /><Relationship Type="http://schemas.openxmlformats.org/officeDocument/2006/relationships/footer" Target="footer2.xml" Id="rId15" /><Relationship Type="http://schemas.openxmlformats.org/officeDocument/2006/relationships/header" Target="header3.xml" Id="rId16" /><Relationship Type="http://schemas.openxmlformats.org/officeDocument/2006/relationships/footer" Target="footer3.xml" Id="rId17" /><Relationship Type="http://schemas.openxmlformats.org/officeDocument/2006/relationships/theme" Target="theme/theme1.xml" Id="rId18" /><Relationship Type="http://schemas.openxmlformats.org/officeDocument/2006/relationships/numbering" Target="numbering.xml" Id="rId19" /><Relationship Type="http://schemas.openxmlformats.org/officeDocument/2006/relationships/settings" Target="settings.xml" Id="rId2" /><Relationship Type="http://schemas.openxmlformats.org/officeDocument/2006/relationships/styles" Target="styles.xml" Id="rId20" /><Relationship Type="http://schemas.openxmlformats.org/officeDocument/2006/relationships/webSettings" Target="webSettings.xml" Id="rId3"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1994</ap:Words>
  <ap:Characters>10971</ap:Characters>
  <ap:DocSecurity>0</ap:DocSecurity>
  <ap:Lines>91</ap:Lines>
  <ap:Paragraphs>25</ap:Paragraphs>
  <ap:ScaleCrop>false</ap:ScaleCrop>
  <ap:HeadingPairs>
    <vt:vector baseType="variant" size="2">
      <vt:variant>
        <vt:lpstr>Titel</vt:lpstr>
      </vt:variant>
      <vt:variant>
        <vt:i4>1</vt:i4>
      </vt:variant>
    </vt:vector>
  </ap:HeadingPairs>
  <ap:TitlesOfParts>
    <vt:vector baseType="lpstr" size="1">
      <vt:lpstr>Brief - Aanpassen opkoopbescherming n.a.v. evaluatie</vt:lpstr>
    </vt:vector>
  </ap:TitlesOfParts>
  <ap:LinksUpToDate>false</ap:LinksUpToDate>
  <ap:CharactersWithSpaces>12940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2026-09-30T14:50:00.0000000Z</dcterms:created>
  <dcterms:modified xsi:type="dcterms:W3CDTF">2026-10-16T14:09:00.0000000Z</dcterms:modified>
  <dc:creator/>
  <lastModifiedBy/>
  <dc:description>------------------------</dc:description>
  <dc:subject/>
  <keywords/>
  <version/>
  <category/>
</coreProperties>
</file>