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4477" w:rsidR="00065DEA" w:rsidP="00214477" w:rsidRDefault="277CEA20" w14:paraId="6728C4C6" w14:textId="47D17EBD">
      <w:pPr>
        <w:pStyle w:val="Heading1"/>
        <w:numPr>
          <w:ilvl w:val="0"/>
          <w:numId w:val="0"/>
        </w:numPr>
        <w:spacing w:before="0" w:after="0" w:line="360" w:lineRule="auto"/>
        <w:rPr>
          <w:rFonts w:ascii="Verdana" w:hAnsi="Verdana"/>
          <w:b w:val="0"/>
          <w:i/>
          <w:iCs/>
          <w:sz w:val="18"/>
          <w:szCs w:val="18"/>
          <w:lang w:val="en-US"/>
        </w:rPr>
      </w:pPr>
      <w:bookmarkStart w:name="OLE_LINK1" w:id="0"/>
      <w:bookmarkStart w:name="OLE_LINK2" w:id="1"/>
      <w:r w:rsidRPr="277CEA20">
        <w:rPr>
          <w:rFonts w:ascii="Verdana" w:hAnsi="Verdana"/>
          <w:sz w:val="18"/>
          <w:szCs w:val="18"/>
          <w:lang w:val="en-US"/>
        </w:rPr>
        <w:t xml:space="preserve">Fiche </w:t>
      </w:r>
      <w:r w:rsidR="00934E61">
        <w:rPr>
          <w:rFonts w:ascii="Verdana" w:hAnsi="Verdana"/>
          <w:sz w:val="18"/>
          <w:szCs w:val="18"/>
          <w:lang w:val="en-US"/>
        </w:rPr>
        <w:t>3</w:t>
      </w:r>
      <w:r w:rsidRPr="277CEA20">
        <w:rPr>
          <w:rFonts w:ascii="Verdana" w:hAnsi="Verdana"/>
          <w:sz w:val="18"/>
          <w:szCs w:val="18"/>
          <w:lang w:val="en-US"/>
        </w:rPr>
        <w:t xml:space="preserve">: </w:t>
      </w:r>
      <w:proofErr w:type="spellStart"/>
      <w:r w:rsidRPr="277CEA20">
        <w:rPr>
          <w:rFonts w:ascii="Verdana" w:hAnsi="Verdana"/>
          <w:sz w:val="18"/>
          <w:szCs w:val="18"/>
          <w:lang w:val="en-US"/>
        </w:rPr>
        <w:t>Verordening</w:t>
      </w:r>
      <w:proofErr w:type="spellEnd"/>
      <w:r w:rsidRPr="277CEA20">
        <w:rPr>
          <w:rFonts w:ascii="Verdana" w:hAnsi="Verdana"/>
          <w:sz w:val="18"/>
          <w:szCs w:val="18"/>
          <w:lang w:val="en-US"/>
        </w:rPr>
        <w:t xml:space="preserve"> </w:t>
      </w:r>
      <w:proofErr w:type="spellStart"/>
      <w:r w:rsidRPr="277CEA20">
        <w:rPr>
          <w:rFonts w:ascii="Verdana" w:hAnsi="Verdana"/>
          <w:sz w:val="18"/>
          <w:szCs w:val="18"/>
          <w:lang w:val="en-US"/>
        </w:rPr>
        <w:t>betaalbaar</w:t>
      </w:r>
      <w:proofErr w:type="spellEnd"/>
      <w:r w:rsidRPr="277CEA20">
        <w:rPr>
          <w:rFonts w:ascii="Verdana" w:hAnsi="Verdana"/>
          <w:sz w:val="18"/>
          <w:szCs w:val="18"/>
          <w:lang w:val="en-US"/>
        </w:rPr>
        <w:t xml:space="preserve"> </w:t>
      </w:r>
      <w:proofErr w:type="spellStart"/>
      <w:r w:rsidRPr="277CEA20">
        <w:rPr>
          <w:rFonts w:ascii="Verdana" w:hAnsi="Verdana"/>
          <w:sz w:val="18"/>
          <w:szCs w:val="18"/>
          <w:lang w:val="en-US"/>
        </w:rPr>
        <w:t>wonen</w:t>
      </w:r>
      <w:proofErr w:type="spellEnd"/>
      <w:r w:rsidRPr="277CEA20">
        <w:rPr>
          <w:rFonts w:ascii="Verdana" w:hAnsi="Verdana"/>
          <w:sz w:val="18"/>
          <w:szCs w:val="18"/>
          <w:lang w:val="en-US"/>
        </w:rPr>
        <w:t xml:space="preserve"> (Affordable Housing Act)</w:t>
      </w:r>
    </w:p>
    <w:p w:rsidRPr="0091665B" w:rsidR="00065DEA" w:rsidP="00065DEA" w:rsidRDefault="00065DEA" w14:paraId="2211BBF2" w14:textId="77777777">
      <w:pPr>
        <w:spacing w:line="360" w:lineRule="auto"/>
        <w:rPr>
          <w:rFonts w:ascii="Verdana" w:hAnsi="Verdana"/>
          <w:sz w:val="18"/>
          <w:szCs w:val="18"/>
          <w:lang w:val="en-US"/>
        </w:rPr>
      </w:pPr>
    </w:p>
    <w:p w:rsidRPr="00214477" w:rsidR="00065DEA" w:rsidP="00214477" w:rsidRDefault="00065DEA" w14:paraId="1D63E87D" w14:textId="77777777">
      <w:pPr>
        <w:numPr>
          <w:ilvl w:val="0"/>
          <w:numId w:val="8"/>
        </w:numPr>
        <w:spacing w:line="360" w:lineRule="auto"/>
        <w:rPr>
          <w:rFonts w:ascii="Verdana" w:hAnsi="Verdana"/>
          <w:b/>
          <w:bCs/>
          <w:sz w:val="18"/>
          <w:szCs w:val="18"/>
        </w:rPr>
      </w:pPr>
      <w:r w:rsidRPr="00D56B7D">
        <w:rPr>
          <w:rFonts w:ascii="Verdana" w:hAnsi="Verdana"/>
          <w:b/>
          <w:bCs/>
          <w:sz w:val="18"/>
          <w:szCs w:val="18"/>
        </w:rPr>
        <w:t>Algemene gegevens</w:t>
      </w:r>
    </w:p>
    <w:p w:rsidRPr="00214477" w:rsidR="00065DEA" w:rsidP="00214477" w:rsidRDefault="00065DEA" w14:paraId="1CDAD862" w14:textId="77777777">
      <w:pPr>
        <w:numPr>
          <w:ilvl w:val="0"/>
          <w:numId w:val="9"/>
        </w:numPr>
        <w:spacing w:line="360" w:lineRule="auto"/>
        <w:rPr>
          <w:rFonts w:ascii="Verdana" w:hAnsi="Verdana"/>
          <w:i/>
          <w:iCs/>
          <w:sz w:val="18"/>
          <w:szCs w:val="18"/>
        </w:rPr>
      </w:pPr>
      <w:r w:rsidRPr="61B0A1F6">
        <w:rPr>
          <w:rFonts w:ascii="Verdana" w:hAnsi="Verdana"/>
          <w:i/>
          <w:iCs/>
          <w:sz w:val="18"/>
          <w:szCs w:val="18"/>
        </w:rPr>
        <w:t>Titel voorstel</w:t>
      </w:r>
    </w:p>
    <w:p w:rsidRPr="00FD3CE9" w:rsidR="00504939" w:rsidP="00FD3CE9" w:rsidRDefault="001E7FC2" w14:paraId="6AF11A89" w14:textId="33FCED30">
      <w:pPr>
        <w:spacing w:line="360" w:lineRule="auto"/>
        <w:rPr>
          <w:rFonts w:ascii="Verdana" w:hAnsi="Verdana"/>
          <w:sz w:val="18"/>
          <w:szCs w:val="18"/>
        </w:rPr>
      </w:pPr>
      <w:r w:rsidRPr="001E7FC2">
        <w:rPr>
          <w:rFonts w:ascii="Verdana" w:hAnsi="Verdana"/>
          <w:sz w:val="18"/>
          <w:szCs w:val="18"/>
        </w:rPr>
        <w:t xml:space="preserve">Voorstel voor een verordening van het Europees Parlement en de Raad tot vaststelling van een </w:t>
      </w:r>
      <w:r w:rsidR="00BC2C87">
        <w:rPr>
          <w:rFonts w:ascii="Verdana" w:hAnsi="Verdana"/>
          <w:sz w:val="18"/>
          <w:szCs w:val="18"/>
        </w:rPr>
        <w:t>k</w:t>
      </w:r>
      <w:r w:rsidRPr="001E7FC2">
        <w:rPr>
          <w:rFonts w:ascii="Verdana" w:hAnsi="Verdana"/>
          <w:sz w:val="18"/>
          <w:szCs w:val="18"/>
        </w:rPr>
        <w:t>ader voor maatregelen in de lidstaten ter waarborging van de betaalbaarheid en beschikbaarheid</w:t>
      </w:r>
      <w:r w:rsidR="00BC2C87">
        <w:rPr>
          <w:rFonts w:ascii="Verdana" w:hAnsi="Verdana"/>
          <w:sz w:val="18"/>
          <w:szCs w:val="18"/>
        </w:rPr>
        <w:t xml:space="preserve"> </w:t>
      </w:r>
      <w:r w:rsidRPr="001E7FC2">
        <w:rPr>
          <w:rFonts w:ascii="Verdana" w:hAnsi="Verdana"/>
          <w:sz w:val="18"/>
          <w:szCs w:val="18"/>
        </w:rPr>
        <w:t xml:space="preserve">van woningen (verordening betaalbaar wonen) </w:t>
      </w:r>
    </w:p>
    <w:p w:rsidRPr="001E7FC2" w:rsidR="00065DEA" w:rsidP="00065DEA" w:rsidRDefault="00065DEA" w14:paraId="65E3A13B" w14:textId="77777777">
      <w:pPr>
        <w:spacing w:line="360" w:lineRule="auto"/>
        <w:rPr>
          <w:rFonts w:ascii="Verdana" w:hAnsi="Verdana"/>
          <w:iCs/>
          <w:sz w:val="18"/>
          <w:szCs w:val="18"/>
        </w:rPr>
      </w:pPr>
    </w:p>
    <w:p w:rsidRPr="00214477" w:rsidR="00065DEA" w:rsidP="00214477" w:rsidRDefault="00065DEA" w14:paraId="68AD30AB" w14:textId="77777777">
      <w:pPr>
        <w:numPr>
          <w:ilvl w:val="0"/>
          <w:numId w:val="9"/>
        </w:numPr>
        <w:spacing w:line="360" w:lineRule="auto"/>
        <w:rPr>
          <w:rFonts w:ascii="Verdana" w:hAnsi="Verdana"/>
          <w:i/>
          <w:iCs/>
          <w:sz w:val="18"/>
          <w:szCs w:val="18"/>
        </w:rPr>
      </w:pPr>
      <w:r w:rsidRPr="61B0A1F6">
        <w:rPr>
          <w:rFonts w:ascii="Verdana" w:hAnsi="Verdana"/>
          <w:i/>
          <w:iCs/>
          <w:sz w:val="18"/>
          <w:szCs w:val="18"/>
        </w:rPr>
        <w:t>Datum ontvangst Commissiedocument</w:t>
      </w:r>
    </w:p>
    <w:p w:rsidRPr="00214477" w:rsidR="00065DEA" w:rsidP="00214477" w:rsidRDefault="00065DEA" w14:paraId="573100F6" w14:textId="77777777">
      <w:pPr>
        <w:tabs>
          <w:tab w:val="left" w:pos="0"/>
          <w:tab w:val="left" w:pos="680"/>
          <w:tab w:val="left" w:pos="1021"/>
          <w:tab w:val="left" w:pos="1361"/>
          <w:tab w:val="left" w:pos="1701"/>
          <w:tab w:val="left" w:pos="3402"/>
        </w:tabs>
        <w:spacing w:line="360" w:lineRule="auto"/>
        <w:rPr>
          <w:rFonts w:ascii="Verdana" w:hAnsi="Verdana"/>
          <w:b/>
          <w:bCs/>
          <w:sz w:val="18"/>
          <w:szCs w:val="18"/>
        </w:rPr>
      </w:pPr>
      <w:r w:rsidRPr="00F75D72">
        <w:rPr>
          <w:rFonts w:ascii="Verdana" w:hAnsi="Verdana"/>
          <w:sz w:val="18"/>
          <w:szCs w:val="18"/>
        </w:rPr>
        <w:t>9 september 2026</w:t>
      </w:r>
    </w:p>
    <w:p w:rsidRPr="000A28A7" w:rsidR="00065DEA" w:rsidP="00065DEA" w:rsidRDefault="00065DEA" w14:paraId="0DFECC57" w14:textId="77777777">
      <w:pPr>
        <w:spacing w:line="360" w:lineRule="auto"/>
        <w:rPr>
          <w:rFonts w:ascii="Verdana" w:hAnsi="Verdana"/>
          <w:b/>
          <w:i/>
          <w:iCs/>
          <w:sz w:val="18"/>
          <w:szCs w:val="18"/>
        </w:rPr>
      </w:pPr>
    </w:p>
    <w:p w:rsidRPr="00214477" w:rsidR="00065DEA" w:rsidP="00214477" w:rsidRDefault="00065DEA" w14:paraId="02F1D976" w14:textId="77777777">
      <w:pPr>
        <w:numPr>
          <w:ilvl w:val="0"/>
          <w:numId w:val="9"/>
        </w:numPr>
        <w:spacing w:line="360" w:lineRule="auto"/>
        <w:rPr>
          <w:rFonts w:ascii="Verdana" w:hAnsi="Verdana"/>
          <w:i/>
          <w:iCs/>
          <w:sz w:val="18"/>
          <w:szCs w:val="18"/>
        </w:rPr>
      </w:pPr>
      <w:r w:rsidRPr="61B0A1F6">
        <w:rPr>
          <w:rFonts w:ascii="Verdana" w:hAnsi="Verdana"/>
          <w:i/>
          <w:iCs/>
          <w:sz w:val="18"/>
          <w:szCs w:val="18"/>
        </w:rPr>
        <w:t>Nr. Commissiedocument</w:t>
      </w:r>
    </w:p>
    <w:p w:rsidRPr="00F75D72" w:rsidR="00065DEA" w:rsidP="00065DEA" w:rsidRDefault="00065DEA" w14:paraId="13302BA8" w14:textId="77777777">
      <w:pPr>
        <w:spacing w:line="360" w:lineRule="auto"/>
        <w:rPr>
          <w:rFonts w:ascii="Verdana" w:hAnsi="Verdana"/>
          <w:sz w:val="18"/>
          <w:szCs w:val="18"/>
        </w:rPr>
      </w:pPr>
      <w:r w:rsidRPr="00F75D72">
        <w:rPr>
          <w:rFonts w:ascii="Verdana" w:hAnsi="Verdana"/>
          <w:sz w:val="18"/>
          <w:szCs w:val="18"/>
        </w:rPr>
        <w:t>COM(2026) 599</w:t>
      </w:r>
    </w:p>
    <w:p w:rsidRPr="000A28A7" w:rsidR="00065DEA" w:rsidP="00065DEA" w:rsidRDefault="00065DEA" w14:paraId="3A0790D2" w14:textId="77777777">
      <w:pPr>
        <w:spacing w:line="360" w:lineRule="auto"/>
        <w:rPr>
          <w:rFonts w:ascii="Verdana" w:hAnsi="Verdana"/>
          <w:b/>
          <w:i/>
          <w:iCs/>
          <w:sz w:val="18"/>
          <w:szCs w:val="18"/>
        </w:rPr>
      </w:pPr>
    </w:p>
    <w:p w:rsidRPr="00214477" w:rsidR="00065DEA" w:rsidP="00214477" w:rsidRDefault="00065DEA" w14:paraId="4F4B8907" w14:textId="77777777">
      <w:pPr>
        <w:numPr>
          <w:ilvl w:val="0"/>
          <w:numId w:val="9"/>
        </w:numPr>
        <w:spacing w:line="360" w:lineRule="auto"/>
        <w:rPr>
          <w:rFonts w:ascii="Verdana" w:hAnsi="Verdana"/>
          <w:i/>
          <w:iCs/>
          <w:sz w:val="18"/>
          <w:szCs w:val="18"/>
        </w:rPr>
      </w:pPr>
      <w:r w:rsidRPr="61B0A1F6">
        <w:rPr>
          <w:rFonts w:ascii="Verdana" w:hAnsi="Verdana"/>
          <w:i/>
          <w:iCs/>
          <w:sz w:val="18"/>
          <w:szCs w:val="18"/>
        </w:rPr>
        <w:t>EUR-lex</w:t>
      </w:r>
    </w:p>
    <w:p w:rsidR="00065DEA" w:rsidP="00065DEA" w:rsidRDefault="00065DEA" w14:paraId="1FD4A8FD" w14:textId="77777777">
      <w:pPr>
        <w:spacing w:line="360" w:lineRule="auto"/>
        <w:rPr>
          <w:rFonts w:ascii="Verdana" w:hAnsi="Verdana"/>
          <w:bCs/>
          <w:sz w:val="18"/>
          <w:szCs w:val="18"/>
        </w:rPr>
      </w:pPr>
      <w:hyperlink w:history="1" r:id="rId13">
        <w:r w:rsidRPr="00DF77E8">
          <w:rPr>
            <w:rStyle w:val="Hyperlink"/>
            <w:rFonts w:ascii="Verdana" w:hAnsi="Verdana"/>
            <w:bCs/>
            <w:sz w:val="18"/>
            <w:szCs w:val="18"/>
          </w:rPr>
          <w:t>https://eur-lex.europa.eu/legal-content/EN/TXT/?uri=COM%3A2026%3A599%3AFIN&amp;qid=1789023722179</w:t>
        </w:r>
      </w:hyperlink>
    </w:p>
    <w:p w:rsidRPr="00E234FE" w:rsidR="00065DEA" w:rsidP="00065DEA" w:rsidRDefault="00065DEA" w14:paraId="3C63A46A" w14:textId="77777777">
      <w:pPr>
        <w:spacing w:line="360" w:lineRule="auto"/>
        <w:rPr>
          <w:rFonts w:ascii="Verdana" w:hAnsi="Verdana"/>
          <w:bCs/>
          <w:sz w:val="18"/>
          <w:szCs w:val="18"/>
        </w:rPr>
      </w:pPr>
    </w:p>
    <w:p w:rsidRPr="00214477" w:rsidR="00065DEA" w:rsidP="00214477" w:rsidRDefault="00065DEA" w14:paraId="55A73A51" w14:textId="77777777">
      <w:pPr>
        <w:numPr>
          <w:ilvl w:val="0"/>
          <w:numId w:val="9"/>
        </w:numPr>
        <w:spacing w:line="360" w:lineRule="auto"/>
        <w:rPr>
          <w:rFonts w:ascii="Verdana" w:hAnsi="Verdana"/>
          <w:i/>
          <w:iCs/>
          <w:sz w:val="18"/>
          <w:szCs w:val="18"/>
        </w:rPr>
      </w:pPr>
      <w:r w:rsidRPr="61B0A1F6">
        <w:rPr>
          <w:rFonts w:ascii="Verdana" w:hAnsi="Verdana"/>
          <w:i/>
          <w:iCs/>
          <w:sz w:val="18"/>
          <w:szCs w:val="18"/>
        </w:rPr>
        <w:t xml:space="preserve">Nr. impact assessment Commissie en Opinie </w:t>
      </w:r>
      <w:r w:rsidRPr="00D56B7D">
        <w:rPr>
          <w:rFonts w:ascii="Verdana" w:hAnsi="Verdana"/>
          <w:i/>
          <w:iCs/>
          <w:sz w:val="18"/>
          <w:szCs w:val="18"/>
        </w:rPr>
        <w:t>Raad voor Regelgevingstoetsing</w:t>
      </w:r>
    </w:p>
    <w:p w:rsidRPr="000A28A7" w:rsidR="00065DEA" w:rsidP="00065DEA" w:rsidRDefault="00065DEA" w14:paraId="0B751E07" w14:textId="77777777">
      <w:pPr>
        <w:spacing w:line="360" w:lineRule="auto"/>
        <w:rPr>
          <w:rFonts w:ascii="Verdana" w:hAnsi="Verdana"/>
          <w:sz w:val="18"/>
          <w:szCs w:val="18"/>
          <w:lang w:eastAsia="nl-NL"/>
        </w:rPr>
      </w:pPr>
      <w:r w:rsidRPr="00C956F6">
        <w:rPr>
          <w:rFonts w:ascii="Verdana" w:hAnsi="Verdana"/>
          <w:sz w:val="18"/>
          <w:szCs w:val="18"/>
          <w:lang w:eastAsia="nl-NL"/>
        </w:rPr>
        <w:t xml:space="preserve">SWD(2026) 606 </w:t>
      </w:r>
      <w:proofErr w:type="spellStart"/>
      <w:r w:rsidRPr="00C956F6">
        <w:rPr>
          <w:rFonts w:ascii="Verdana" w:hAnsi="Verdana"/>
          <w:sz w:val="18"/>
          <w:szCs w:val="18"/>
          <w:lang w:eastAsia="nl-NL"/>
        </w:rPr>
        <w:t>final</w:t>
      </w:r>
      <w:proofErr w:type="spellEnd"/>
      <w:r>
        <w:rPr>
          <w:rFonts w:ascii="Verdana" w:hAnsi="Verdana"/>
          <w:sz w:val="18"/>
          <w:szCs w:val="18"/>
          <w:lang w:eastAsia="nl-NL"/>
        </w:rPr>
        <w:t xml:space="preserve">; </w:t>
      </w:r>
      <w:r w:rsidRPr="00C956F6">
        <w:rPr>
          <w:rFonts w:ascii="Verdana" w:hAnsi="Verdana"/>
          <w:sz w:val="18"/>
          <w:szCs w:val="18"/>
          <w:lang w:eastAsia="nl-NL"/>
        </w:rPr>
        <w:t xml:space="preserve">SEC(2026) 599 </w:t>
      </w:r>
      <w:proofErr w:type="spellStart"/>
      <w:r w:rsidRPr="00C956F6">
        <w:rPr>
          <w:rFonts w:ascii="Verdana" w:hAnsi="Verdana"/>
          <w:sz w:val="18"/>
          <w:szCs w:val="18"/>
          <w:lang w:eastAsia="nl-NL"/>
        </w:rPr>
        <w:t>final</w:t>
      </w:r>
      <w:proofErr w:type="spellEnd"/>
      <w:r w:rsidRPr="000A28A7">
        <w:rPr>
          <w:rFonts w:ascii="Verdana" w:hAnsi="Verdana"/>
          <w:sz w:val="18"/>
          <w:szCs w:val="18"/>
          <w:lang w:eastAsia="nl-NL"/>
        </w:rPr>
        <w:br/>
      </w:r>
    </w:p>
    <w:p w:rsidRPr="00214477" w:rsidR="00065DEA" w:rsidP="00214477" w:rsidRDefault="00065DEA" w14:paraId="270DBBE6" w14:textId="77777777">
      <w:pPr>
        <w:numPr>
          <w:ilvl w:val="0"/>
          <w:numId w:val="9"/>
        </w:numPr>
        <w:spacing w:line="360" w:lineRule="auto"/>
        <w:rPr>
          <w:rFonts w:ascii="Verdana" w:hAnsi="Verdana"/>
          <w:i/>
          <w:iCs/>
          <w:sz w:val="18"/>
          <w:szCs w:val="18"/>
        </w:rPr>
      </w:pPr>
      <w:r w:rsidRPr="61B0A1F6">
        <w:rPr>
          <w:rFonts w:ascii="Verdana" w:hAnsi="Verdana"/>
          <w:i/>
          <w:iCs/>
          <w:sz w:val="18"/>
          <w:szCs w:val="18"/>
        </w:rPr>
        <w:t>Behandelingstraject Raad</w:t>
      </w:r>
    </w:p>
    <w:p w:rsidRPr="00F75D72" w:rsidR="00065DEA" w:rsidP="00065DEA" w:rsidRDefault="00065DEA" w14:paraId="54EE39B9" w14:textId="6EFB0E3B">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sidRPr="00F75D72">
        <w:rPr>
          <w:rFonts w:ascii="Verdana" w:hAnsi="Verdana"/>
          <w:sz w:val="18"/>
          <w:szCs w:val="18"/>
        </w:rPr>
        <w:t xml:space="preserve">Raad </w:t>
      </w:r>
      <w:r w:rsidR="008B2FEA">
        <w:rPr>
          <w:rFonts w:ascii="Verdana" w:hAnsi="Verdana"/>
          <w:sz w:val="18"/>
          <w:szCs w:val="18"/>
        </w:rPr>
        <w:t>C</w:t>
      </w:r>
      <w:r w:rsidRPr="00F75D72">
        <w:rPr>
          <w:rFonts w:ascii="Verdana" w:hAnsi="Verdana"/>
          <w:sz w:val="18"/>
          <w:szCs w:val="18"/>
        </w:rPr>
        <w:t>oncurrentievermogen</w:t>
      </w:r>
    </w:p>
    <w:p w:rsidRPr="000A28A7" w:rsidR="00065DEA" w:rsidP="00065DEA" w:rsidRDefault="00065DEA" w14:paraId="52295FDF" w14:textId="77777777">
      <w:pPr>
        <w:spacing w:line="360" w:lineRule="auto"/>
        <w:rPr>
          <w:rFonts w:ascii="Verdana" w:hAnsi="Verdana"/>
          <w:i/>
          <w:iCs/>
          <w:sz w:val="18"/>
          <w:szCs w:val="18"/>
        </w:rPr>
      </w:pPr>
    </w:p>
    <w:p w:rsidRPr="00214477" w:rsidR="00065DEA" w:rsidP="00214477" w:rsidRDefault="00065DEA" w14:paraId="184FDCE9" w14:textId="77777777">
      <w:pPr>
        <w:numPr>
          <w:ilvl w:val="0"/>
          <w:numId w:val="9"/>
        </w:numPr>
        <w:spacing w:line="360" w:lineRule="auto"/>
        <w:rPr>
          <w:rFonts w:ascii="Verdana" w:hAnsi="Verdana"/>
          <w:i/>
          <w:iCs/>
          <w:sz w:val="18"/>
          <w:szCs w:val="18"/>
        </w:rPr>
      </w:pPr>
      <w:r w:rsidRPr="00D56B7D">
        <w:rPr>
          <w:rFonts w:ascii="Verdana" w:hAnsi="Verdana"/>
          <w:i/>
          <w:iCs/>
          <w:sz w:val="18"/>
          <w:szCs w:val="18"/>
        </w:rPr>
        <w:t>Eerstverantwoordelijk ministerie</w:t>
      </w:r>
    </w:p>
    <w:p w:rsidRPr="00F75D72" w:rsidR="00065DEA" w:rsidP="00065DEA" w:rsidRDefault="00065DEA" w14:paraId="4ADA8387" w14:textId="77777777">
      <w:pPr>
        <w:spacing w:line="360" w:lineRule="auto"/>
        <w:rPr>
          <w:rFonts w:ascii="Verdana" w:hAnsi="Verdana"/>
          <w:sz w:val="18"/>
          <w:szCs w:val="18"/>
        </w:rPr>
      </w:pPr>
      <w:r w:rsidRPr="00F75D72">
        <w:rPr>
          <w:rFonts w:ascii="Verdana" w:hAnsi="Verdana"/>
          <w:sz w:val="18"/>
          <w:szCs w:val="18"/>
        </w:rPr>
        <w:t xml:space="preserve">Ministerie van Binnenlandse Zaken en Koninkrijksrelaties </w:t>
      </w:r>
    </w:p>
    <w:p w:rsidRPr="005073F8" w:rsidR="00065DEA" w:rsidP="00065DEA" w:rsidRDefault="00065DEA" w14:paraId="3BF4A451" w14:textId="77777777">
      <w:pPr>
        <w:spacing w:line="360" w:lineRule="auto"/>
        <w:rPr>
          <w:rFonts w:ascii="Verdana" w:hAnsi="Verdana"/>
          <w:iCs/>
          <w:sz w:val="18"/>
          <w:szCs w:val="18"/>
        </w:rPr>
      </w:pPr>
    </w:p>
    <w:p w:rsidRPr="00214477" w:rsidR="00065DEA" w:rsidP="00214477" w:rsidRDefault="00065DEA" w14:paraId="33507BD6" w14:textId="77777777">
      <w:pPr>
        <w:numPr>
          <w:ilvl w:val="0"/>
          <w:numId w:val="9"/>
        </w:numPr>
        <w:tabs>
          <w:tab w:val="left" w:pos="-426"/>
          <w:tab w:val="left" w:pos="142"/>
          <w:tab w:val="left" w:pos="340"/>
          <w:tab w:val="left" w:pos="680"/>
          <w:tab w:val="left" w:pos="1021"/>
          <w:tab w:val="left" w:pos="1361"/>
          <w:tab w:val="left" w:pos="1701"/>
          <w:tab w:val="left" w:pos="3402"/>
        </w:tabs>
        <w:suppressAutoHyphens/>
        <w:spacing w:line="360" w:lineRule="auto"/>
        <w:rPr>
          <w:rFonts w:ascii="Verdana" w:hAnsi="Verdana"/>
          <w:i/>
          <w:iCs/>
          <w:sz w:val="18"/>
          <w:szCs w:val="18"/>
        </w:rPr>
      </w:pPr>
      <w:r w:rsidRPr="00D56B7D">
        <w:rPr>
          <w:rFonts w:ascii="Verdana" w:hAnsi="Verdana"/>
          <w:i/>
          <w:iCs/>
          <w:sz w:val="18"/>
          <w:szCs w:val="18"/>
        </w:rPr>
        <w:t>Rechtsbasis</w:t>
      </w:r>
    </w:p>
    <w:p w:rsidRPr="00F75D72" w:rsidR="00065DEA" w:rsidP="00065DEA" w:rsidRDefault="00065DEA" w14:paraId="31AB945D" w14:textId="77777777">
      <w:pPr>
        <w:tabs>
          <w:tab w:val="left" w:pos="-426"/>
          <w:tab w:val="left" w:pos="142"/>
          <w:tab w:val="left" w:pos="340"/>
          <w:tab w:val="left" w:pos="680"/>
          <w:tab w:val="left" w:pos="1021"/>
          <w:tab w:val="left" w:pos="1361"/>
          <w:tab w:val="left" w:pos="1701"/>
          <w:tab w:val="left" w:pos="3402"/>
        </w:tabs>
        <w:suppressAutoHyphens/>
        <w:spacing w:line="360" w:lineRule="auto"/>
        <w:rPr>
          <w:rFonts w:ascii="Verdana" w:hAnsi="Verdana"/>
          <w:sz w:val="18"/>
          <w:szCs w:val="18"/>
        </w:rPr>
      </w:pPr>
      <w:r w:rsidRPr="00F75D72">
        <w:rPr>
          <w:rFonts w:ascii="Verdana" w:hAnsi="Verdana"/>
          <w:sz w:val="18"/>
          <w:szCs w:val="18"/>
        </w:rPr>
        <w:t>Artikel 114 Verdrag betreffende de Werking van de Europese Unie (VWEU)</w:t>
      </w:r>
    </w:p>
    <w:p w:rsidRPr="000A28A7" w:rsidR="00065DEA" w:rsidP="00065DEA" w:rsidRDefault="00065DEA" w14:paraId="1E67828A" w14:textId="77777777">
      <w:pPr>
        <w:tabs>
          <w:tab w:val="left" w:pos="-426"/>
          <w:tab w:val="left" w:pos="142"/>
          <w:tab w:val="left" w:pos="340"/>
          <w:tab w:val="left" w:pos="680"/>
          <w:tab w:val="left" w:pos="1021"/>
          <w:tab w:val="left" w:pos="1361"/>
          <w:tab w:val="left" w:pos="1701"/>
          <w:tab w:val="left" w:pos="3402"/>
        </w:tabs>
        <w:suppressAutoHyphens/>
        <w:spacing w:line="360" w:lineRule="auto"/>
        <w:rPr>
          <w:rFonts w:ascii="Verdana" w:hAnsi="Verdana"/>
          <w:i/>
          <w:sz w:val="18"/>
          <w:szCs w:val="18"/>
        </w:rPr>
      </w:pPr>
    </w:p>
    <w:p w:rsidRPr="00214477" w:rsidR="00065DEA" w:rsidP="00214477" w:rsidRDefault="00065DEA" w14:paraId="040797F1" w14:textId="77777777">
      <w:pPr>
        <w:numPr>
          <w:ilvl w:val="0"/>
          <w:numId w:val="9"/>
        </w:numPr>
        <w:tabs>
          <w:tab w:val="left" w:pos="-426"/>
          <w:tab w:val="left" w:pos="142"/>
          <w:tab w:val="left" w:pos="340"/>
          <w:tab w:val="left" w:pos="680"/>
          <w:tab w:val="left" w:pos="1021"/>
          <w:tab w:val="left" w:pos="1361"/>
          <w:tab w:val="left" w:pos="1701"/>
          <w:tab w:val="left" w:pos="3402"/>
        </w:tabs>
        <w:suppressAutoHyphens/>
        <w:spacing w:line="360" w:lineRule="auto"/>
        <w:rPr>
          <w:rFonts w:ascii="Verdana" w:hAnsi="Verdana"/>
          <w:i/>
          <w:iCs/>
          <w:sz w:val="18"/>
          <w:szCs w:val="18"/>
        </w:rPr>
      </w:pPr>
      <w:r w:rsidRPr="00D56B7D">
        <w:rPr>
          <w:rFonts w:ascii="Verdana" w:hAnsi="Verdana"/>
          <w:i/>
          <w:iCs/>
          <w:sz w:val="18"/>
          <w:szCs w:val="18"/>
        </w:rPr>
        <w:t xml:space="preserve"> Besluitvormingsprocedure Raad </w:t>
      </w:r>
    </w:p>
    <w:p w:rsidRPr="00214477" w:rsidR="00065DEA" w:rsidP="00214477" w:rsidRDefault="00065DEA" w14:paraId="325CA7AF" w14:textId="77777777">
      <w:pPr>
        <w:spacing w:line="360" w:lineRule="auto"/>
        <w:rPr>
          <w:rFonts w:ascii="Verdana" w:hAnsi="Verdana"/>
          <w:i/>
          <w:iCs/>
          <w:sz w:val="18"/>
          <w:szCs w:val="18"/>
        </w:rPr>
      </w:pPr>
      <w:r w:rsidRPr="00F75D72">
        <w:rPr>
          <w:rFonts w:ascii="Verdana" w:hAnsi="Verdana"/>
          <w:sz w:val="18"/>
          <w:szCs w:val="18"/>
        </w:rPr>
        <w:t>Gekwalificeerde</w:t>
      </w:r>
      <w:r>
        <w:rPr>
          <w:rFonts w:ascii="Verdana" w:hAnsi="Verdana"/>
          <w:sz w:val="18"/>
          <w:szCs w:val="18"/>
        </w:rPr>
        <w:t xml:space="preserve"> meerderheid</w:t>
      </w:r>
    </w:p>
    <w:p w:rsidRPr="000A28A7" w:rsidR="00065DEA" w:rsidP="00065DEA" w:rsidRDefault="00065DEA" w14:paraId="2799A1B8" w14:textId="77777777">
      <w:pPr>
        <w:spacing w:line="360" w:lineRule="auto"/>
        <w:rPr>
          <w:rFonts w:ascii="Verdana" w:hAnsi="Verdana"/>
          <w:iCs/>
          <w:sz w:val="18"/>
          <w:szCs w:val="18"/>
        </w:rPr>
      </w:pPr>
    </w:p>
    <w:p w:rsidRPr="00214477" w:rsidR="00065DEA" w:rsidP="00214477" w:rsidRDefault="00065DEA" w14:paraId="4BDDCBB6" w14:textId="77777777">
      <w:pPr>
        <w:numPr>
          <w:ilvl w:val="0"/>
          <w:numId w:val="9"/>
        </w:numPr>
        <w:spacing w:line="360" w:lineRule="auto"/>
        <w:rPr>
          <w:rFonts w:ascii="Verdana" w:hAnsi="Verdana"/>
          <w:i/>
          <w:iCs/>
          <w:sz w:val="18"/>
          <w:szCs w:val="18"/>
        </w:rPr>
      </w:pPr>
      <w:r w:rsidRPr="00D56B7D">
        <w:rPr>
          <w:rFonts w:ascii="Verdana" w:hAnsi="Verdana"/>
          <w:i/>
          <w:iCs/>
          <w:sz w:val="18"/>
          <w:szCs w:val="18"/>
        </w:rPr>
        <w:t>Rol Europees Parlement</w:t>
      </w:r>
    </w:p>
    <w:p w:rsidRPr="00214477" w:rsidR="00065DEA" w:rsidP="00214477" w:rsidRDefault="00065DEA" w14:paraId="16DCE3FB" w14:textId="77777777">
      <w:pPr>
        <w:spacing w:line="360" w:lineRule="auto"/>
        <w:rPr>
          <w:rFonts w:ascii="Verdana" w:hAnsi="Verdana"/>
          <w:i/>
          <w:iCs/>
          <w:sz w:val="18"/>
          <w:szCs w:val="18"/>
        </w:rPr>
      </w:pPr>
      <w:r w:rsidRPr="7DE0D1B9">
        <w:rPr>
          <w:rFonts w:ascii="Verdana" w:hAnsi="Verdana"/>
          <w:sz w:val="18"/>
          <w:szCs w:val="18"/>
        </w:rPr>
        <w:t>Medebeslissing</w:t>
      </w:r>
    </w:p>
    <w:p w:rsidRPr="000A28A7" w:rsidR="00065DEA" w:rsidP="00065DEA" w:rsidRDefault="00065DEA" w14:paraId="3322C603" w14:textId="77777777">
      <w:pPr>
        <w:spacing w:line="360" w:lineRule="auto"/>
        <w:ind w:left="720"/>
        <w:rPr>
          <w:rFonts w:ascii="Verdana" w:hAnsi="Verdana"/>
          <w:iCs/>
          <w:sz w:val="18"/>
          <w:szCs w:val="18"/>
        </w:rPr>
      </w:pPr>
    </w:p>
    <w:p w:rsidRPr="00214477" w:rsidR="00065DEA" w:rsidP="00214477" w:rsidRDefault="00065DEA" w14:paraId="581332E9" w14:textId="77777777">
      <w:pPr>
        <w:numPr>
          <w:ilvl w:val="0"/>
          <w:numId w:val="8"/>
        </w:numPr>
        <w:spacing w:line="360" w:lineRule="auto"/>
        <w:rPr>
          <w:rFonts w:ascii="Verdana" w:hAnsi="Verdana"/>
          <w:b/>
          <w:bCs/>
          <w:sz w:val="18"/>
          <w:szCs w:val="18"/>
        </w:rPr>
      </w:pPr>
      <w:r w:rsidRPr="00D56B7D">
        <w:rPr>
          <w:rFonts w:ascii="Verdana" w:hAnsi="Verdana"/>
          <w:b/>
          <w:bCs/>
          <w:sz w:val="18"/>
          <w:szCs w:val="18"/>
        </w:rPr>
        <w:t xml:space="preserve">Essentie voorstel </w:t>
      </w:r>
    </w:p>
    <w:p w:rsidRPr="00214477" w:rsidR="00065DEA" w:rsidRDefault="00065DEA" w14:paraId="7394FBF8" w14:textId="77777777">
      <w:pPr>
        <w:pStyle w:val="Spreekpunten"/>
        <w:numPr>
          <w:ilvl w:val="0"/>
          <w:numId w:val="3"/>
        </w:numPr>
        <w:rPr>
          <w:rFonts w:ascii="Verdana" w:hAnsi="Verdana"/>
          <w:i/>
          <w:iCs/>
          <w:sz w:val="18"/>
          <w:szCs w:val="18"/>
          <w:lang w:val="nl-NL" w:eastAsia="zh-CN"/>
        </w:rPr>
      </w:pPr>
      <w:r w:rsidRPr="61B0A1F6">
        <w:rPr>
          <w:rFonts w:ascii="Verdana" w:hAnsi="Verdana"/>
          <w:i/>
          <w:iCs/>
          <w:sz w:val="18"/>
          <w:szCs w:val="18"/>
          <w:lang w:val="nl-NL" w:eastAsia="zh-CN"/>
        </w:rPr>
        <w:t>Inhoud voorstel</w:t>
      </w:r>
    </w:p>
    <w:p w:rsidR="00EA7E3A" w:rsidP="00065DEA" w:rsidRDefault="00065DEA" w14:paraId="069FA504" w14:textId="77777777">
      <w:pPr>
        <w:pStyle w:val="Spreekpunten"/>
        <w:numPr>
          <w:ilvl w:val="0"/>
          <w:numId w:val="0"/>
        </w:numPr>
        <w:rPr>
          <w:rFonts w:ascii="Verdana" w:hAnsi="Verdana"/>
          <w:sz w:val="18"/>
          <w:szCs w:val="18"/>
          <w:lang w:val="nl-NL"/>
        </w:rPr>
      </w:pPr>
      <w:r w:rsidRPr="74BABF72">
        <w:rPr>
          <w:rFonts w:ascii="Verdana" w:hAnsi="Verdana"/>
          <w:sz w:val="18"/>
          <w:szCs w:val="18"/>
          <w:lang w:val="nl-NL"/>
        </w:rPr>
        <w:t>Op 9 september 2026 publiceerde de Europese Commissie (hierna: Commissie) de</w:t>
      </w:r>
      <w:r w:rsidR="00A16831">
        <w:rPr>
          <w:rFonts w:ascii="Verdana" w:hAnsi="Verdana"/>
          <w:sz w:val="18"/>
          <w:szCs w:val="18"/>
          <w:lang w:val="nl-NL"/>
        </w:rPr>
        <w:t xml:space="preserve"> Verordening betaalbaar wonen (</w:t>
      </w:r>
      <w:proofErr w:type="spellStart"/>
      <w:r w:rsidRPr="00D56B7D" w:rsidR="00A16831">
        <w:rPr>
          <w:rFonts w:ascii="Verdana" w:hAnsi="Verdana"/>
          <w:i/>
          <w:iCs/>
          <w:sz w:val="18"/>
          <w:szCs w:val="18"/>
          <w:lang w:val="nl-NL"/>
        </w:rPr>
        <w:t>Affordable</w:t>
      </w:r>
      <w:proofErr w:type="spellEnd"/>
      <w:r w:rsidRPr="00D56B7D" w:rsidR="00A16831">
        <w:rPr>
          <w:rFonts w:ascii="Verdana" w:hAnsi="Verdana"/>
          <w:i/>
          <w:iCs/>
          <w:sz w:val="18"/>
          <w:szCs w:val="18"/>
          <w:lang w:val="nl-NL"/>
        </w:rPr>
        <w:t xml:space="preserve"> </w:t>
      </w:r>
      <w:proofErr w:type="spellStart"/>
      <w:r w:rsidRPr="00D56B7D" w:rsidR="00A16831">
        <w:rPr>
          <w:rFonts w:ascii="Verdana" w:hAnsi="Verdana"/>
          <w:i/>
          <w:iCs/>
          <w:sz w:val="18"/>
          <w:szCs w:val="18"/>
          <w:lang w:val="nl-NL"/>
        </w:rPr>
        <w:t>Housing</w:t>
      </w:r>
      <w:proofErr w:type="spellEnd"/>
      <w:r w:rsidRPr="00D56B7D" w:rsidR="00A16831">
        <w:rPr>
          <w:rFonts w:ascii="Verdana" w:hAnsi="Verdana"/>
          <w:i/>
          <w:iCs/>
          <w:sz w:val="18"/>
          <w:szCs w:val="18"/>
          <w:lang w:val="nl-NL"/>
        </w:rPr>
        <w:t xml:space="preserve"> Act</w:t>
      </w:r>
      <w:r w:rsidR="00A16831">
        <w:rPr>
          <w:rFonts w:ascii="Verdana" w:hAnsi="Verdana"/>
          <w:sz w:val="18"/>
          <w:szCs w:val="18"/>
          <w:lang w:val="nl-NL"/>
        </w:rPr>
        <w:t>,</w:t>
      </w:r>
      <w:r w:rsidR="00DF388A">
        <w:rPr>
          <w:rFonts w:ascii="Verdana" w:hAnsi="Verdana"/>
          <w:sz w:val="18"/>
          <w:szCs w:val="18"/>
          <w:lang w:val="nl-NL"/>
        </w:rPr>
        <w:t xml:space="preserve"> </w:t>
      </w:r>
      <w:r w:rsidRPr="74BABF72">
        <w:rPr>
          <w:rFonts w:ascii="Verdana" w:hAnsi="Verdana"/>
          <w:sz w:val="18"/>
          <w:szCs w:val="18"/>
          <w:lang w:val="nl-NL"/>
        </w:rPr>
        <w:t xml:space="preserve">hierna: AHA). Het voorstel is gepubliceerd samen met een aanbeveling over betaalbaarheid en aanbod van woningen in </w:t>
      </w:r>
      <w:r>
        <w:rPr>
          <w:rFonts w:ascii="Verdana" w:hAnsi="Verdana"/>
          <w:sz w:val="18"/>
          <w:szCs w:val="18"/>
          <w:lang w:val="nl-NL"/>
        </w:rPr>
        <w:t>gebieden waar sprake is van een overspannen woningmarkt</w:t>
      </w:r>
      <w:r w:rsidRPr="74BABF72">
        <w:rPr>
          <w:rFonts w:ascii="Verdana" w:hAnsi="Verdana"/>
          <w:sz w:val="18"/>
          <w:szCs w:val="18"/>
          <w:lang w:val="nl-NL"/>
        </w:rPr>
        <w:t xml:space="preserve"> </w:t>
      </w:r>
      <w:r w:rsidR="00A16831">
        <w:rPr>
          <w:rFonts w:ascii="Verdana" w:hAnsi="Verdana"/>
          <w:sz w:val="18"/>
          <w:szCs w:val="18"/>
          <w:lang w:val="nl-NL"/>
        </w:rPr>
        <w:t>(</w:t>
      </w:r>
      <w:bookmarkStart w:name="_Hlk241139438" w:id="2"/>
      <w:r w:rsidR="00A16831">
        <w:rPr>
          <w:rFonts w:ascii="Verdana" w:hAnsi="Verdana"/>
          <w:sz w:val="18"/>
          <w:szCs w:val="18"/>
          <w:lang w:val="nl-NL"/>
        </w:rPr>
        <w:t>‘</w:t>
      </w:r>
      <w:proofErr w:type="spellStart"/>
      <w:r w:rsidRPr="5EC70747" w:rsidR="00A16831">
        <w:rPr>
          <w:rFonts w:ascii="Verdana" w:hAnsi="Verdana"/>
          <w:i/>
          <w:iCs/>
          <w:sz w:val="18"/>
          <w:szCs w:val="18"/>
          <w:lang w:val="nl-NL"/>
        </w:rPr>
        <w:t>areas</w:t>
      </w:r>
      <w:proofErr w:type="spellEnd"/>
      <w:r w:rsidRPr="5EC70747" w:rsidR="00A16831">
        <w:rPr>
          <w:rFonts w:ascii="Verdana" w:hAnsi="Verdana"/>
          <w:i/>
          <w:iCs/>
          <w:sz w:val="18"/>
          <w:szCs w:val="18"/>
          <w:lang w:val="nl-NL"/>
        </w:rPr>
        <w:t xml:space="preserve"> </w:t>
      </w:r>
      <w:proofErr w:type="spellStart"/>
      <w:r w:rsidRPr="5EC70747" w:rsidR="00A16831">
        <w:rPr>
          <w:rFonts w:ascii="Verdana" w:hAnsi="Verdana"/>
          <w:i/>
          <w:iCs/>
          <w:sz w:val="18"/>
          <w:szCs w:val="18"/>
          <w:lang w:val="nl-NL"/>
        </w:rPr>
        <w:t>under</w:t>
      </w:r>
      <w:proofErr w:type="spellEnd"/>
      <w:r w:rsidRPr="5EC70747" w:rsidR="00A16831">
        <w:rPr>
          <w:rFonts w:ascii="Verdana" w:hAnsi="Verdana"/>
          <w:i/>
          <w:iCs/>
          <w:sz w:val="18"/>
          <w:szCs w:val="18"/>
          <w:lang w:val="nl-NL"/>
        </w:rPr>
        <w:t xml:space="preserve"> </w:t>
      </w:r>
      <w:proofErr w:type="spellStart"/>
      <w:r w:rsidRPr="5EC70747" w:rsidR="00A16831">
        <w:rPr>
          <w:rFonts w:ascii="Verdana" w:hAnsi="Verdana"/>
          <w:i/>
          <w:iCs/>
          <w:sz w:val="18"/>
          <w:szCs w:val="18"/>
          <w:lang w:val="nl-NL"/>
        </w:rPr>
        <w:t>housing</w:t>
      </w:r>
      <w:proofErr w:type="spellEnd"/>
      <w:r w:rsidRPr="5EC70747" w:rsidR="00A16831">
        <w:rPr>
          <w:rFonts w:ascii="Verdana" w:hAnsi="Verdana"/>
          <w:i/>
          <w:iCs/>
          <w:sz w:val="18"/>
          <w:szCs w:val="18"/>
          <w:lang w:val="nl-NL"/>
        </w:rPr>
        <w:t xml:space="preserve"> stress</w:t>
      </w:r>
      <w:bookmarkEnd w:id="2"/>
      <w:r w:rsidR="00A16831">
        <w:rPr>
          <w:rFonts w:ascii="Verdana" w:hAnsi="Verdana"/>
          <w:sz w:val="18"/>
          <w:szCs w:val="18"/>
          <w:lang w:val="nl-NL"/>
        </w:rPr>
        <w:t>’)</w:t>
      </w:r>
      <w:r w:rsidRPr="00F75D72" w:rsidR="00A16831">
        <w:rPr>
          <w:rFonts w:ascii="Verdana" w:hAnsi="Verdana"/>
          <w:sz w:val="18"/>
          <w:szCs w:val="18"/>
          <w:lang w:val="nl-NL"/>
        </w:rPr>
        <w:t xml:space="preserve">. </w:t>
      </w:r>
      <w:r w:rsidRPr="74BABF72">
        <w:rPr>
          <w:rFonts w:ascii="Verdana" w:hAnsi="Verdana"/>
          <w:sz w:val="18"/>
          <w:szCs w:val="18"/>
          <w:lang w:val="nl-NL"/>
        </w:rPr>
        <w:t xml:space="preserve"> </w:t>
      </w:r>
    </w:p>
    <w:p w:rsidRPr="00F75D72" w:rsidR="00065DEA" w:rsidP="00065DEA" w:rsidRDefault="00065DEA" w14:paraId="35934571" w14:textId="71773E58">
      <w:pPr>
        <w:pStyle w:val="Spreekpunten"/>
        <w:numPr>
          <w:ilvl w:val="0"/>
          <w:numId w:val="0"/>
        </w:numPr>
        <w:rPr>
          <w:rFonts w:ascii="Verdana" w:hAnsi="Verdana"/>
          <w:sz w:val="18"/>
          <w:szCs w:val="18"/>
          <w:lang w:val="nl-NL"/>
        </w:rPr>
      </w:pPr>
      <w:r w:rsidRPr="74BABF72">
        <w:rPr>
          <w:rFonts w:ascii="Verdana" w:hAnsi="Verdana"/>
          <w:sz w:val="18"/>
          <w:szCs w:val="18"/>
          <w:lang w:val="nl-NL"/>
        </w:rPr>
        <w:lastRenderedPageBreak/>
        <w:t xml:space="preserve">De AHA introduceert een gemeenschappelijk kader voor nationale, regionale en lokale overheden om aan te tonen dat er in een specifiek gebied sprake is van </w:t>
      </w:r>
      <w:r>
        <w:rPr>
          <w:rFonts w:ascii="Verdana" w:hAnsi="Verdana"/>
          <w:sz w:val="18"/>
          <w:szCs w:val="18"/>
          <w:lang w:val="nl-NL"/>
        </w:rPr>
        <w:t>een overspannen woningmarkt</w:t>
      </w:r>
      <w:r w:rsidRPr="00F75D72">
        <w:rPr>
          <w:rFonts w:ascii="Verdana" w:hAnsi="Verdana"/>
          <w:sz w:val="18"/>
          <w:szCs w:val="18"/>
          <w:lang w:val="nl-NL"/>
        </w:rPr>
        <w:t>.</w:t>
      </w:r>
      <w:r w:rsidRPr="74BABF72">
        <w:rPr>
          <w:rFonts w:ascii="Verdana" w:hAnsi="Verdana"/>
          <w:sz w:val="18"/>
          <w:szCs w:val="18"/>
          <w:lang w:val="nl-NL"/>
        </w:rPr>
        <w:t xml:space="preserve"> </w:t>
      </w:r>
      <w:r w:rsidRPr="53A2864E" w:rsidR="005C6F35">
        <w:rPr>
          <w:rFonts w:ascii="Verdana" w:hAnsi="Verdana"/>
          <w:sz w:val="18"/>
          <w:szCs w:val="18"/>
          <w:lang w:val="nl-NL"/>
        </w:rPr>
        <w:t xml:space="preserve">Op basis van dit kader mag de bevoegde autoriteit maatregelen nemen om </w:t>
      </w:r>
      <w:proofErr w:type="spellStart"/>
      <w:r w:rsidRPr="53A2864E" w:rsidR="005C6F35">
        <w:rPr>
          <w:rFonts w:ascii="Verdana" w:hAnsi="Verdana"/>
          <w:sz w:val="18"/>
          <w:szCs w:val="18"/>
          <w:lang w:val="nl-NL"/>
        </w:rPr>
        <w:t>kortetermijnverhuur</w:t>
      </w:r>
      <w:proofErr w:type="spellEnd"/>
      <w:r w:rsidR="005B0D3F">
        <w:rPr>
          <w:rFonts w:ascii="Verdana" w:hAnsi="Verdana"/>
          <w:sz w:val="18"/>
          <w:szCs w:val="18"/>
          <w:lang w:val="nl-NL"/>
        </w:rPr>
        <w:t xml:space="preserve"> </w:t>
      </w:r>
      <w:r w:rsidRPr="005B0D3F" w:rsidR="005B0D3F">
        <w:rPr>
          <w:rFonts w:ascii="Verdana" w:hAnsi="Verdana"/>
          <w:sz w:val="18"/>
          <w:szCs w:val="18"/>
          <w:lang w:val="nl-NL"/>
        </w:rPr>
        <w:t xml:space="preserve">in te perken in </w:t>
      </w:r>
      <w:r w:rsidR="005B0D3F">
        <w:rPr>
          <w:rFonts w:ascii="Verdana" w:hAnsi="Verdana"/>
          <w:sz w:val="18"/>
          <w:szCs w:val="18"/>
          <w:lang w:val="nl-NL"/>
        </w:rPr>
        <w:t>woningen</w:t>
      </w:r>
      <w:r w:rsidR="005B0D3F">
        <w:rPr>
          <w:rStyle w:val="FootnoteReference"/>
          <w:rFonts w:ascii="Verdana" w:hAnsi="Verdana"/>
          <w:sz w:val="18"/>
          <w:szCs w:val="18"/>
          <w:lang w:val="nl-NL"/>
        </w:rPr>
        <w:footnoteReference w:id="1"/>
      </w:r>
      <w:r w:rsidR="00BC2C87">
        <w:rPr>
          <w:rFonts w:ascii="Verdana" w:hAnsi="Verdana"/>
          <w:sz w:val="18"/>
          <w:szCs w:val="18"/>
          <w:lang w:val="nl-NL"/>
        </w:rPr>
        <w:t xml:space="preserve"> </w:t>
      </w:r>
      <w:r w:rsidR="005B0D3F">
        <w:rPr>
          <w:rFonts w:ascii="Verdana" w:hAnsi="Verdana"/>
          <w:sz w:val="18"/>
          <w:szCs w:val="18"/>
          <w:lang w:val="nl-NL"/>
        </w:rPr>
        <w:t>die</w:t>
      </w:r>
      <w:r w:rsidRPr="005B0D3F" w:rsidR="005B0D3F">
        <w:rPr>
          <w:rFonts w:ascii="Verdana" w:hAnsi="Verdana"/>
          <w:sz w:val="18"/>
          <w:szCs w:val="18"/>
          <w:lang w:val="nl-NL"/>
        </w:rPr>
        <w:t xml:space="preserve"> niet voor de verhuurder de hoofdverblijfplaats </w:t>
      </w:r>
      <w:r w:rsidR="005B0D3F">
        <w:rPr>
          <w:rFonts w:ascii="Verdana" w:hAnsi="Verdana"/>
          <w:sz w:val="18"/>
          <w:szCs w:val="18"/>
          <w:lang w:val="nl-NL"/>
        </w:rPr>
        <w:t>vormen</w:t>
      </w:r>
      <w:r w:rsidR="005C6F35">
        <w:rPr>
          <w:rFonts w:ascii="Verdana" w:hAnsi="Verdana"/>
          <w:sz w:val="18"/>
          <w:szCs w:val="18"/>
          <w:lang w:val="nl-NL"/>
        </w:rPr>
        <w:t xml:space="preserve"> en</w:t>
      </w:r>
      <w:r w:rsidRPr="53A2864E" w:rsidR="005C6F35">
        <w:rPr>
          <w:rFonts w:ascii="Verdana" w:hAnsi="Verdana"/>
          <w:sz w:val="18"/>
          <w:szCs w:val="18"/>
          <w:lang w:val="nl-NL"/>
        </w:rPr>
        <w:t xml:space="preserve"> de verwerving van grond of woningen</w:t>
      </w:r>
      <w:r w:rsidR="00BC2C87">
        <w:rPr>
          <w:rFonts w:ascii="Verdana" w:hAnsi="Verdana"/>
          <w:sz w:val="18"/>
          <w:szCs w:val="18"/>
          <w:lang w:val="nl-NL"/>
        </w:rPr>
        <w:t xml:space="preserve"> </w:t>
      </w:r>
      <w:r w:rsidR="00702B95">
        <w:rPr>
          <w:rFonts w:ascii="Verdana" w:hAnsi="Verdana"/>
          <w:sz w:val="18"/>
          <w:szCs w:val="18"/>
          <w:lang w:val="nl-NL"/>
        </w:rPr>
        <w:t>die</w:t>
      </w:r>
      <w:r w:rsidRPr="008721E4" w:rsidR="008721E4">
        <w:rPr>
          <w:rFonts w:ascii="Verdana" w:hAnsi="Verdana"/>
          <w:sz w:val="18"/>
          <w:szCs w:val="18"/>
          <w:lang w:val="nl-NL"/>
        </w:rPr>
        <w:t xml:space="preserve"> niet als hoofverblijfplaats </w:t>
      </w:r>
      <w:r w:rsidR="00702B95">
        <w:rPr>
          <w:rFonts w:ascii="Verdana" w:hAnsi="Verdana"/>
          <w:sz w:val="18"/>
          <w:szCs w:val="18"/>
          <w:lang w:val="nl-NL"/>
        </w:rPr>
        <w:t>worden</w:t>
      </w:r>
      <w:r w:rsidRPr="008721E4" w:rsidR="008721E4">
        <w:rPr>
          <w:rFonts w:ascii="Verdana" w:hAnsi="Verdana"/>
          <w:sz w:val="18"/>
          <w:szCs w:val="18"/>
          <w:lang w:val="nl-NL"/>
        </w:rPr>
        <w:t xml:space="preserve"> gebruikt</w:t>
      </w:r>
      <w:r w:rsidRPr="53A2864E" w:rsidR="005C6F35">
        <w:rPr>
          <w:rFonts w:ascii="Verdana" w:hAnsi="Verdana"/>
          <w:sz w:val="18"/>
          <w:szCs w:val="18"/>
          <w:lang w:val="nl-NL"/>
        </w:rPr>
        <w:t xml:space="preserve">. </w:t>
      </w:r>
      <w:r w:rsidR="008721E4">
        <w:rPr>
          <w:rFonts w:ascii="Verdana" w:hAnsi="Verdana"/>
          <w:sz w:val="18"/>
          <w:szCs w:val="18"/>
          <w:lang w:val="nl-NL"/>
        </w:rPr>
        <w:t>Enkel voor</w:t>
      </w:r>
      <w:r w:rsidRPr="74BABF72" w:rsidR="008721E4">
        <w:rPr>
          <w:rFonts w:ascii="Verdana" w:hAnsi="Verdana"/>
          <w:sz w:val="18"/>
          <w:szCs w:val="18"/>
          <w:lang w:val="nl-NL"/>
        </w:rPr>
        <w:t xml:space="preserve"> </w:t>
      </w:r>
      <w:r w:rsidRPr="74BABF72">
        <w:rPr>
          <w:rFonts w:ascii="Verdana" w:hAnsi="Verdana"/>
          <w:sz w:val="18"/>
          <w:szCs w:val="18"/>
          <w:lang w:val="nl-NL"/>
        </w:rPr>
        <w:t xml:space="preserve">deze maatregelen vervangt de AHA de Dienstenrichtlijn als juridische grondslag, </w:t>
      </w:r>
      <w:r w:rsidRPr="74BABF72" w:rsidR="3854F840">
        <w:rPr>
          <w:rFonts w:ascii="Verdana" w:hAnsi="Verdana"/>
          <w:sz w:val="18"/>
          <w:szCs w:val="18"/>
          <w:lang w:val="nl-NL"/>
        </w:rPr>
        <w:t xml:space="preserve">voor zover deze maatregelen </w:t>
      </w:r>
      <w:r w:rsidRPr="74BABF72" w:rsidR="47772741">
        <w:rPr>
          <w:rFonts w:ascii="Verdana" w:hAnsi="Verdana"/>
          <w:sz w:val="18"/>
          <w:szCs w:val="18"/>
          <w:lang w:val="nl-NL"/>
        </w:rPr>
        <w:t xml:space="preserve">worden </w:t>
      </w:r>
      <w:r w:rsidRPr="74BABF72" w:rsidR="3854F840">
        <w:rPr>
          <w:rFonts w:ascii="Verdana" w:hAnsi="Verdana"/>
          <w:sz w:val="18"/>
          <w:szCs w:val="18"/>
          <w:lang w:val="nl-NL"/>
        </w:rPr>
        <w:t xml:space="preserve">genomen </w:t>
      </w:r>
      <w:r w:rsidRPr="74BABF72" w:rsidR="47772741">
        <w:rPr>
          <w:rFonts w:ascii="Verdana" w:hAnsi="Verdana"/>
          <w:sz w:val="18"/>
          <w:szCs w:val="18"/>
          <w:lang w:val="nl-NL"/>
        </w:rPr>
        <w:t xml:space="preserve">op </w:t>
      </w:r>
      <w:r w:rsidRPr="74BABF72">
        <w:rPr>
          <w:rFonts w:ascii="Verdana" w:hAnsi="Verdana"/>
          <w:sz w:val="18"/>
          <w:szCs w:val="18"/>
          <w:lang w:val="nl-NL"/>
        </w:rPr>
        <w:t>grond van het beschermen van beschikbaarheid en betaalbaarheid van woningen.</w:t>
      </w:r>
      <w:r>
        <w:rPr>
          <w:rFonts w:ascii="Verdana" w:hAnsi="Verdana"/>
          <w:sz w:val="18"/>
          <w:szCs w:val="18"/>
          <w:lang w:val="nl-NL"/>
        </w:rPr>
        <w:t xml:space="preserve"> Wanneer maatregelen op andere gronden worden genomen, zoals leefbaarheid, geldt de Dienstenrichtlijn. </w:t>
      </w:r>
      <w:r w:rsidR="008721E4">
        <w:rPr>
          <w:rFonts w:ascii="Verdana" w:hAnsi="Verdana"/>
          <w:sz w:val="18"/>
          <w:szCs w:val="18"/>
          <w:lang w:val="nl-NL"/>
        </w:rPr>
        <w:t xml:space="preserve">Ook wanneer maatregelen worden genomen om toeristische verhuur in het hoofdverblijf te reguleren, geldt de Dienstenrichtlijn. </w:t>
      </w:r>
      <w:r>
        <w:rPr>
          <w:rFonts w:ascii="Verdana" w:hAnsi="Verdana"/>
          <w:sz w:val="18"/>
          <w:szCs w:val="18"/>
          <w:lang w:val="nl-NL"/>
        </w:rPr>
        <w:t xml:space="preserve">De tekst geeft echter nog geen volledig uitsluitsel </w:t>
      </w:r>
      <w:r w:rsidR="009F3F25">
        <w:rPr>
          <w:rFonts w:ascii="Verdana" w:hAnsi="Verdana"/>
          <w:sz w:val="18"/>
          <w:szCs w:val="18"/>
          <w:lang w:val="nl-NL"/>
        </w:rPr>
        <w:t>over gevallen waarin sprake is van</w:t>
      </w:r>
      <w:r>
        <w:rPr>
          <w:rFonts w:ascii="Verdana" w:hAnsi="Verdana"/>
          <w:sz w:val="18"/>
          <w:szCs w:val="18"/>
          <w:lang w:val="nl-NL"/>
        </w:rPr>
        <w:t xml:space="preserve"> meerdere gronden (zowel beschikbaarheid en betaalbaarheid van woningen </w:t>
      </w:r>
      <w:r w:rsidR="00436494">
        <w:rPr>
          <w:rFonts w:ascii="Verdana" w:hAnsi="Verdana"/>
          <w:sz w:val="18"/>
          <w:szCs w:val="18"/>
          <w:lang w:val="nl-NL"/>
        </w:rPr>
        <w:t>als</w:t>
      </w:r>
      <w:r>
        <w:rPr>
          <w:rFonts w:ascii="Verdana" w:hAnsi="Verdana"/>
          <w:sz w:val="18"/>
          <w:szCs w:val="18"/>
          <w:lang w:val="nl-NL"/>
        </w:rPr>
        <w:t xml:space="preserve"> leefbaarheid).</w:t>
      </w:r>
      <w:r w:rsidRPr="00617505">
        <w:rPr>
          <w:rFonts w:ascii="Verdana" w:hAnsi="Verdana"/>
          <w:sz w:val="18"/>
          <w:szCs w:val="18"/>
          <w:lang w:val="nl-NL"/>
        </w:rPr>
        <w:t xml:space="preserve"> </w:t>
      </w:r>
    </w:p>
    <w:p w:rsidR="00065DEA" w:rsidP="00065DEA" w:rsidRDefault="00065DEA" w14:paraId="6DDBCCB3" w14:textId="77777777">
      <w:pPr>
        <w:pStyle w:val="Spreekpunten"/>
        <w:numPr>
          <w:ilvl w:val="0"/>
          <w:numId w:val="0"/>
        </w:numPr>
        <w:rPr>
          <w:rFonts w:ascii="Verdana" w:hAnsi="Verdana"/>
          <w:iCs/>
          <w:sz w:val="18"/>
          <w:szCs w:val="18"/>
          <w:lang w:val="nl-NL"/>
        </w:rPr>
      </w:pPr>
    </w:p>
    <w:p w:rsidRPr="00F75D72" w:rsidR="00065DEA" w:rsidP="00065DEA" w:rsidRDefault="00065DEA" w14:paraId="2448E843" w14:textId="77777777">
      <w:pPr>
        <w:pStyle w:val="Spreekpunten"/>
        <w:numPr>
          <w:ilvl w:val="0"/>
          <w:numId w:val="0"/>
        </w:numPr>
        <w:rPr>
          <w:rFonts w:ascii="Verdana" w:hAnsi="Verdana"/>
          <w:sz w:val="18"/>
          <w:szCs w:val="18"/>
          <w:lang w:val="nl-NL"/>
        </w:rPr>
      </w:pPr>
      <w:r w:rsidRPr="00F75D72">
        <w:rPr>
          <w:rFonts w:ascii="Verdana" w:hAnsi="Verdana"/>
          <w:sz w:val="18"/>
          <w:szCs w:val="18"/>
          <w:lang w:val="nl-NL"/>
        </w:rPr>
        <w:t>Volgens de Commissie is een gemeenschappelijk kader nodig, omdat in de huidige situatie uiteenlopende nationale en lokale beoordelingskaders worden gebruikt om maatregelen die beschikbaarheid en betaalbaarheid van woningen verbeteren te rechtvaardigen. Dat kan leiden tot verschillen in de toepassing van het Unierecht en daarmee tot rechtsonzekerheid voor overheden, burgers en marktpartijen. De Commissie is van mening dat een gemeenschappelijk kader kan bijdragen aan een gelijk speelveld en een meer consistente toepassing van de regels van de interne markt.</w:t>
      </w:r>
    </w:p>
    <w:p w:rsidR="00065DEA" w:rsidP="00065DEA" w:rsidRDefault="00065DEA" w14:paraId="1C032849" w14:textId="77777777">
      <w:pPr>
        <w:pStyle w:val="Spreekpunten"/>
        <w:numPr>
          <w:ilvl w:val="0"/>
          <w:numId w:val="0"/>
        </w:numPr>
        <w:rPr>
          <w:rFonts w:ascii="Verdana" w:hAnsi="Verdana"/>
          <w:i/>
          <w:sz w:val="18"/>
          <w:szCs w:val="18"/>
          <w:lang w:val="nl-NL"/>
        </w:rPr>
      </w:pPr>
    </w:p>
    <w:p w:rsidR="00E05635" w:rsidP="00065DEA" w:rsidRDefault="00065DEA" w14:paraId="6FAEEE0D" w14:textId="082F5738">
      <w:pPr>
        <w:pStyle w:val="Spreekpunten"/>
        <w:numPr>
          <w:ilvl w:val="0"/>
          <w:numId w:val="0"/>
        </w:numPr>
        <w:rPr>
          <w:rFonts w:ascii="Verdana" w:hAnsi="Verdana"/>
          <w:sz w:val="18"/>
          <w:szCs w:val="18"/>
          <w:lang w:val="nl-NL"/>
        </w:rPr>
      </w:pPr>
      <w:r w:rsidRPr="2983B339">
        <w:rPr>
          <w:rFonts w:ascii="Verdana" w:hAnsi="Verdana"/>
          <w:sz w:val="18"/>
          <w:szCs w:val="18"/>
          <w:lang w:val="nl-NL"/>
        </w:rPr>
        <w:t xml:space="preserve">De </w:t>
      </w:r>
      <w:r w:rsidRPr="2983B339" w:rsidR="45344591">
        <w:rPr>
          <w:rFonts w:ascii="Verdana" w:hAnsi="Verdana"/>
          <w:sz w:val="18"/>
          <w:szCs w:val="18"/>
          <w:lang w:val="nl-NL"/>
        </w:rPr>
        <w:t>AHA</w:t>
      </w:r>
      <w:r w:rsidRPr="2983B339">
        <w:rPr>
          <w:rFonts w:ascii="Verdana" w:hAnsi="Verdana"/>
          <w:sz w:val="18"/>
          <w:szCs w:val="18"/>
          <w:lang w:val="nl-NL"/>
        </w:rPr>
        <w:t xml:space="preserve"> is van toepassing op twee categorieën maatregelen. Ten eerste gaat het om maatregelen die de toegang tot of het aanbieden van </w:t>
      </w:r>
      <w:proofErr w:type="spellStart"/>
      <w:r w:rsidRPr="2983B339">
        <w:rPr>
          <w:rFonts w:ascii="Verdana" w:hAnsi="Verdana"/>
          <w:sz w:val="18"/>
          <w:szCs w:val="18"/>
          <w:lang w:val="nl-NL"/>
        </w:rPr>
        <w:t>kortetermijnverhuur</w:t>
      </w:r>
      <w:proofErr w:type="spellEnd"/>
      <w:r w:rsidRPr="2983B339">
        <w:rPr>
          <w:rFonts w:ascii="Verdana" w:hAnsi="Verdana"/>
          <w:sz w:val="18"/>
          <w:szCs w:val="18"/>
          <w:lang w:val="nl-NL"/>
        </w:rPr>
        <w:t xml:space="preserve"> van woonruimte beperken</w:t>
      </w:r>
      <w:r w:rsidR="0085307D">
        <w:rPr>
          <w:rFonts w:ascii="Verdana" w:hAnsi="Verdana"/>
          <w:sz w:val="18"/>
          <w:szCs w:val="18"/>
          <w:lang w:val="nl-NL"/>
        </w:rPr>
        <w:t>.</w:t>
      </w:r>
      <w:r w:rsidRPr="2983B339">
        <w:rPr>
          <w:rFonts w:ascii="Verdana" w:hAnsi="Verdana"/>
          <w:sz w:val="18"/>
          <w:szCs w:val="18"/>
          <w:lang w:val="nl-NL"/>
        </w:rPr>
        <w:t xml:space="preserve"> </w:t>
      </w:r>
      <w:r w:rsidR="0085307D">
        <w:rPr>
          <w:rFonts w:ascii="Verdana" w:hAnsi="Verdana"/>
          <w:sz w:val="18"/>
          <w:szCs w:val="18"/>
          <w:lang w:val="nl-NL"/>
        </w:rPr>
        <w:t>I</w:t>
      </w:r>
      <w:r w:rsidRPr="2983B339">
        <w:rPr>
          <w:rFonts w:ascii="Verdana" w:hAnsi="Verdana"/>
          <w:sz w:val="18"/>
          <w:szCs w:val="18"/>
          <w:lang w:val="nl-NL"/>
        </w:rPr>
        <w:t xml:space="preserve">n de Nederlandse context betreft dit concreet de toeristische verhuur van woonruimte. </w:t>
      </w:r>
      <w:proofErr w:type="spellStart"/>
      <w:r w:rsidRPr="2983B339">
        <w:rPr>
          <w:rFonts w:ascii="Verdana" w:hAnsi="Verdana"/>
          <w:sz w:val="18"/>
          <w:szCs w:val="18"/>
          <w:lang w:val="nl-NL"/>
        </w:rPr>
        <w:t>Kortetermijnverhuur</w:t>
      </w:r>
      <w:proofErr w:type="spellEnd"/>
      <w:r w:rsidRPr="2983B339">
        <w:rPr>
          <w:rFonts w:ascii="Verdana" w:hAnsi="Verdana"/>
          <w:sz w:val="18"/>
          <w:szCs w:val="18"/>
          <w:lang w:val="nl-NL"/>
        </w:rPr>
        <w:t xml:space="preserve"> van woningen </w:t>
      </w:r>
      <w:r w:rsidR="006F69CF">
        <w:rPr>
          <w:rFonts w:ascii="Verdana" w:hAnsi="Verdana"/>
          <w:sz w:val="18"/>
          <w:szCs w:val="18"/>
          <w:lang w:val="nl-NL"/>
        </w:rPr>
        <w:t>waarin een</w:t>
      </w:r>
      <w:r w:rsidRPr="2983B339">
        <w:rPr>
          <w:rFonts w:ascii="Verdana" w:hAnsi="Verdana"/>
          <w:sz w:val="18"/>
          <w:szCs w:val="18"/>
          <w:lang w:val="nl-NL"/>
        </w:rPr>
        <w:t xml:space="preserve"> hoofdbewoner</w:t>
      </w:r>
      <w:r w:rsidR="006F69CF">
        <w:rPr>
          <w:rFonts w:ascii="Verdana" w:hAnsi="Verdana"/>
          <w:sz w:val="18"/>
          <w:szCs w:val="18"/>
          <w:lang w:val="nl-NL"/>
        </w:rPr>
        <w:t xml:space="preserve"> woont</w:t>
      </w:r>
      <w:r w:rsidR="00DB2A28">
        <w:rPr>
          <w:rFonts w:ascii="Verdana" w:hAnsi="Verdana"/>
          <w:sz w:val="18"/>
          <w:szCs w:val="18"/>
          <w:lang w:val="nl-NL"/>
        </w:rPr>
        <w:t>,</w:t>
      </w:r>
      <w:r w:rsidR="006F69CF">
        <w:rPr>
          <w:rFonts w:ascii="Verdana" w:hAnsi="Verdana"/>
          <w:sz w:val="18"/>
          <w:szCs w:val="18"/>
          <w:lang w:val="nl-NL"/>
        </w:rPr>
        <w:t xml:space="preserve"> </w:t>
      </w:r>
      <w:r w:rsidRPr="2983B339">
        <w:rPr>
          <w:rFonts w:ascii="Verdana" w:hAnsi="Verdana"/>
          <w:sz w:val="18"/>
          <w:szCs w:val="18"/>
          <w:lang w:val="nl-NL"/>
        </w:rPr>
        <w:t xml:space="preserve">vallen buiten de reikwijdte van de </w:t>
      </w:r>
      <w:r w:rsidRPr="006F69CF" w:rsidR="006F69CF">
        <w:rPr>
          <w:rFonts w:ascii="Verdana" w:hAnsi="Verdana"/>
          <w:sz w:val="18"/>
          <w:szCs w:val="18"/>
          <w:lang w:val="nl-NL"/>
        </w:rPr>
        <w:t>voorgestelde verordening.</w:t>
      </w:r>
      <w:r w:rsidR="00DB2A28">
        <w:rPr>
          <w:rFonts w:ascii="Verdana" w:hAnsi="Verdana"/>
          <w:sz w:val="18"/>
          <w:szCs w:val="18"/>
          <w:lang w:val="nl-NL"/>
        </w:rPr>
        <w:t xml:space="preserve"> </w:t>
      </w:r>
      <w:r w:rsidRPr="006F69CF" w:rsidR="006F69CF">
        <w:rPr>
          <w:rFonts w:ascii="Verdana" w:hAnsi="Verdana"/>
          <w:sz w:val="18"/>
          <w:szCs w:val="18"/>
          <w:lang w:val="nl-NL"/>
        </w:rPr>
        <w:t>Het voorstel zonder</w:t>
      </w:r>
      <w:r w:rsidR="00E05635">
        <w:rPr>
          <w:rFonts w:ascii="Verdana" w:hAnsi="Verdana"/>
          <w:sz w:val="18"/>
          <w:szCs w:val="18"/>
          <w:lang w:val="nl-NL"/>
        </w:rPr>
        <w:t>t</w:t>
      </w:r>
      <w:r w:rsidRPr="006F69CF" w:rsidR="006F69CF">
        <w:rPr>
          <w:rFonts w:ascii="Verdana" w:hAnsi="Verdana"/>
          <w:sz w:val="18"/>
          <w:szCs w:val="18"/>
          <w:lang w:val="nl-NL"/>
        </w:rPr>
        <w:t xml:space="preserve"> </w:t>
      </w:r>
      <w:r w:rsidR="00927372">
        <w:rPr>
          <w:rFonts w:ascii="Verdana" w:hAnsi="Verdana"/>
          <w:sz w:val="18"/>
          <w:szCs w:val="18"/>
          <w:lang w:val="nl-NL"/>
        </w:rPr>
        <w:t>daarmee toeristische verhuur</w:t>
      </w:r>
      <w:r w:rsidRPr="006F69CF" w:rsidR="006F69CF">
        <w:rPr>
          <w:rFonts w:ascii="Verdana" w:hAnsi="Verdana"/>
          <w:sz w:val="18"/>
          <w:szCs w:val="18"/>
          <w:lang w:val="nl-NL"/>
        </w:rPr>
        <w:t xml:space="preserve"> van</w:t>
      </w:r>
      <w:r w:rsidR="006F69CF">
        <w:rPr>
          <w:rFonts w:ascii="Verdana" w:hAnsi="Verdana"/>
          <w:sz w:val="18"/>
          <w:szCs w:val="18"/>
          <w:lang w:val="nl-NL"/>
        </w:rPr>
        <w:t xml:space="preserve"> woningen die </w:t>
      </w:r>
      <w:r w:rsidR="00927372">
        <w:rPr>
          <w:rFonts w:ascii="Verdana" w:hAnsi="Verdana"/>
          <w:sz w:val="18"/>
          <w:szCs w:val="18"/>
          <w:lang w:val="nl-NL"/>
        </w:rPr>
        <w:t xml:space="preserve">ook </w:t>
      </w:r>
      <w:r w:rsidR="00DB2A28">
        <w:rPr>
          <w:rFonts w:ascii="Verdana" w:hAnsi="Verdana"/>
          <w:sz w:val="18"/>
          <w:szCs w:val="18"/>
          <w:lang w:val="nl-NL"/>
        </w:rPr>
        <w:t>regulier</w:t>
      </w:r>
      <w:r w:rsidR="00927372">
        <w:rPr>
          <w:rFonts w:ascii="Verdana" w:hAnsi="Verdana"/>
          <w:sz w:val="18"/>
          <w:szCs w:val="18"/>
          <w:lang w:val="nl-NL"/>
        </w:rPr>
        <w:t xml:space="preserve"> worden</w:t>
      </w:r>
      <w:r w:rsidR="006F69CF">
        <w:rPr>
          <w:rFonts w:ascii="Verdana" w:hAnsi="Verdana"/>
          <w:sz w:val="18"/>
          <w:szCs w:val="18"/>
          <w:lang w:val="nl-NL"/>
        </w:rPr>
        <w:t xml:space="preserve"> bewoond </w:t>
      </w:r>
      <w:r w:rsidRPr="006F69CF" w:rsidR="006F69CF">
        <w:rPr>
          <w:rFonts w:ascii="Verdana" w:hAnsi="Verdana"/>
          <w:sz w:val="18"/>
          <w:szCs w:val="18"/>
          <w:lang w:val="nl-NL"/>
        </w:rPr>
        <w:t xml:space="preserve">uit van beperkingen die </w:t>
      </w:r>
      <w:r w:rsidR="00927372">
        <w:rPr>
          <w:rFonts w:ascii="Verdana" w:hAnsi="Verdana"/>
          <w:sz w:val="18"/>
          <w:szCs w:val="18"/>
          <w:lang w:val="nl-NL"/>
        </w:rPr>
        <w:t xml:space="preserve">mogelijk zijn op basis van de AHA en </w:t>
      </w:r>
      <w:r w:rsidRPr="006F69CF" w:rsidR="006F69CF">
        <w:rPr>
          <w:rFonts w:ascii="Verdana" w:hAnsi="Verdana"/>
          <w:sz w:val="18"/>
          <w:szCs w:val="18"/>
          <w:lang w:val="nl-NL"/>
        </w:rPr>
        <w:t>uitsluitend op betaalbaarheid en beschikbaarheid zijn gebaseerd.</w:t>
      </w:r>
      <w:r w:rsidR="006F69CF">
        <w:rPr>
          <w:rFonts w:ascii="Verdana" w:hAnsi="Verdana"/>
          <w:sz w:val="18"/>
          <w:szCs w:val="18"/>
          <w:lang w:val="nl-NL"/>
        </w:rPr>
        <w:t xml:space="preserve"> </w:t>
      </w:r>
      <w:r w:rsidRPr="684DF313" w:rsidR="00E05635">
        <w:rPr>
          <w:rFonts w:ascii="Verdana" w:hAnsi="Verdana"/>
          <w:sz w:val="18"/>
          <w:szCs w:val="18"/>
          <w:lang w:val="nl-NL"/>
        </w:rPr>
        <w:t xml:space="preserve">De reden die de Commissie hiervoor geeft is dat incidentele </w:t>
      </w:r>
      <w:r w:rsidRPr="684DF313" w:rsidR="0174E27E">
        <w:rPr>
          <w:rFonts w:ascii="Verdana" w:hAnsi="Verdana"/>
          <w:sz w:val="18"/>
          <w:szCs w:val="18"/>
          <w:lang w:val="nl-NL"/>
        </w:rPr>
        <w:t>t</w:t>
      </w:r>
      <w:r w:rsidRPr="684DF313" w:rsidR="0FF36E64">
        <w:rPr>
          <w:rFonts w:ascii="Verdana" w:hAnsi="Verdana"/>
          <w:sz w:val="18"/>
          <w:szCs w:val="18"/>
          <w:lang w:val="nl-NL"/>
        </w:rPr>
        <w:t xml:space="preserve">oeristische </w:t>
      </w:r>
      <w:r w:rsidRPr="684DF313" w:rsidR="00E05635">
        <w:rPr>
          <w:rFonts w:ascii="Verdana" w:hAnsi="Verdana"/>
          <w:sz w:val="18"/>
          <w:szCs w:val="18"/>
          <w:lang w:val="nl-NL"/>
        </w:rPr>
        <w:t xml:space="preserve">verhuur van de eigen woning die woning doorgaans niet van de markt voor langdurige bewoning haalt. </w:t>
      </w:r>
    </w:p>
    <w:p w:rsidR="005C6F35" w:rsidP="00065DEA" w:rsidRDefault="005C6F35" w14:paraId="74B563B8" w14:textId="77777777">
      <w:pPr>
        <w:pStyle w:val="Spreekpunten"/>
        <w:numPr>
          <w:ilvl w:val="0"/>
          <w:numId w:val="0"/>
        </w:numPr>
        <w:rPr>
          <w:rFonts w:ascii="Verdana" w:hAnsi="Verdana"/>
          <w:sz w:val="18"/>
          <w:szCs w:val="18"/>
          <w:lang w:val="nl-NL"/>
        </w:rPr>
      </w:pPr>
    </w:p>
    <w:p w:rsidRPr="00F75D72" w:rsidR="005C6F35" w:rsidP="005C6F35" w:rsidRDefault="005C6F35" w14:paraId="522046A6" w14:textId="5D812B36">
      <w:pPr>
        <w:pStyle w:val="Spreekpunten"/>
        <w:numPr>
          <w:ilvl w:val="0"/>
          <w:numId w:val="0"/>
        </w:numPr>
        <w:rPr>
          <w:rFonts w:ascii="Verdana" w:hAnsi="Verdana"/>
          <w:sz w:val="18"/>
          <w:szCs w:val="18"/>
          <w:lang w:val="nl-NL"/>
        </w:rPr>
      </w:pPr>
      <w:r w:rsidRPr="2983B339">
        <w:rPr>
          <w:rFonts w:ascii="Verdana" w:hAnsi="Verdana"/>
          <w:sz w:val="18"/>
          <w:szCs w:val="18"/>
          <w:lang w:val="nl-NL"/>
        </w:rPr>
        <w:t xml:space="preserve">Ten tweede gaat het om maatregelen die de verwerving of het gebruik van grond en woningen beperken </w:t>
      </w:r>
      <w:r>
        <w:rPr>
          <w:rFonts w:ascii="Verdana" w:hAnsi="Verdana"/>
          <w:sz w:val="18"/>
          <w:szCs w:val="18"/>
          <w:lang w:val="nl-NL"/>
        </w:rPr>
        <w:t>als</w:t>
      </w:r>
      <w:r w:rsidRPr="2983B339">
        <w:rPr>
          <w:rFonts w:ascii="Verdana" w:hAnsi="Verdana"/>
          <w:sz w:val="18"/>
          <w:szCs w:val="18"/>
          <w:lang w:val="nl-NL"/>
        </w:rPr>
        <w:t xml:space="preserve"> deze niet worden verworven of gebruikt voor bewoning</w:t>
      </w:r>
      <w:r>
        <w:rPr>
          <w:rFonts w:ascii="Verdana" w:hAnsi="Verdana"/>
          <w:sz w:val="18"/>
          <w:szCs w:val="18"/>
          <w:lang w:val="nl-NL"/>
        </w:rPr>
        <w:t xml:space="preserve">, </w:t>
      </w:r>
      <w:r w:rsidRPr="006F69CF">
        <w:rPr>
          <w:rFonts w:ascii="Verdana" w:hAnsi="Verdana"/>
          <w:sz w:val="18"/>
          <w:szCs w:val="18"/>
          <w:lang w:val="nl-NL"/>
        </w:rPr>
        <w:t>ongeacht of die bewoning door de eigenaar of door een ander zou plaatsvinden</w:t>
      </w:r>
      <w:r>
        <w:rPr>
          <w:rFonts w:ascii="Verdana" w:hAnsi="Verdana"/>
          <w:sz w:val="18"/>
          <w:szCs w:val="18"/>
          <w:lang w:val="nl-NL"/>
        </w:rPr>
        <w:t xml:space="preserve">. </w:t>
      </w:r>
      <w:r w:rsidRPr="006F69CF">
        <w:rPr>
          <w:rFonts w:ascii="Verdana" w:hAnsi="Verdana"/>
          <w:sz w:val="18"/>
          <w:szCs w:val="18"/>
          <w:lang w:val="nl-NL"/>
        </w:rPr>
        <w:t xml:space="preserve">Hieronder kunnen specifieke maatregelen tegen langdurige leegstand </w:t>
      </w:r>
      <w:r>
        <w:rPr>
          <w:rFonts w:ascii="Verdana" w:hAnsi="Verdana"/>
          <w:sz w:val="18"/>
          <w:szCs w:val="18"/>
          <w:lang w:val="nl-NL"/>
        </w:rPr>
        <w:t xml:space="preserve">of het hebben van een tweede woning </w:t>
      </w:r>
      <w:r w:rsidRPr="006F69CF">
        <w:rPr>
          <w:rFonts w:ascii="Verdana" w:hAnsi="Verdana"/>
          <w:sz w:val="18"/>
          <w:szCs w:val="18"/>
          <w:lang w:val="nl-NL"/>
        </w:rPr>
        <w:t xml:space="preserve">vallen. </w:t>
      </w:r>
      <w:r>
        <w:rPr>
          <w:rFonts w:ascii="Verdana" w:hAnsi="Verdana"/>
          <w:sz w:val="18"/>
          <w:szCs w:val="18"/>
          <w:lang w:val="nl-NL"/>
        </w:rPr>
        <w:t>Het Commissievoorstel dat nu voorligt geeft onvoldoende uitsluitsel of</w:t>
      </w:r>
      <w:r w:rsidRPr="006F69CF">
        <w:rPr>
          <w:rFonts w:ascii="Verdana" w:hAnsi="Verdana"/>
          <w:sz w:val="18"/>
          <w:szCs w:val="18"/>
          <w:lang w:val="nl-NL"/>
        </w:rPr>
        <w:t xml:space="preserve"> de Nederlandse opkoopbescherming </w:t>
      </w:r>
      <w:r>
        <w:rPr>
          <w:rFonts w:ascii="Verdana" w:hAnsi="Verdana"/>
          <w:sz w:val="18"/>
          <w:szCs w:val="18"/>
          <w:lang w:val="nl-NL"/>
        </w:rPr>
        <w:t xml:space="preserve">(onderdeel van de Huisvestingswet 2014) </w:t>
      </w:r>
      <w:r w:rsidRPr="006F69CF">
        <w:rPr>
          <w:rFonts w:ascii="Verdana" w:hAnsi="Verdana"/>
          <w:sz w:val="18"/>
          <w:szCs w:val="18"/>
          <w:lang w:val="nl-NL"/>
        </w:rPr>
        <w:t>onder deze categorie valt</w:t>
      </w:r>
      <w:r>
        <w:rPr>
          <w:rFonts w:ascii="Verdana" w:hAnsi="Verdana"/>
          <w:sz w:val="18"/>
          <w:szCs w:val="18"/>
          <w:lang w:val="nl-NL"/>
        </w:rPr>
        <w:t xml:space="preserve">. In de toelichting worden voorbeelden genoemd van </w:t>
      </w:r>
      <w:r w:rsidRPr="00260D29">
        <w:rPr>
          <w:rFonts w:ascii="Verdana" w:hAnsi="Verdana"/>
          <w:sz w:val="18"/>
          <w:szCs w:val="18"/>
          <w:lang w:val="nl-NL"/>
        </w:rPr>
        <w:t xml:space="preserve">maatregelen </w:t>
      </w:r>
      <w:r>
        <w:rPr>
          <w:rFonts w:ascii="Verdana" w:hAnsi="Verdana"/>
          <w:sz w:val="18"/>
          <w:szCs w:val="18"/>
          <w:lang w:val="nl-NL"/>
        </w:rPr>
        <w:t xml:space="preserve">zoals het reserveren van woningen voor hoofdbewoning of specifieke groepen, zoals starters. </w:t>
      </w:r>
    </w:p>
    <w:p w:rsidRPr="00926DDC" w:rsidR="00065DEA" w:rsidP="00065DEA" w:rsidRDefault="00065DEA" w14:paraId="21F4B0AE" w14:textId="77777777">
      <w:pPr>
        <w:pStyle w:val="Spreekpunten"/>
        <w:numPr>
          <w:ilvl w:val="0"/>
          <w:numId w:val="0"/>
        </w:numPr>
        <w:rPr>
          <w:rFonts w:ascii="Verdana" w:hAnsi="Verdana"/>
          <w:iCs/>
          <w:sz w:val="18"/>
          <w:szCs w:val="18"/>
          <w:lang w:val="nl-NL"/>
        </w:rPr>
      </w:pPr>
    </w:p>
    <w:p w:rsidRPr="00F75D72" w:rsidR="00065DEA" w:rsidP="00065DEA" w:rsidRDefault="00065DEA" w14:paraId="432ABDF4" w14:textId="613C9683">
      <w:pPr>
        <w:pStyle w:val="Spreekpunten"/>
        <w:numPr>
          <w:ilvl w:val="0"/>
          <w:numId w:val="0"/>
        </w:numPr>
        <w:rPr>
          <w:rFonts w:ascii="Verdana" w:hAnsi="Verdana"/>
          <w:sz w:val="18"/>
          <w:szCs w:val="18"/>
          <w:lang w:val="nl-NL"/>
        </w:rPr>
      </w:pPr>
      <w:r w:rsidRPr="531B6111">
        <w:rPr>
          <w:rFonts w:ascii="Verdana" w:hAnsi="Verdana"/>
          <w:sz w:val="18"/>
          <w:szCs w:val="18"/>
          <w:lang w:val="nl-NL"/>
        </w:rPr>
        <w:lastRenderedPageBreak/>
        <w:t xml:space="preserve">Een bevoegde autoriteit </w:t>
      </w:r>
      <w:r w:rsidRPr="7F788A90" w:rsidR="00856804">
        <w:rPr>
          <w:rFonts w:ascii="Verdana" w:hAnsi="Verdana"/>
          <w:sz w:val="18"/>
          <w:szCs w:val="18"/>
          <w:lang w:val="nl-NL"/>
        </w:rPr>
        <w:t xml:space="preserve">(in de Nederlandse context betreft dit gemeenten) </w:t>
      </w:r>
      <w:r w:rsidRPr="531B6111">
        <w:rPr>
          <w:rFonts w:ascii="Verdana" w:hAnsi="Verdana"/>
          <w:sz w:val="18"/>
          <w:szCs w:val="18"/>
          <w:lang w:val="nl-NL"/>
        </w:rPr>
        <w:t xml:space="preserve">kan deze maatregelen nemen als aan de volgende voorwaarden is voldaan. Allereerst moet worden vastgesteld dat </w:t>
      </w:r>
      <w:r w:rsidR="00743B1E">
        <w:rPr>
          <w:rFonts w:ascii="Verdana" w:hAnsi="Verdana"/>
          <w:sz w:val="18"/>
          <w:szCs w:val="18"/>
          <w:lang w:val="nl-NL"/>
        </w:rPr>
        <w:t>er in het</w:t>
      </w:r>
      <w:r w:rsidRPr="531B6111">
        <w:rPr>
          <w:rFonts w:ascii="Verdana" w:hAnsi="Verdana"/>
          <w:sz w:val="18"/>
          <w:szCs w:val="18"/>
          <w:lang w:val="nl-NL"/>
        </w:rPr>
        <w:t xml:space="preserve"> </w:t>
      </w:r>
      <w:r>
        <w:rPr>
          <w:rFonts w:ascii="Verdana" w:hAnsi="Verdana"/>
          <w:sz w:val="18"/>
          <w:szCs w:val="18"/>
          <w:lang w:val="nl-NL"/>
        </w:rPr>
        <w:t>gebied sprake is van een overspannen woningmarkt</w:t>
      </w:r>
      <w:r w:rsidRPr="00F75D72">
        <w:rPr>
          <w:rFonts w:ascii="Verdana" w:hAnsi="Verdana"/>
          <w:sz w:val="18"/>
          <w:szCs w:val="18"/>
          <w:lang w:val="nl-NL"/>
        </w:rPr>
        <w:t>.</w:t>
      </w:r>
      <w:r w:rsidRPr="531B6111">
        <w:rPr>
          <w:rFonts w:ascii="Verdana" w:hAnsi="Verdana"/>
          <w:sz w:val="18"/>
          <w:szCs w:val="18"/>
          <w:lang w:val="nl-NL"/>
        </w:rPr>
        <w:t xml:space="preserve"> Een gebied kwalificeert als aan de volgende </w:t>
      </w:r>
      <w:r w:rsidR="001E7FC2">
        <w:rPr>
          <w:rFonts w:ascii="Verdana" w:hAnsi="Verdana"/>
          <w:sz w:val="18"/>
          <w:szCs w:val="18"/>
          <w:lang w:val="nl-NL"/>
        </w:rPr>
        <w:t>drie</w:t>
      </w:r>
      <w:r w:rsidRPr="531B6111">
        <w:rPr>
          <w:rFonts w:ascii="Verdana" w:hAnsi="Verdana"/>
          <w:sz w:val="18"/>
          <w:szCs w:val="18"/>
          <w:lang w:val="nl-NL"/>
        </w:rPr>
        <w:t xml:space="preserve"> criteria is voldaan: de verhouding tussen de gemiddelde transactieprijs van een woning gedeeld door het mediane besteedbare inkomen bedraagt tenminste 8, deze prijs-inkomensverhouding </w:t>
      </w:r>
      <w:r w:rsidR="000B7E4F">
        <w:rPr>
          <w:rFonts w:ascii="Verdana" w:hAnsi="Verdana"/>
          <w:sz w:val="18"/>
          <w:szCs w:val="18"/>
          <w:lang w:val="nl-NL"/>
        </w:rPr>
        <w:t xml:space="preserve">is </w:t>
      </w:r>
      <w:r w:rsidRPr="531B6111">
        <w:rPr>
          <w:rFonts w:ascii="Verdana" w:hAnsi="Verdana"/>
          <w:sz w:val="18"/>
          <w:szCs w:val="18"/>
          <w:lang w:val="nl-NL"/>
        </w:rPr>
        <w:t xml:space="preserve">in de voorafgaande 10 jaar gestegen en </w:t>
      </w:r>
      <w:r>
        <w:rPr>
          <w:rFonts w:ascii="Verdana" w:hAnsi="Verdana"/>
          <w:sz w:val="18"/>
          <w:szCs w:val="18"/>
          <w:lang w:val="nl-NL"/>
        </w:rPr>
        <w:t>de woningmarkt zal naar</w:t>
      </w:r>
      <w:r w:rsidRPr="531B6111">
        <w:rPr>
          <w:rFonts w:ascii="Verdana" w:hAnsi="Verdana"/>
          <w:sz w:val="18"/>
          <w:szCs w:val="18"/>
          <w:lang w:val="nl-NL"/>
        </w:rPr>
        <w:t xml:space="preserve"> verwachting de komende 3 jaar niet </w:t>
      </w:r>
      <w:r>
        <w:rPr>
          <w:rFonts w:ascii="Verdana" w:hAnsi="Verdana"/>
          <w:sz w:val="18"/>
          <w:szCs w:val="18"/>
          <w:lang w:val="nl-NL"/>
        </w:rPr>
        <w:t>minder overspannen worden</w:t>
      </w:r>
      <w:r w:rsidR="000B7E4F">
        <w:rPr>
          <w:rFonts w:ascii="Verdana" w:hAnsi="Verdana"/>
          <w:sz w:val="18"/>
          <w:szCs w:val="18"/>
          <w:lang w:val="nl-NL"/>
        </w:rPr>
        <w:t>.</w:t>
      </w:r>
      <w:r w:rsidRPr="531B6111">
        <w:rPr>
          <w:rFonts w:ascii="Verdana" w:hAnsi="Verdana"/>
          <w:sz w:val="18"/>
          <w:szCs w:val="18"/>
          <w:lang w:val="nl-NL"/>
        </w:rPr>
        <w:t xml:space="preserve"> Deze laatste indicator moet gebaseerd zijn op bevolkingsdynamiek (bijv. groei, migratie), het aanbod van woningen (bijv. bouwactiviteit, leegstand) en de vraag naar woningen (bijv. toerisme, economische groei). Wanneer de prijs-inkomensverhouding tenminste 10 is, vervalt de eis dat deze in de afgelopen 10 jaar gestegen moet zijn.</w:t>
      </w:r>
    </w:p>
    <w:p w:rsidRPr="00DD038F" w:rsidR="00065DEA" w:rsidP="00065DEA" w:rsidRDefault="00065DEA" w14:paraId="59C62310" w14:textId="77777777">
      <w:pPr>
        <w:pStyle w:val="Spreekpunten"/>
        <w:numPr>
          <w:ilvl w:val="0"/>
          <w:numId w:val="0"/>
        </w:numPr>
        <w:rPr>
          <w:rFonts w:ascii="Verdana" w:hAnsi="Verdana"/>
          <w:iCs/>
          <w:sz w:val="18"/>
          <w:szCs w:val="18"/>
          <w:lang w:val="nl-NL"/>
        </w:rPr>
      </w:pPr>
    </w:p>
    <w:p w:rsidRPr="00F75D72" w:rsidR="00065DEA" w:rsidP="00065DEA" w:rsidRDefault="00065DEA" w14:paraId="213C0C75" w14:textId="38EEFA1E">
      <w:pPr>
        <w:pStyle w:val="Spreekpunten"/>
        <w:numPr>
          <w:ilvl w:val="0"/>
          <w:numId w:val="0"/>
        </w:numPr>
        <w:rPr>
          <w:rFonts w:ascii="Verdana" w:hAnsi="Verdana"/>
          <w:sz w:val="18"/>
          <w:szCs w:val="18"/>
          <w:lang w:val="nl-NL"/>
        </w:rPr>
      </w:pPr>
      <w:r w:rsidRPr="00F75D72">
        <w:rPr>
          <w:rFonts w:ascii="Verdana" w:hAnsi="Verdana"/>
          <w:sz w:val="18"/>
          <w:szCs w:val="18"/>
          <w:lang w:val="nl-NL"/>
        </w:rPr>
        <w:t>Daarnaast stelt de Commissie een aantal aanvullende eisen. Een gebied mag niet groter zijn dan noodzakelijk, maatregelen mogen niet discrimineren en moeten noodzakelijk en proportioneel zijn. Een maatregel is volgens de Commissie noodzakelijk, als de concrete activiteit in de afgelopen 3 jaar een significant nadelig effect gehad</w:t>
      </w:r>
      <w:r w:rsidR="00F61421">
        <w:rPr>
          <w:rFonts w:ascii="Verdana" w:hAnsi="Verdana"/>
          <w:sz w:val="18"/>
          <w:szCs w:val="18"/>
          <w:lang w:val="nl-NL"/>
        </w:rPr>
        <w:t xml:space="preserve"> heeft</w:t>
      </w:r>
      <w:r w:rsidRPr="00F75D72">
        <w:rPr>
          <w:rFonts w:ascii="Verdana" w:hAnsi="Verdana"/>
          <w:sz w:val="18"/>
          <w:szCs w:val="18"/>
          <w:lang w:val="nl-NL"/>
        </w:rPr>
        <w:t xml:space="preserve"> op de beschikbaarheid en betaalbaarheid van woningen. Een maatregel is proportioneel, als kan worden aangetoond dat minder beperkende maatregelen niet hetzelfde effect kunnen bereiken. Bevoegde autoriteiten moeten maatregelen ten minste iedere vijf jaar opnieuw beoordelen. Indien niet langer aan de voorwaarden wordt voldaan, moet de maatregel worden ingetrokken. </w:t>
      </w:r>
    </w:p>
    <w:p w:rsidR="00065DEA" w:rsidP="00065DEA" w:rsidRDefault="00065DEA" w14:paraId="17B6B0B5" w14:textId="77777777">
      <w:pPr>
        <w:pStyle w:val="Spreekpunten"/>
        <w:numPr>
          <w:ilvl w:val="0"/>
          <w:numId w:val="0"/>
        </w:numPr>
        <w:rPr>
          <w:rFonts w:ascii="Verdana" w:hAnsi="Verdana"/>
          <w:iCs/>
          <w:sz w:val="18"/>
          <w:szCs w:val="18"/>
          <w:lang w:val="nl-NL"/>
        </w:rPr>
      </w:pPr>
    </w:p>
    <w:p w:rsidRPr="00F75D72" w:rsidR="00065DEA" w:rsidP="00065DEA" w:rsidRDefault="00065DEA" w14:paraId="56A5DF2D" w14:textId="23C59DEC">
      <w:pPr>
        <w:pStyle w:val="Spreekpunten"/>
        <w:numPr>
          <w:ilvl w:val="0"/>
          <w:numId w:val="0"/>
        </w:numPr>
        <w:rPr>
          <w:rFonts w:ascii="Verdana" w:hAnsi="Verdana"/>
          <w:sz w:val="18"/>
          <w:szCs w:val="18"/>
          <w:lang w:val="nl-NL"/>
        </w:rPr>
      </w:pPr>
      <w:r w:rsidRPr="00F75D72">
        <w:rPr>
          <w:rFonts w:ascii="Verdana" w:hAnsi="Verdana"/>
          <w:sz w:val="18"/>
          <w:szCs w:val="18"/>
          <w:lang w:val="nl-NL"/>
        </w:rPr>
        <w:t xml:space="preserve">Voor maatregelen die aan deze voorwaarden voldoen, geldt de Dienstenrichtlijn volgens artikel 3, eerste lid, </w:t>
      </w:r>
      <w:r w:rsidRPr="00F75D72" w:rsidR="43C57D4A">
        <w:rPr>
          <w:rFonts w:ascii="Verdana" w:hAnsi="Verdana"/>
          <w:sz w:val="18"/>
          <w:szCs w:val="18"/>
          <w:lang w:val="nl-NL"/>
        </w:rPr>
        <w:t xml:space="preserve">van de AHA </w:t>
      </w:r>
      <w:r w:rsidRPr="00F75D72">
        <w:rPr>
          <w:rFonts w:ascii="Verdana" w:hAnsi="Verdana"/>
          <w:sz w:val="18"/>
          <w:szCs w:val="18"/>
          <w:lang w:val="nl-NL"/>
        </w:rPr>
        <w:t>niet. Ook de notificatieplicht van artikel 15, zevende lid, Dienstenrichtlijn wordt uitgeschakeld. Maatregelen die een ander algemeen belang dienen,</w:t>
      </w:r>
      <w:r w:rsidR="00702B95">
        <w:rPr>
          <w:rFonts w:ascii="Verdana" w:hAnsi="Verdana"/>
          <w:sz w:val="18"/>
          <w:szCs w:val="18"/>
          <w:lang w:val="nl-NL"/>
        </w:rPr>
        <w:t xml:space="preserve"> of betrekking hebben op het reguleren van het hoofdverblijf,</w:t>
      </w:r>
      <w:r w:rsidRPr="00F75D72">
        <w:rPr>
          <w:rFonts w:ascii="Verdana" w:hAnsi="Verdana"/>
          <w:sz w:val="18"/>
          <w:szCs w:val="18"/>
          <w:lang w:val="nl-NL"/>
        </w:rPr>
        <w:t xml:space="preserve"> vallen buiten de </w:t>
      </w:r>
      <w:r w:rsidRPr="00F75D72" w:rsidR="7A21F580">
        <w:rPr>
          <w:rFonts w:ascii="Verdana" w:hAnsi="Verdana"/>
          <w:sz w:val="18"/>
          <w:szCs w:val="18"/>
          <w:lang w:val="nl-NL"/>
        </w:rPr>
        <w:t>AHA</w:t>
      </w:r>
      <w:r w:rsidRPr="00F75D72">
        <w:rPr>
          <w:rFonts w:ascii="Verdana" w:hAnsi="Verdana"/>
          <w:sz w:val="18"/>
          <w:szCs w:val="18"/>
          <w:lang w:val="nl-NL"/>
        </w:rPr>
        <w:t xml:space="preserve"> en moeten alsnog beoordeeld worden op basis van de Dienstenrichtlijn.</w:t>
      </w:r>
    </w:p>
    <w:p w:rsidR="00065DEA" w:rsidP="00065DEA" w:rsidRDefault="00065DEA" w14:paraId="03C1FF63" w14:textId="77777777">
      <w:pPr>
        <w:pStyle w:val="Spreekpunten"/>
        <w:numPr>
          <w:ilvl w:val="0"/>
          <w:numId w:val="0"/>
        </w:numPr>
        <w:rPr>
          <w:rFonts w:ascii="Verdana" w:hAnsi="Verdana"/>
          <w:iCs/>
          <w:sz w:val="18"/>
          <w:szCs w:val="18"/>
          <w:lang w:val="nl-NL"/>
        </w:rPr>
      </w:pPr>
    </w:p>
    <w:p w:rsidRPr="00F75D72" w:rsidR="00065DEA" w:rsidP="00065DEA" w:rsidRDefault="00065DEA" w14:paraId="446F3B80" w14:textId="719347E6">
      <w:pPr>
        <w:pStyle w:val="Spreekpunten"/>
        <w:numPr>
          <w:ilvl w:val="0"/>
          <w:numId w:val="0"/>
        </w:numPr>
        <w:rPr>
          <w:rFonts w:ascii="Verdana" w:hAnsi="Verdana"/>
          <w:sz w:val="18"/>
          <w:szCs w:val="18"/>
          <w:lang w:val="nl-NL"/>
        </w:rPr>
      </w:pPr>
      <w:r w:rsidRPr="00F75D72">
        <w:rPr>
          <w:rFonts w:ascii="Verdana" w:hAnsi="Verdana"/>
          <w:sz w:val="18"/>
          <w:szCs w:val="18"/>
          <w:lang w:val="nl-NL"/>
        </w:rPr>
        <w:t xml:space="preserve">Bestaande maatregelen die vóór de inwerkingtreding zijn vastgesteld, vallen op grond van artikel 14 niet automatisch onder de </w:t>
      </w:r>
      <w:r>
        <w:rPr>
          <w:rFonts w:ascii="Verdana" w:hAnsi="Verdana"/>
          <w:sz w:val="18"/>
          <w:szCs w:val="18"/>
          <w:lang w:val="nl-NL"/>
        </w:rPr>
        <w:t>AHA</w:t>
      </w:r>
      <w:r w:rsidRPr="00F75D72">
        <w:rPr>
          <w:rFonts w:ascii="Verdana" w:hAnsi="Verdana"/>
          <w:sz w:val="18"/>
          <w:szCs w:val="18"/>
          <w:lang w:val="nl-NL"/>
        </w:rPr>
        <w:t xml:space="preserve">. </w:t>
      </w:r>
      <w:r w:rsidR="009D7F3A">
        <w:rPr>
          <w:rFonts w:ascii="Verdana" w:hAnsi="Verdana"/>
          <w:sz w:val="18"/>
          <w:szCs w:val="18"/>
          <w:lang w:val="nl-NL"/>
        </w:rPr>
        <w:t xml:space="preserve">Het voorstel </w:t>
      </w:r>
      <w:r w:rsidRPr="00F75D72">
        <w:rPr>
          <w:rFonts w:ascii="Verdana" w:hAnsi="Verdana"/>
          <w:sz w:val="18"/>
          <w:szCs w:val="18"/>
          <w:lang w:val="nl-NL"/>
        </w:rPr>
        <w:t xml:space="preserve">heeft enkel gevolgen voor nieuwe maatregelen en wijzigingen of uitbreidingen van bestaande maatregelen die worden gemotiveerd vanuit </w:t>
      </w:r>
      <w:r w:rsidR="00C46A13">
        <w:rPr>
          <w:rFonts w:ascii="Verdana" w:hAnsi="Verdana"/>
          <w:sz w:val="18"/>
          <w:szCs w:val="18"/>
          <w:lang w:val="nl-NL"/>
        </w:rPr>
        <w:t>beschikbaarheid</w:t>
      </w:r>
      <w:r w:rsidRPr="00F75D72" w:rsidR="00C46A13">
        <w:rPr>
          <w:rFonts w:ascii="Verdana" w:hAnsi="Verdana"/>
          <w:sz w:val="18"/>
          <w:szCs w:val="18"/>
          <w:lang w:val="nl-NL"/>
        </w:rPr>
        <w:t xml:space="preserve"> </w:t>
      </w:r>
      <w:r w:rsidRPr="00F75D72">
        <w:rPr>
          <w:rFonts w:ascii="Verdana" w:hAnsi="Verdana"/>
          <w:sz w:val="18"/>
          <w:szCs w:val="18"/>
          <w:lang w:val="nl-NL"/>
        </w:rPr>
        <w:t xml:space="preserve">of </w:t>
      </w:r>
      <w:r w:rsidR="00C46A13">
        <w:rPr>
          <w:rFonts w:ascii="Verdana" w:hAnsi="Verdana"/>
          <w:sz w:val="18"/>
          <w:szCs w:val="18"/>
          <w:lang w:val="nl-NL"/>
        </w:rPr>
        <w:t>betaalbaarheid</w:t>
      </w:r>
      <w:r w:rsidRPr="00F75D72" w:rsidR="00C46A13">
        <w:rPr>
          <w:rFonts w:ascii="Verdana" w:hAnsi="Verdana"/>
          <w:sz w:val="18"/>
          <w:szCs w:val="18"/>
          <w:lang w:val="nl-NL"/>
        </w:rPr>
        <w:t xml:space="preserve"> </w:t>
      </w:r>
      <w:r w:rsidRPr="00F75D72">
        <w:rPr>
          <w:rFonts w:ascii="Verdana" w:hAnsi="Verdana"/>
          <w:sz w:val="18"/>
          <w:szCs w:val="18"/>
          <w:lang w:val="nl-NL"/>
        </w:rPr>
        <w:t xml:space="preserve">van woningen. </w:t>
      </w:r>
    </w:p>
    <w:p w:rsidRPr="00164AA0" w:rsidR="00065DEA" w:rsidP="00065DEA" w:rsidRDefault="00065DEA" w14:paraId="7A4A82BA" w14:textId="77777777">
      <w:pPr>
        <w:pStyle w:val="Spreekpunten"/>
        <w:numPr>
          <w:ilvl w:val="0"/>
          <w:numId w:val="0"/>
        </w:numPr>
        <w:rPr>
          <w:rFonts w:ascii="Verdana" w:hAnsi="Verdana"/>
          <w:iCs/>
          <w:sz w:val="18"/>
          <w:szCs w:val="18"/>
          <w:lang w:val="nl-NL" w:eastAsia="zh-CN"/>
        </w:rPr>
      </w:pPr>
    </w:p>
    <w:p w:rsidRPr="00214477" w:rsidR="00065DEA" w:rsidRDefault="00065DEA" w14:paraId="1786029F" w14:textId="77777777">
      <w:pPr>
        <w:pStyle w:val="Spreekpunten"/>
        <w:numPr>
          <w:ilvl w:val="0"/>
          <w:numId w:val="3"/>
        </w:numPr>
        <w:rPr>
          <w:rFonts w:ascii="Verdana" w:hAnsi="Verdana"/>
          <w:i/>
          <w:iCs/>
          <w:sz w:val="18"/>
          <w:szCs w:val="18"/>
          <w:lang w:val="nl-NL" w:eastAsia="zh-CN"/>
        </w:rPr>
      </w:pPr>
      <w:r w:rsidRPr="61B0A1F6">
        <w:rPr>
          <w:rFonts w:ascii="Verdana" w:hAnsi="Verdana"/>
          <w:i/>
          <w:iCs/>
          <w:sz w:val="18"/>
          <w:szCs w:val="18"/>
          <w:lang w:val="nl-NL" w:eastAsia="zh-CN"/>
        </w:rPr>
        <w:t>Impact assessment Commissie</w:t>
      </w:r>
    </w:p>
    <w:p w:rsidR="00065DEA" w:rsidP="00065DEA" w:rsidRDefault="00065DEA" w14:paraId="0B1F5AB7" w14:textId="5A53ED28">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sidRPr="00FA59C4">
        <w:rPr>
          <w:rFonts w:ascii="Verdana" w:hAnsi="Verdana"/>
          <w:sz w:val="18"/>
          <w:szCs w:val="18"/>
        </w:rPr>
        <w:t xml:space="preserve">In de impact assessment ter onderbouwing van het voorstel geeft de Commissie aan drie beleidsopties te hebben onderzocht. De onderzochte opties bevatten vergelijkbare maatregelen maar verschillen aanzienlijk in het niveau van interventie. Een optie ziet op </w:t>
      </w:r>
      <w:r w:rsidRPr="00751687">
        <w:rPr>
          <w:rFonts w:ascii="Verdana" w:hAnsi="Verdana"/>
          <w:sz w:val="18"/>
          <w:szCs w:val="18"/>
        </w:rPr>
        <w:t>niet-bindende richtsnoeren waarin het bestaande Unierecht wordt toegelicht en praktische aanbevelingen worden gedaan.</w:t>
      </w:r>
      <w:r>
        <w:rPr>
          <w:rFonts w:ascii="Verdana" w:hAnsi="Verdana"/>
          <w:sz w:val="18"/>
          <w:szCs w:val="18"/>
        </w:rPr>
        <w:t xml:space="preserve"> </w:t>
      </w:r>
      <w:r w:rsidRPr="00751687">
        <w:rPr>
          <w:rFonts w:ascii="Verdana" w:hAnsi="Verdana"/>
          <w:sz w:val="18"/>
          <w:szCs w:val="18"/>
        </w:rPr>
        <w:t xml:space="preserve">Deze optie heeft niet de voorkeur van de Commissie aangezien de vrijblijvendheid in deze optie </w:t>
      </w:r>
      <w:r>
        <w:rPr>
          <w:rFonts w:ascii="Verdana" w:hAnsi="Verdana"/>
          <w:sz w:val="18"/>
          <w:szCs w:val="18"/>
        </w:rPr>
        <w:t>de</w:t>
      </w:r>
      <w:r w:rsidRPr="005F4658">
        <w:rPr>
          <w:rFonts w:ascii="Verdana" w:hAnsi="Verdana"/>
          <w:sz w:val="18"/>
          <w:szCs w:val="18"/>
        </w:rPr>
        <w:t xml:space="preserve"> </w:t>
      </w:r>
      <w:r>
        <w:rPr>
          <w:rFonts w:ascii="Verdana" w:hAnsi="Verdana"/>
          <w:sz w:val="18"/>
          <w:szCs w:val="18"/>
        </w:rPr>
        <w:t>veelheid aan</w:t>
      </w:r>
      <w:r w:rsidRPr="00F75D72">
        <w:rPr>
          <w:rFonts w:ascii="Verdana" w:hAnsi="Verdana"/>
          <w:sz w:val="18"/>
          <w:szCs w:val="18"/>
        </w:rPr>
        <w:t xml:space="preserve"> nationale en lokale beoordelingskaders </w:t>
      </w:r>
      <w:r>
        <w:rPr>
          <w:rFonts w:ascii="Verdana" w:hAnsi="Verdana"/>
          <w:sz w:val="18"/>
          <w:szCs w:val="18"/>
        </w:rPr>
        <w:t xml:space="preserve">onvoldoende zal terugdringen. </w:t>
      </w:r>
      <w:r w:rsidRPr="00751687">
        <w:rPr>
          <w:rFonts w:ascii="Verdana" w:hAnsi="Verdana"/>
          <w:sz w:val="18"/>
          <w:szCs w:val="18"/>
        </w:rPr>
        <w:t xml:space="preserve">Een andere optie die is onderzocht gaat verder dan het voorliggende voorstel. In deze optie </w:t>
      </w:r>
      <w:r>
        <w:rPr>
          <w:rFonts w:ascii="Verdana" w:hAnsi="Verdana"/>
          <w:sz w:val="18"/>
          <w:szCs w:val="18"/>
        </w:rPr>
        <w:t xml:space="preserve">zouden </w:t>
      </w:r>
      <w:r w:rsidRPr="00751687">
        <w:rPr>
          <w:rFonts w:ascii="Verdana" w:hAnsi="Verdana"/>
          <w:sz w:val="18"/>
          <w:szCs w:val="18"/>
        </w:rPr>
        <w:t xml:space="preserve">alle lidstaten worden verplicht </w:t>
      </w:r>
      <w:r>
        <w:rPr>
          <w:rFonts w:ascii="Verdana" w:hAnsi="Verdana"/>
          <w:sz w:val="18"/>
          <w:szCs w:val="18"/>
        </w:rPr>
        <w:t>tot</w:t>
      </w:r>
      <w:r w:rsidRPr="00751687">
        <w:rPr>
          <w:rFonts w:ascii="Verdana" w:hAnsi="Verdana"/>
          <w:sz w:val="18"/>
          <w:szCs w:val="18"/>
        </w:rPr>
        <w:t xml:space="preserve"> aanwijzing van </w:t>
      </w:r>
      <w:r>
        <w:rPr>
          <w:rFonts w:ascii="Verdana" w:hAnsi="Verdana"/>
          <w:sz w:val="18"/>
          <w:szCs w:val="18"/>
        </w:rPr>
        <w:t>gebieden waar sprake is van een overspannen woningmarkt, en</w:t>
      </w:r>
      <w:r w:rsidRPr="00751687">
        <w:rPr>
          <w:rFonts w:ascii="Verdana" w:hAnsi="Verdana"/>
          <w:sz w:val="18"/>
          <w:szCs w:val="18"/>
        </w:rPr>
        <w:t xml:space="preserve"> </w:t>
      </w:r>
      <w:r>
        <w:rPr>
          <w:rFonts w:ascii="Verdana" w:hAnsi="Verdana"/>
          <w:sz w:val="18"/>
          <w:szCs w:val="18"/>
        </w:rPr>
        <w:t xml:space="preserve">zouden </w:t>
      </w:r>
      <w:r w:rsidRPr="00751687">
        <w:rPr>
          <w:rFonts w:ascii="Verdana" w:hAnsi="Verdana"/>
          <w:sz w:val="18"/>
          <w:szCs w:val="18"/>
        </w:rPr>
        <w:t>geharmoniseerde drempelwaarden en huisvestingsplannen</w:t>
      </w:r>
      <w:r>
        <w:rPr>
          <w:rFonts w:ascii="Verdana" w:hAnsi="Verdana"/>
          <w:sz w:val="18"/>
          <w:szCs w:val="18"/>
        </w:rPr>
        <w:t xml:space="preserve"> worden </w:t>
      </w:r>
      <w:r>
        <w:rPr>
          <w:rFonts w:ascii="Verdana" w:hAnsi="Verdana"/>
          <w:sz w:val="18"/>
          <w:szCs w:val="18"/>
        </w:rPr>
        <w:lastRenderedPageBreak/>
        <w:t>ingevoerd.</w:t>
      </w:r>
      <w:r w:rsidRPr="00751687">
        <w:rPr>
          <w:rFonts w:ascii="Verdana" w:hAnsi="Verdana"/>
          <w:sz w:val="18"/>
          <w:szCs w:val="18"/>
        </w:rPr>
        <w:t xml:space="preserve"> Hoewel de Commissie aangeeft dat </w:t>
      </w:r>
      <w:r>
        <w:rPr>
          <w:rFonts w:ascii="Verdana" w:hAnsi="Verdana"/>
          <w:sz w:val="18"/>
          <w:szCs w:val="18"/>
        </w:rPr>
        <w:t>deze optie de hoogste mate van rechtszekerheid bereikt</w:t>
      </w:r>
      <w:r w:rsidRPr="00751687">
        <w:rPr>
          <w:rFonts w:ascii="Verdana" w:hAnsi="Verdana"/>
          <w:sz w:val="18"/>
          <w:szCs w:val="18"/>
        </w:rPr>
        <w:t>, brengt dit een grote administratieve last met zich mee en werkt het beperkend in de beleidsvrijheid van de lidstaten</w:t>
      </w:r>
      <w:r>
        <w:rPr>
          <w:rFonts w:ascii="Verdana" w:hAnsi="Verdana"/>
          <w:sz w:val="18"/>
          <w:szCs w:val="18"/>
        </w:rPr>
        <w:t xml:space="preserve"> en medeoverheden</w:t>
      </w:r>
      <w:r w:rsidRPr="00751687">
        <w:rPr>
          <w:rFonts w:ascii="Verdana" w:hAnsi="Verdana"/>
          <w:sz w:val="18"/>
          <w:szCs w:val="18"/>
        </w:rPr>
        <w:t>.</w:t>
      </w:r>
      <w:r w:rsidRPr="00751687" w:rsidDel="00751687">
        <w:rPr>
          <w:rFonts w:ascii="Verdana" w:hAnsi="Verdana"/>
          <w:sz w:val="18"/>
          <w:szCs w:val="18"/>
        </w:rPr>
        <w:t xml:space="preserve"> </w:t>
      </w:r>
    </w:p>
    <w:p w:rsidRPr="000A28A7" w:rsidR="00065DEA" w:rsidP="00065DEA" w:rsidRDefault="00065DEA" w14:paraId="4CE7E6DC" w14:textId="77777777">
      <w:pPr>
        <w:spacing w:line="360" w:lineRule="auto"/>
        <w:ind w:left="360" w:hanging="360"/>
        <w:rPr>
          <w:rFonts w:ascii="Verdana" w:hAnsi="Verdana"/>
          <w:b/>
          <w:sz w:val="18"/>
          <w:szCs w:val="18"/>
        </w:rPr>
      </w:pPr>
    </w:p>
    <w:p w:rsidRPr="00214477" w:rsidR="00065DEA" w:rsidP="00214477" w:rsidRDefault="00065DEA" w14:paraId="77907197" w14:textId="77777777">
      <w:pPr>
        <w:numPr>
          <w:ilvl w:val="0"/>
          <w:numId w:val="8"/>
        </w:numPr>
        <w:spacing w:line="360" w:lineRule="auto"/>
        <w:rPr>
          <w:rFonts w:ascii="Verdana" w:hAnsi="Verdana"/>
          <w:b/>
          <w:bCs/>
          <w:sz w:val="18"/>
          <w:szCs w:val="18"/>
        </w:rPr>
      </w:pPr>
      <w:r w:rsidRPr="00D56B7D">
        <w:rPr>
          <w:rFonts w:ascii="Verdana" w:hAnsi="Verdana"/>
          <w:b/>
          <w:bCs/>
          <w:sz w:val="18"/>
          <w:szCs w:val="18"/>
        </w:rPr>
        <w:t xml:space="preserve">Nederlandse positie ten aanzien van het voorstel </w:t>
      </w:r>
    </w:p>
    <w:p w:rsidRPr="00214477" w:rsidR="00065DEA" w:rsidP="00214477" w:rsidRDefault="00065DEA" w14:paraId="7B62AEBB" w14:textId="77777777">
      <w:pPr>
        <w:numPr>
          <w:ilvl w:val="0"/>
          <w:numId w:val="10"/>
        </w:numPr>
        <w:spacing w:line="360" w:lineRule="auto"/>
        <w:rPr>
          <w:rFonts w:ascii="Verdana" w:hAnsi="Verdana"/>
          <w:i/>
          <w:iCs/>
          <w:sz w:val="18"/>
          <w:szCs w:val="18"/>
        </w:rPr>
      </w:pPr>
      <w:r w:rsidRPr="00D56B7D">
        <w:rPr>
          <w:rFonts w:ascii="Verdana" w:hAnsi="Verdana"/>
          <w:i/>
          <w:iCs/>
          <w:sz w:val="18"/>
          <w:szCs w:val="18"/>
        </w:rPr>
        <w:t>Essentie Nederlands beleid op dit terrein</w:t>
      </w:r>
    </w:p>
    <w:p w:rsidRPr="00F75D72" w:rsidR="00065DEA" w:rsidP="00065DEA" w:rsidRDefault="00065DEA" w14:paraId="13D625F6" w14:textId="70AFC4C0">
      <w:pPr>
        <w:spacing w:line="360" w:lineRule="auto"/>
        <w:rPr>
          <w:rFonts w:ascii="Verdana" w:hAnsi="Verdana"/>
          <w:sz w:val="18"/>
          <w:szCs w:val="18"/>
        </w:rPr>
      </w:pPr>
      <w:r w:rsidRPr="00F75D72">
        <w:rPr>
          <w:rFonts w:ascii="Verdana" w:hAnsi="Verdana"/>
          <w:sz w:val="18"/>
          <w:szCs w:val="18"/>
        </w:rPr>
        <w:t xml:space="preserve">Het Nederlandse beleid is gericht op het vergroten van de beschikbaarheid en betaalbaarheid van woningen. Het kabinet heeft als doel gesteld om jaarlijks </w:t>
      </w:r>
      <w:r w:rsidRPr="00F352C2">
        <w:rPr>
          <w:rFonts w:ascii="Verdana" w:hAnsi="Verdana"/>
          <w:sz w:val="18"/>
          <w:szCs w:val="18"/>
        </w:rPr>
        <w:t>100.000 woningen toe te voegen</w:t>
      </w:r>
      <w:r>
        <w:rPr>
          <w:rFonts w:ascii="Verdana" w:hAnsi="Verdana"/>
          <w:sz w:val="18"/>
          <w:szCs w:val="18"/>
        </w:rPr>
        <w:t xml:space="preserve"> aan de woningvoorraad, waarvan twee</w:t>
      </w:r>
      <w:r w:rsidR="00091853">
        <w:rPr>
          <w:rFonts w:ascii="Verdana" w:hAnsi="Verdana"/>
          <w:sz w:val="18"/>
          <w:szCs w:val="18"/>
        </w:rPr>
        <w:t xml:space="preserve"> </w:t>
      </w:r>
      <w:r>
        <w:rPr>
          <w:rFonts w:ascii="Verdana" w:hAnsi="Verdana"/>
          <w:sz w:val="18"/>
          <w:szCs w:val="18"/>
        </w:rPr>
        <w:t>derde betaalbaar en 30% sociale huurwoningen.</w:t>
      </w:r>
      <w:r w:rsidRPr="00F75D72">
        <w:rPr>
          <w:rFonts w:ascii="Verdana" w:hAnsi="Verdana"/>
          <w:sz w:val="18"/>
          <w:szCs w:val="18"/>
        </w:rPr>
        <w:t xml:space="preserve"> Dit is een gezamenlijke opgave van het Rijk en medeoverheden, omdat zij samen verantwoordelijk zijn voor het woonbeleid. Het Rijk stelt de nationale wettelijke kaders en beleidsdoelstellingen vast. Gemeenten hebben, binnen de nationale wettelijke kaders, bevoegdheden om lokaal in te grijpen wanneer de lokale woningmarkt daartoe aanleiding geeft.</w:t>
      </w:r>
      <w:r>
        <w:rPr>
          <w:rFonts w:ascii="Verdana" w:hAnsi="Verdana"/>
          <w:sz w:val="18"/>
          <w:szCs w:val="18"/>
        </w:rPr>
        <w:t xml:space="preserve"> </w:t>
      </w:r>
    </w:p>
    <w:p w:rsidR="00065DEA" w:rsidP="00065DEA" w:rsidRDefault="00065DEA" w14:paraId="197B02BF" w14:textId="77777777">
      <w:pPr>
        <w:spacing w:line="360" w:lineRule="auto"/>
        <w:rPr>
          <w:rFonts w:ascii="Verdana" w:hAnsi="Verdana"/>
          <w:iCs/>
          <w:sz w:val="18"/>
          <w:szCs w:val="18"/>
        </w:rPr>
      </w:pPr>
    </w:p>
    <w:p w:rsidR="0091359C" w:rsidRDefault="00065DEA" w14:paraId="46B9060D" w14:textId="055E00F3">
      <w:pPr>
        <w:spacing w:line="360" w:lineRule="auto"/>
        <w:rPr>
          <w:rFonts w:ascii="Verdana" w:hAnsi="Verdana"/>
          <w:sz w:val="18"/>
          <w:szCs w:val="18"/>
        </w:rPr>
      </w:pPr>
      <w:r w:rsidRPr="00F75D72">
        <w:rPr>
          <w:rFonts w:ascii="Verdana" w:hAnsi="Verdana"/>
          <w:sz w:val="18"/>
          <w:szCs w:val="18"/>
        </w:rPr>
        <w:t>De Huisvestingswet 2014 heeft het doel te zorgen voor een evenwichtige en rechtvaardige verdeling van woningen</w:t>
      </w:r>
      <w:r>
        <w:rPr>
          <w:rFonts w:ascii="Verdana" w:hAnsi="Verdana"/>
          <w:sz w:val="18"/>
          <w:szCs w:val="18"/>
        </w:rPr>
        <w:t>.</w:t>
      </w:r>
      <w:r w:rsidRPr="00F75D72">
        <w:rPr>
          <w:rStyle w:val="FootnoteReference"/>
          <w:rFonts w:ascii="Verdana" w:hAnsi="Verdana"/>
          <w:sz w:val="18"/>
          <w:szCs w:val="18"/>
        </w:rPr>
        <w:footnoteReference w:id="2"/>
      </w:r>
      <w:r>
        <w:rPr>
          <w:rFonts w:ascii="Verdana" w:hAnsi="Verdana"/>
          <w:sz w:val="18"/>
          <w:szCs w:val="18"/>
        </w:rPr>
        <w:t xml:space="preserve"> </w:t>
      </w:r>
      <w:r w:rsidRPr="00F75D72">
        <w:rPr>
          <w:rFonts w:ascii="Verdana" w:hAnsi="Verdana"/>
          <w:sz w:val="18"/>
          <w:szCs w:val="18"/>
        </w:rPr>
        <w:t>Maatregelen inzake de toeristische verhuur van woonruimte en de opkoopbescherming</w:t>
      </w:r>
      <w:r w:rsidR="00E05635">
        <w:rPr>
          <w:rFonts w:ascii="Verdana" w:hAnsi="Verdana"/>
          <w:sz w:val="18"/>
          <w:szCs w:val="18"/>
        </w:rPr>
        <w:t xml:space="preserve"> </w:t>
      </w:r>
      <w:r w:rsidRPr="00F75D72">
        <w:rPr>
          <w:rFonts w:ascii="Verdana" w:hAnsi="Verdana"/>
          <w:sz w:val="18"/>
          <w:szCs w:val="18"/>
        </w:rPr>
        <w:t>kunnen ook genomen worden indien dat noodzakelijk is voor het behoud van de leefbaarheid van de woonomgeving</w:t>
      </w:r>
      <w:r>
        <w:rPr>
          <w:rFonts w:ascii="Verdana" w:hAnsi="Verdana"/>
          <w:sz w:val="18"/>
          <w:szCs w:val="18"/>
        </w:rPr>
        <w:t>.</w:t>
      </w:r>
      <w:r w:rsidRPr="00F75D72">
        <w:rPr>
          <w:rStyle w:val="FootnoteReference"/>
          <w:rFonts w:ascii="Verdana" w:hAnsi="Verdana"/>
          <w:sz w:val="18"/>
          <w:szCs w:val="18"/>
        </w:rPr>
        <w:footnoteReference w:id="3"/>
      </w:r>
      <w:r w:rsidRPr="00F75D72">
        <w:rPr>
          <w:rFonts w:ascii="Verdana" w:hAnsi="Verdana"/>
          <w:sz w:val="18"/>
          <w:szCs w:val="18"/>
        </w:rPr>
        <w:t xml:space="preserve"> Op basis van deze wet kunnen gemeenten hun eigen lokale huisvestingsverordening met voorschriften vaststellen. De maatregelen kunnen onder meer gaan over de toewijzing van huurwoningen, het aanwijzen van groepen met voorrang of urgentie, de invoering van een vergunningplicht voor het aanpassen van woningen, een registratie-</w:t>
      </w:r>
      <w:r w:rsidR="0091359C">
        <w:rPr>
          <w:rFonts w:ascii="Verdana" w:hAnsi="Verdana"/>
          <w:sz w:val="18"/>
          <w:szCs w:val="18"/>
        </w:rPr>
        <w:t>,</w:t>
      </w:r>
      <w:r w:rsidRPr="00F75D72">
        <w:rPr>
          <w:rFonts w:ascii="Verdana" w:hAnsi="Verdana"/>
          <w:sz w:val="18"/>
          <w:szCs w:val="18"/>
        </w:rPr>
        <w:t xml:space="preserve"> meld of vergunningsplicht voor toeristische verhuur van woonruimte of de invoering van maatregelen die moeten voorkomen dat woningen worden opgekocht om ze te verhuren</w:t>
      </w:r>
      <w:r>
        <w:rPr>
          <w:rFonts w:ascii="Verdana" w:hAnsi="Verdana"/>
          <w:sz w:val="18"/>
          <w:szCs w:val="18"/>
        </w:rPr>
        <w:t>.</w:t>
      </w:r>
      <w:r w:rsidRPr="00F75D72">
        <w:rPr>
          <w:rStyle w:val="FootnoteReference"/>
          <w:rFonts w:ascii="Verdana" w:hAnsi="Verdana"/>
          <w:sz w:val="18"/>
          <w:szCs w:val="18"/>
        </w:rPr>
        <w:footnoteReference w:id="4"/>
      </w:r>
      <w:r w:rsidRPr="00F75D72">
        <w:rPr>
          <w:rFonts w:ascii="Verdana" w:hAnsi="Verdana"/>
          <w:sz w:val="18"/>
          <w:szCs w:val="18"/>
        </w:rPr>
        <w:t xml:space="preserve"> Daarnaast zijn in de wet ook verplichtingen opgenomen voor platforms voor toeristische verhuur van woonruimte. Deze platforms hebben een informatieplicht over lokale regelgeving richting de aanbieders en de verplichting geen advertenties te tonen zonder registratienummer. Gemeenten mogen de instrumenten uit de Huisvestingswet 2014 alleen inzetten als zij de noodzaak en proportionaliteit van de maatregelen kunnen onderbouwen</w:t>
      </w:r>
      <w:r>
        <w:rPr>
          <w:rFonts w:ascii="Verdana" w:hAnsi="Verdana"/>
          <w:sz w:val="18"/>
          <w:szCs w:val="18"/>
        </w:rPr>
        <w:t>.</w:t>
      </w:r>
      <w:r w:rsidR="00A51C9D">
        <w:rPr>
          <w:rFonts w:ascii="Verdana" w:hAnsi="Verdana"/>
          <w:sz w:val="18"/>
          <w:szCs w:val="18"/>
        </w:rPr>
        <w:t xml:space="preserve"> </w:t>
      </w:r>
    </w:p>
    <w:p w:rsidR="0091359C" w:rsidRDefault="0091359C" w14:paraId="345CDF15" w14:textId="77777777">
      <w:pPr>
        <w:spacing w:line="360" w:lineRule="auto"/>
        <w:rPr>
          <w:rFonts w:ascii="Verdana" w:hAnsi="Verdana"/>
          <w:sz w:val="18"/>
          <w:szCs w:val="18"/>
        </w:rPr>
      </w:pPr>
    </w:p>
    <w:p w:rsidRPr="00617505" w:rsidR="0A201FDE" w:rsidP="00617505" w:rsidRDefault="0A201FDE" w14:paraId="392E87A7" w14:textId="78824E31">
      <w:pPr>
        <w:spacing w:line="360" w:lineRule="auto"/>
        <w:rPr>
          <w:rFonts w:ascii="Verdana" w:hAnsi="Verdana"/>
          <w:sz w:val="18"/>
          <w:szCs w:val="18"/>
        </w:rPr>
      </w:pPr>
      <w:r w:rsidRPr="00617505">
        <w:rPr>
          <w:rFonts w:ascii="Verdana" w:hAnsi="Verdana"/>
          <w:sz w:val="18"/>
          <w:szCs w:val="18"/>
        </w:rPr>
        <w:t xml:space="preserve">Per 20 mei 2026 is de Short-Term </w:t>
      </w:r>
      <w:proofErr w:type="spellStart"/>
      <w:r w:rsidRPr="00617505">
        <w:rPr>
          <w:rFonts w:ascii="Verdana" w:hAnsi="Verdana"/>
          <w:sz w:val="18"/>
          <w:szCs w:val="18"/>
        </w:rPr>
        <w:t>Rental</w:t>
      </w:r>
      <w:proofErr w:type="spellEnd"/>
      <w:r w:rsidRPr="00617505">
        <w:rPr>
          <w:rFonts w:ascii="Verdana" w:hAnsi="Verdana"/>
          <w:sz w:val="18"/>
          <w:szCs w:val="18"/>
        </w:rPr>
        <w:t xml:space="preserve"> (STR) verordening (EU) 2024/1028 in werking getreden. Het streven is dat de hieruit voortvloeiende wijzigingen in de Huisvestingswet 2014 per 1 november 2026 in Nederland in werking treden. Deze verordening zorgt voor een Europees kader voor registratie en het delen van gegevens door online platforms. Dit ondersteunt gemeenten bij toezicht, handhaving en het onderbouwen van regulering.</w:t>
      </w:r>
      <w:r w:rsidR="00A51C9D">
        <w:rPr>
          <w:rFonts w:ascii="Verdana" w:hAnsi="Verdana"/>
          <w:sz w:val="18"/>
          <w:szCs w:val="18"/>
        </w:rPr>
        <w:t xml:space="preserve"> </w:t>
      </w:r>
    </w:p>
    <w:p w:rsidR="0085307D" w:rsidP="00065DEA" w:rsidRDefault="0085307D" w14:paraId="1E524C38" w14:textId="77777777">
      <w:pPr>
        <w:spacing w:line="360" w:lineRule="auto"/>
        <w:rPr>
          <w:rFonts w:ascii="Verdana" w:hAnsi="Verdana"/>
          <w:sz w:val="18"/>
          <w:szCs w:val="18"/>
        </w:rPr>
      </w:pPr>
    </w:p>
    <w:p w:rsidR="00065DEA" w:rsidP="00065DEA" w:rsidRDefault="00943BB8" w14:paraId="47326CDA" w14:textId="34C8DFD1">
      <w:pPr>
        <w:spacing w:line="360" w:lineRule="auto"/>
        <w:rPr>
          <w:rFonts w:ascii="Verdana" w:hAnsi="Verdana"/>
          <w:sz w:val="18"/>
          <w:szCs w:val="18"/>
        </w:rPr>
      </w:pPr>
      <w:r w:rsidRPr="00617505">
        <w:rPr>
          <w:rFonts w:ascii="Verdana" w:hAnsi="Verdana" w:eastAsia="Times New Roman"/>
          <w:sz w:val="18"/>
          <w:szCs w:val="18"/>
          <w:lang w:eastAsia="nl-NL"/>
        </w:rPr>
        <w:t xml:space="preserve">Onder de Leegstandswet kunnen Nederlandse gemeenten via een verordening inzicht krijgen in leegstand en daartegen optreden. De Leegstandswet is </w:t>
      </w:r>
      <w:r w:rsidR="0085307D">
        <w:rPr>
          <w:rFonts w:ascii="Verdana" w:hAnsi="Verdana" w:eastAsia="Times New Roman"/>
          <w:sz w:val="18"/>
          <w:szCs w:val="18"/>
          <w:lang w:eastAsia="nl-NL"/>
        </w:rPr>
        <w:t>recent</w:t>
      </w:r>
      <w:r w:rsidRPr="00617505">
        <w:rPr>
          <w:rFonts w:ascii="Verdana" w:hAnsi="Verdana" w:eastAsia="Times New Roman"/>
          <w:sz w:val="18"/>
          <w:szCs w:val="18"/>
          <w:lang w:eastAsia="nl-NL"/>
        </w:rPr>
        <w:t xml:space="preserve"> geëvalueerd. Naar aanleiding van deze evaluatie wordt momenteel een wetswijziging voorbereid</w:t>
      </w:r>
      <w:r w:rsidR="005F0A4B">
        <w:rPr>
          <w:rFonts w:ascii="Verdana" w:hAnsi="Verdana" w:eastAsia="Times New Roman"/>
          <w:sz w:val="18"/>
          <w:szCs w:val="18"/>
          <w:lang w:eastAsia="nl-NL"/>
        </w:rPr>
        <w:t xml:space="preserve"> die thans aan de Tweede Kamer is </w:t>
      </w:r>
      <w:r w:rsidR="005F0A4B">
        <w:rPr>
          <w:rFonts w:ascii="Verdana" w:hAnsi="Verdana" w:eastAsia="Times New Roman"/>
          <w:sz w:val="18"/>
          <w:szCs w:val="18"/>
          <w:lang w:eastAsia="nl-NL"/>
        </w:rPr>
        <w:lastRenderedPageBreak/>
        <w:t>aangeboden</w:t>
      </w:r>
      <w:r w:rsidRPr="00617505">
        <w:rPr>
          <w:rFonts w:ascii="Verdana" w:hAnsi="Verdana" w:eastAsia="Times New Roman"/>
          <w:sz w:val="18"/>
          <w:szCs w:val="18"/>
          <w:lang w:eastAsia="nl-NL"/>
        </w:rPr>
        <w:t xml:space="preserve">. Een nieuw instrument is </w:t>
      </w:r>
      <w:r w:rsidR="005F0A4B">
        <w:rPr>
          <w:rFonts w:ascii="Verdana" w:hAnsi="Verdana" w:eastAsia="Times New Roman"/>
          <w:sz w:val="18"/>
          <w:szCs w:val="18"/>
          <w:lang w:eastAsia="nl-NL"/>
        </w:rPr>
        <w:t xml:space="preserve">daarnaast </w:t>
      </w:r>
      <w:r w:rsidRPr="00617505">
        <w:rPr>
          <w:rFonts w:ascii="Verdana" w:hAnsi="Verdana" w:eastAsia="Times New Roman"/>
          <w:sz w:val="18"/>
          <w:szCs w:val="18"/>
          <w:lang w:eastAsia="nl-NL"/>
        </w:rPr>
        <w:t>de leegstands</w:t>
      </w:r>
      <w:r w:rsidR="005F0A4B">
        <w:rPr>
          <w:rFonts w:ascii="Verdana" w:hAnsi="Verdana" w:eastAsia="Times New Roman"/>
          <w:sz w:val="18"/>
          <w:szCs w:val="18"/>
          <w:lang w:eastAsia="nl-NL"/>
        </w:rPr>
        <w:t>belasting</w:t>
      </w:r>
      <w:r w:rsidRPr="00617505">
        <w:rPr>
          <w:rFonts w:ascii="Verdana" w:hAnsi="Verdana" w:eastAsia="Times New Roman"/>
          <w:sz w:val="18"/>
          <w:szCs w:val="18"/>
          <w:lang w:eastAsia="nl-NL"/>
        </w:rPr>
        <w:t>. Dit kan worden ingezet om langdurige leegstand van woningen aan te pakken. Met deze maatregel kunnen gemeenten een heffing opleggen aan eigenaren van woningen die langer dan één jaar leegstaan</w:t>
      </w:r>
      <w:r w:rsidRPr="00617505" w:rsidR="64B1353C">
        <w:rPr>
          <w:rFonts w:ascii="Verdana" w:hAnsi="Verdana" w:eastAsia="Times New Roman"/>
          <w:sz w:val="18"/>
          <w:szCs w:val="18"/>
          <w:lang w:eastAsia="nl-NL"/>
        </w:rPr>
        <w:t>.</w:t>
      </w:r>
    </w:p>
    <w:p w:rsidRPr="00617505" w:rsidR="0A201FDE" w:rsidP="00617505" w:rsidRDefault="0A201FDE" w14:paraId="3C35B039" w14:textId="093091F6">
      <w:pPr>
        <w:spacing w:line="360" w:lineRule="auto"/>
        <w:rPr>
          <w:rFonts w:ascii="Verdana" w:hAnsi="Verdana"/>
          <w:sz w:val="18"/>
          <w:szCs w:val="18"/>
        </w:rPr>
      </w:pPr>
    </w:p>
    <w:p w:rsidR="00065DEA" w:rsidP="00065DEA" w:rsidRDefault="00065DEA" w14:paraId="6F551733" w14:textId="25DFA091">
      <w:pPr>
        <w:spacing w:line="360" w:lineRule="auto"/>
        <w:rPr>
          <w:rFonts w:ascii="Verdana" w:hAnsi="Verdana"/>
          <w:sz w:val="18"/>
          <w:szCs w:val="18"/>
        </w:rPr>
      </w:pPr>
      <w:r w:rsidRPr="00B264BE">
        <w:rPr>
          <w:rFonts w:ascii="Verdana" w:hAnsi="Verdana"/>
          <w:sz w:val="18"/>
          <w:szCs w:val="18"/>
        </w:rPr>
        <w:t>Het Nederlandse grondbeleid is uitgewerkt in de Omgevingswet, en bevat meerdere instrumenten die gemeenten in staat stellen om directer te sturen op</w:t>
      </w:r>
      <w:r w:rsidR="0091359C">
        <w:rPr>
          <w:rFonts w:ascii="Verdana" w:hAnsi="Verdana"/>
          <w:sz w:val="18"/>
          <w:szCs w:val="18"/>
        </w:rPr>
        <w:t xml:space="preserve"> het</w:t>
      </w:r>
      <w:r w:rsidRPr="00B264BE">
        <w:rPr>
          <w:rFonts w:ascii="Verdana" w:hAnsi="Verdana"/>
          <w:sz w:val="18"/>
          <w:szCs w:val="18"/>
        </w:rPr>
        <w:t xml:space="preserve"> vergroten van het woonaanbod. Belangrijkste instrumenten zijn </w:t>
      </w:r>
      <w:r>
        <w:rPr>
          <w:rFonts w:ascii="Verdana" w:hAnsi="Verdana"/>
          <w:sz w:val="18"/>
          <w:szCs w:val="18"/>
        </w:rPr>
        <w:t>het voorkeursrecht en onteigening. Het voorkeursrecht geeft</w:t>
      </w:r>
      <w:r w:rsidRPr="00B264BE">
        <w:rPr>
          <w:rFonts w:ascii="Verdana" w:hAnsi="Verdana"/>
          <w:sz w:val="18"/>
          <w:szCs w:val="18"/>
        </w:rPr>
        <w:t xml:space="preserve"> gemeenten (of de provincie of het Rijk) het recht van eerste koop op grond en andere roerende zaken</w:t>
      </w:r>
      <w:r>
        <w:rPr>
          <w:rFonts w:ascii="Verdana" w:hAnsi="Verdana"/>
          <w:sz w:val="18"/>
          <w:szCs w:val="18"/>
        </w:rPr>
        <w:t xml:space="preserve"> wanneer de gemeente een andere functie voor de grond beoog</w:t>
      </w:r>
      <w:r w:rsidR="0091359C">
        <w:rPr>
          <w:rFonts w:ascii="Verdana" w:hAnsi="Verdana"/>
          <w:sz w:val="18"/>
          <w:szCs w:val="18"/>
        </w:rPr>
        <w:t>t</w:t>
      </w:r>
      <w:r>
        <w:rPr>
          <w:rFonts w:ascii="Verdana" w:hAnsi="Verdana"/>
          <w:sz w:val="18"/>
          <w:szCs w:val="18"/>
        </w:rPr>
        <w:t>. Een</w:t>
      </w:r>
      <w:r w:rsidR="00551621">
        <w:rPr>
          <w:rFonts w:ascii="Verdana" w:hAnsi="Verdana"/>
          <w:sz w:val="18"/>
          <w:szCs w:val="18"/>
        </w:rPr>
        <w:t xml:space="preserve"> </w:t>
      </w:r>
      <w:r>
        <w:rPr>
          <w:rFonts w:ascii="Verdana" w:hAnsi="Verdana"/>
          <w:sz w:val="18"/>
          <w:szCs w:val="18"/>
        </w:rPr>
        <w:t xml:space="preserve">overheid kan </w:t>
      </w:r>
      <w:r w:rsidRPr="00B264BE">
        <w:rPr>
          <w:rFonts w:ascii="Verdana" w:hAnsi="Verdana"/>
          <w:sz w:val="18"/>
          <w:szCs w:val="18"/>
        </w:rPr>
        <w:t>onteigen</w:t>
      </w:r>
      <w:r>
        <w:rPr>
          <w:rFonts w:ascii="Verdana" w:hAnsi="Verdana"/>
          <w:sz w:val="18"/>
          <w:szCs w:val="18"/>
        </w:rPr>
        <w:t>en als zij het Omgevingsplan wijzigt en een ander gebruik voor de grond voor ogen heeft dan het huidig gebruik</w:t>
      </w:r>
      <w:r w:rsidRPr="00B264BE">
        <w:rPr>
          <w:rFonts w:ascii="Verdana" w:hAnsi="Verdana"/>
          <w:sz w:val="18"/>
          <w:szCs w:val="18"/>
        </w:rPr>
        <w:t xml:space="preserve">. </w:t>
      </w:r>
    </w:p>
    <w:p w:rsidR="00065DEA" w:rsidP="00065DEA" w:rsidRDefault="00065DEA" w14:paraId="2E67F2D8" w14:textId="77777777">
      <w:pPr>
        <w:spacing w:line="360" w:lineRule="auto"/>
        <w:rPr>
          <w:rFonts w:ascii="Verdana" w:hAnsi="Verdana"/>
          <w:b/>
          <w:sz w:val="18"/>
          <w:szCs w:val="18"/>
        </w:rPr>
      </w:pPr>
    </w:p>
    <w:p w:rsidRPr="00214477" w:rsidR="00065DEA" w:rsidP="00214477" w:rsidRDefault="00065DEA" w14:paraId="64DC10EC" w14:textId="77777777">
      <w:pPr>
        <w:numPr>
          <w:ilvl w:val="0"/>
          <w:numId w:val="10"/>
        </w:numPr>
        <w:spacing w:line="360" w:lineRule="auto"/>
        <w:rPr>
          <w:rFonts w:ascii="Verdana" w:hAnsi="Verdana"/>
          <w:i/>
          <w:iCs/>
          <w:sz w:val="18"/>
          <w:szCs w:val="18"/>
        </w:rPr>
      </w:pPr>
      <w:r w:rsidRPr="00D56B7D">
        <w:rPr>
          <w:rFonts w:ascii="Verdana" w:hAnsi="Verdana"/>
          <w:i/>
          <w:iCs/>
          <w:sz w:val="18"/>
          <w:szCs w:val="18"/>
        </w:rPr>
        <w:t>Beoordeling + inzet ten aanzien van dit voorstel</w:t>
      </w:r>
    </w:p>
    <w:p w:rsidRPr="005F4658" w:rsidR="00065DEA" w:rsidP="00617505" w:rsidRDefault="00065DEA" w14:paraId="6982205F" w14:textId="6C670A66">
      <w:pPr>
        <w:spacing w:line="360" w:lineRule="auto"/>
        <w:rPr>
          <w:rFonts w:ascii="Verdana" w:hAnsi="Verdana"/>
          <w:sz w:val="18"/>
          <w:szCs w:val="18"/>
        </w:rPr>
      </w:pPr>
      <w:r w:rsidRPr="00FA59C4">
        <w:rPr>
          <w:rFonts w:ascii="Verdana" w:hAnsi="Verdana"/>
          <w:sz w:val="18"/>
          <w:szCs w:val="18"/>
        </w:rPr>
        <w:t xml:space="preserve">Het kabinet verwelkomt de inzet van de Commissie om betaalbaarheid van wonen in </w:t>
      </w:r>
      <w:r w:rsidR="001E7FC2">
        <w:rPr>
          <w:rFonts w:ascii="Verdana" w:hAnsi="Verdana"/>
          <w:sz w:val="18"/>
          <w:szCs w:val="18"/>
        </w:rPr>
        <w:t>de Europese Unie</w:t>
      </w:r>
      <w:r w:rsidRPr="00FA59C4" w:rsidR="001E7FC2">
        <w:rPr>
          <w:rFonts w:ascii="Verdana" w:hAnsi="Verdana"/>
          <w:sz w:val="18"/>
          <w:szCs w:val="18"/>
        </w:rPr>
        <w:t xml:space="preserve"> </w:t>
      </w:r>
      <w:r w:rsidRPr="00FA59C4">
        <w:rPr>
          <w:rFonts w:ascii="Verdana" w:hAnsi="Verdana"/>
          <w:sz w:val="18"/>
          <w:szCs w:val="18"/>
        </w:rPr>
        <w:t xml:space="preserve">te verbeteren. De Eurocommissaris heeft met het eerder gepubliceerde </w:t>
      </w:r>
      <w:proofErr w:type="spellStart"/>
      <w:r w:rsidRPr="00F51156">
        <w:rPr>
          <w:rFonts w:ascii="Verdana" w:hAnsi="Verdana"/>
          <w:i/>
          <w:iCs/>
          <w:sz w:val="18"/>
          <w:szCs w:val="18"/>
        </w:rPr>
        <w:t>Affordable</w:t>
      </w:r>
      <w:proofErr w:type="spellEnd"/>
      <w:r w:rsidRPr="00F51156">
        <w:rPr>
          <w:rFonts w:ascii="Verdana" w:hAnsi="Verdana"/>
          <w:i/>
          <w:iCs/>
          <w:sz w:val="18"/>
          <w:szCs w:val="18"/>
        </w:rPr>
        <w:t xml:space="preserve"> </w:t>
      </w:r>
      <w:proofErr w:type="spellStart"/>
      <w:r w:rsidRPr="00F51156">
        <w:rPr>
          <w:rFonts w:ascii="Verdana" w:hAnsi="Verdana"/>
          <w:i/>
          <w:iCs/>
          <w:sz w:val="18"/>
          <w:szCs w:val="18"/>
        </w:rPr>
        <w:t>Housing</w:t>
      </w:r>
      <w:proofErr w:type="spellEnd"/>
      <w:r w:rsidRPr="00FA59C4">
        <w:rPr>
          <w:rFonts w:ascii="Verdana" w:hAnsi="Verdana"/>
          <w:sz w:val="18"/>
          <w:szCs w:val="18"/>
        </w:rPr>
        <w:t xml:space="preserve"> </w:t>
      </w:r>
      <w:r w:rsidRPr="00F51156">
        <w:rPr>
          <w:rFonts w:ascii="Verdana" w:hAnsi="Verdana"/>
          <w:i/>
          <w:iCs/>
          <w:sz w:val="18"/>
          <w:szCs w:val="18"/>
        </w:rPr>
        <w:t>Plan</w:t>
      </w:r>
      <w:r w:rsidRPr="00FA59C4">
        <w:rPr>
          <w:rFonts w:ascii="Verdana" w:hAnsi="Verdana"/>
          <w:sz w:val="18"/>
          <w:szCs w:val="18"/>
        </w:rPr>
        <w:t xml:space="preserve"> een ambitieuze koers uitgezet om de wooncrisis in Europa te bestrijden. Het kabinet waardeert de inspanningen van de Commissie tot nu toe.</w:t>
      </w:r>
      <w:r>
        <w:rPr>
          <w:rStyle w:val="FootnoteReference"/>
          <w:rFonts w:ascii="Verdana" w:hAnsi="Verdana"/>
          <w:sz w:val="18"/>
          <w:szCs w:val="18"/>
        </w:rPr>
        <w:footnoteReference w:id="5"/>
      </w:r>
      <w:r w:rsidRPr="00FA59C4">
        <w:rPr>
          <w:rFonts w:ascii="Verdana" w:hAnsi="Verdana"/>
          <w:sz w:val="18"/>
          <w:szCs w:val="18"/>
        </w:rPr>
        <w:t xml:space="preserve"> </w:t>
      </w:r>
    </w:p>
    <w:p w:rsidRPr="004A7E1B" w:rsidR="00065DEA" w:rsidP="00CC5A4D" w:rsidRDefault="00065DEA" w14:paraId="6176EC96" w14:textId="782F6D19">
      <w:pPr>
        <w:tabs>
          <w:tab w:val="left" w:pos="1980"/>
        </w:tabs>
        <w:spacing w:line="360" w:lineRule="auto"/>
        <w:rPr>
          <w:rFonts w:ascii="Verdana" w:hAnsi="Verdana"/>
          <w:iCs/>
          <w:sz w:val="18"/>
          <w:szCs w:val="18"/>
        </w:rPr>
      </w:pPr>
    </w:p>
    <w:p w:rsidRPr="00FA59C4" w:rsidR="00065DEA" w:rsidP="00065DEA" w:rsidRDefault="00065DEA" w14:paraId="2A5F19D9" w14:textId="5D8252F0">
      <w:pPr>
        <w:spacing w:line="360" w:lineRule="auto"/>
        <w:rPr>
          <w:rFonts w:ascii="Verdana" w:hAnsi="Verdana"/>
          <w:sz w:val="18"/>
          <w:szCs w:val="18"/>
        </w:rPr>
      </w:pPr>
      <w:r w:rsidRPr="00FA59C4">
        <w:rPr>
          <w:rFonts w:ascii="Verdana" w:hAnsi="Verdana"/>
          <w:sz w:val="18"/>
          <w:szCs w:val="18"/>
        </w:rPr>
        <w:t xml:space="preserve">Het kabinet acht het </w:t>
      </w:r>
      <w:r w:rsidR="00CC5A4D">
        <w:rPr>
          <w:rFonts w:ascii="Verdana" w:hAnsi="Verdana"/>
          <w:sz w:val="18"/>
          <w:szCs w:val="18"/>
        </w:rPr>
        <w:t xml:space="preserve">daarbij wel </w:t>
      </w:r>
      <w:r w:rsidRPr="00FA59C4">
        <w:rPr>
          <w:rFonts w:ascii="Verdana" w:hAnsi="Verdana"/>
          <w:sz w:val="18"/>
          <w:szCs w:val="18"/>
        </w:rPr>
        <w:t xml:space="preserve">wenselijk dat lidstaten en decentrale overheden voldoende beleidsruimte houden om op basis van lokale omstandigheden maatregelen te nemen op de woningmarkt. Het kabinet is kritisch over de mate waarin het voorgestelde kader van de Commissie op dit moment deze ruimte biedt. Hoewel de Commissie stelt dat het voorgestelde kader moet helpen bij het introduceren van regels, lijkt het voorstel in relatie tot de Nederlandse context juist een beperking in te houden van de op dit moment in </w:t>
      </w:r>
      <w:r w:rsidRPr="00D6431D">
        <w:rPr>
          <w:rFonts w:ascii="Verdana" w:hAnsi="Verdana"/>
          <w:sz w:val="18"/>
          <w:szCs w:val="18"/>
        </w:rPr>
        <w:t>Nederland</w:t>
      </w:r>
      <w:r w:rsidRPr="00FA59C4">
        <w:rPr>
          <w:rFonts w:ascii="Verdana" w:hAnsi="Verdana"/>
          <w:sz w:val="18"/>
          <w:szCs w:val="18"/>
        </w:rPr>
        <w:t xml:space="preserve"> geldende maatregelen. </w:t>
      </w:r>
      <w:r w:rsidR="005B0D3F">
        <w:rPr>
          <w:rFonts w:ascii="Verdana" w:hAnsi="Verdana"/>
          <w:sz w:val="18"/>
          <w:szCs w:val="18"/>
        </w:rPr>
        <w:t>Hierbij baseert het kabinet haar beoordeling op de aanname dat de door de Commissie geïntroduceerde</w:t>
      </w:r>
      <w:r w:rsidRPr="008C4F2E" w:rsidR="005B0D3F">
        <w:rPr>
          <w:rFonts w:ascii="Verdana" w:hAnsi="Verdana"/>
          <w:sz w:val="18"/>
          <w:szCs w:val="18"/>
        </w:rPr>
        <w:t xml:space="preserve"> grondslag beschikbaarheid en betaalbaarheid van woningen gelijk is aan de grondslag schaarste</w:t>
      </w:r>
      <w:r w:rsidR="005B0D3F">
        <w:rPr>
          <w:rFonts w:ascii="Verdana" w:hAnsi="Verdana"/>
          <w:sz w:val="18"/>
          <w:szCs w:val="18"/>
        </w:rPr>
        <w:t xml:space="preserve"> zoals we die in Nederland hanteren. </w:t>
      </w:r>
      <w:r w:rsidR="00BA4BA5">
        <w:rPr>
          <w:rFonts w:ascii="Verdana" w:hAnsi="Verdana"/>
          <w:sz w:val="18"/>
          <w:szCs w:val="18"/>
        </w:rPr>
        <w:t>Hierover zal verduidelijking worden gevraagd bij de Commissie.</w:t>
      </w:r>
    </w:p>
    <w:p w:rsidRPr="00CA49DA" w:rsidR="00065DEA" w:rsidP="00065DEA" w:rsidRDefault="00065DEA" w14:paraId="1D6F6E21" w14:textId="77777777">
      <w:pPr>
        <w:pStyle w:val="ListParagraph"/>
        <w:rPr>
          <w:rFonts w:ascii="Verdana" w:hAnsi="Verdana"/>
          <w:iCs/>
          <w:sz w:val="18"/>
          <w:szCs w:val="18"/>
        </w:rPr>
      </w:pPr>
    </w:p>
    <w:p w:rsidR="00D3244A" w:rsidP="00D3244A" w:rsidRDefault="00D3244A" w14:paraId="354EAD27" w14:textId="3F63A9B5">
      <w:pPr>
        <w:spacing w:line="360" w:lineRule="auto"/>
        <w:rPr>
          <w:rFonts w:ascii="Verdana" w:hAnsi="Verdana"/>
          <w:sz w:val="18"/>
          <w:szCs w:val="18"/>
        </w:rPr>
      </w:pPr>
      <w:r>
        <w:rPr>
          <w:rFonts w:ascii="Verdana" w:hAnsi="Verdana"/>
          <w:sz w:val="18"/>
          <w:szCs w:val="18"/>
        </w:rPr>
        <w:t>Het kabinet is kritisch op een EU-brede harmonisatie van het begrip ‘overspannen woningmarkt’, omdat dit in praktijk voor</w:t>
      </w:r>
      <w:r w:rsidRPr="684DF313">
        <w:rPr>
          <w:rFonts w:ascii="Verdana" w:hAnsi="Verdana"/>
          <w:sz w:val="18"/>
          <w:szCs w:val="18"/>
        </w:rPr>
        <w:t xml:space="preserve"> gemeenten</w:t>
      </w:r>
      <w:r>
        <w:rPr>
          <w:rFonts w:ascii="Verdana" w:hAnsi="Verdana"/>
          <w:sz w:val="18"/>
          <w:szCs w:val="18"/>
        </w:rPr>
        <w:t xml:space="preserve"> mogelijk </w:t>
      </w:r>
      <w:r w:rsidRPr="684DF313">
        <w:rPr>
          <w:rFonts w:ascii="Verdana" w:hAnsi="Verdana"/>
          <w:sz w:val="18"/>
          <w:szCs w:val="18"/>
        </w:rPr>
        <w:t xml:space="preserve">een extra drempel </w:t>
      </w:r>
      <w:r>
        <w:rPr>
          <w:rFonts w:ascii="Verdana" w:hAnsi="Verdana"/>
          <w:sz w:val="18"/>
          <w:szCs w:val="18"/>
        </w:rPr>
        <w:t>opwerpt</w:t>
      </w:r>
      <w:r w:rsidRPr="684DF313">
        <w:rPr>
          <w:rFonts w:ascii="Verdana" w:hAnsi="Verdana"/>
          <w:sz w:val="18"/>
          <w:szCs w:val="18"/>
        </w:rPr>
        <w:t xml:space="preserve"> om hun beleid voort te zetten onder de voorgestelde verordening. In Nederland reguleren op dit moment 34 gemeenten toeristische verhuur, d</w:t>
      </w:r>
      <w:r>
        <w:rPr>
          <w:rFonts w:ascii="Verdana" w:hAnsi="Verdana"/>
          <w:sz w:val="18"/>
          <w:szCs w:val="18"/>
        </w:rPr>
        <w:t>i</w:t>
      </w:r>
      <w:r w:rsidRPr="684DF313">
        <w:rPr>
          <w:rFonts w:ascii="Verdana" w:hAnsi="Verdana"/>
          <w:sz w:val="18"/>
          <w:szCs w:val="18"/>
        </w:rPr>
        <w:t>e</w:t>
      </w:r>
      <w:r>
        <w:rPr>
          <w:rFonts w:ascii="Verdana" w:hAnsi="Verdana"/>
          <w:sz w:val="18"/>
          <w:szCs w:val="18"/>
        </w:rPr>
        <w:t xml:space="preserve"> </w:t>
      </w:r>
      <w:r w:rsidRPr="684DF313">
        <w:rPr>
          <w:rFonts w:ascii="Verdana" w:hAnsi="Verdana"/>
          <w:sz w:val="18"/>
          <w:szCs w:val="18"/>
        </w:rPr>
        <w:t xml:space="preserve">onder de </w:t>
      </w:r>
      <w:r>
        <w:rPr>
          <w:rFonts w:ascii="Verdana" w:hAnsi="Verdana"/>
          <w:sz w:val="18"/>
          <w:szCs w:val="18"/>
        </w:rPr>
        <w:t>voorgestelde</w:t>
      </w:r>
      <w:r w:rsidRPr="005F4658">
        <w:rPr>
          <w:rFonts w:ascii="Verdana" w:hAnsi="Verdana"/>
          <w:sz w:val="18"/>
          <w:szCs w:val="18"/>
        </w:rPr>
        <w:t xml:space="preserve"> verordening </w:t>
      </w:r>
      <w:r w:rsidRPr="684DF313">
        <w:rPr>
          <w:rFonts w:ascii="Verdana" w:hAnsi="Verdana"/>
          <w:sz w:val="18"/>
          <w:szCs w:val="18"/>
        </w:rPr>
        <w:t>zullen moeten aantonen of ze aan de voorgestelde voorwaarden voldoen</w:t>
      </w:r>
      <w:r>
        <w:rPr>
          <w:rFonts w:ascii="Verdana" w:hAnsi="Verdana"/>
          <w:sz w:val="18"/>
          <w:szCs w:val="18"/>
        </w:rPr>
        <w:t xml:space="preserve"> wanneer dit op grond is van het beschermen van beschikbaarheid en betaalbaarheid van woningen</w:t>
      </w:r>
      <w:r w:rsidRPr="684DF313">
        <w:rPr>
          <w:rFonts w:ascii="Verdana" w:hAnsi="Verdana"/>
          <w:sz w:val="18"/>
          <w:szCs w:val="18"/>
        </w:rPr>
        <w:t xml:space="preserve">. </w:t>
      </w:r>
      <w:r w:rsidR="00BA4BA5">
        <w:rPr>
          <w:rFonts w:ascii="Verdana" w:hAnsi="Verdana"/>
          <w:sz w:val="18"/>
          <w:szCs w:val="18"/>
        </w:rPr>
        <w:t xml:space="preserve">Zo moeten gemeenten </w:t>
      </w:r>
      <w:r w:rsidRPr="684DF313">
        <w:rPr>
          <w:rFonts w:ascii="Verdana" w:hAnsi="Verdana"/>
          <w:sz w:val="18"/>
          <w:szCs w:val="18"/>
        </w:rPr>
        <w:t xml:space="preserve">straks onder meer aantonen dat er volgens de voorgeschreven criteria sprake is van </w:t>
      </w:r>
      <w:r>
        <w:rPr>
          <w:rFonts w:ascii="Verdana" w:hAnsi="Verdana"/>
          <w:sz w:val="18"/>
          <w:szCs w:val="18"/>
        </w:rPr>
        <w:t>een overspannen woningmarkt</w:t>
      </w:r>
      <w:r w:rsidRPr="003910AB">
        <w:rPr>
          <w:rFonts w:ascii="Verdana" w:hAnsi="Verdana"/>
          <w:sz w:val="18"/>
          <w:szCs w:val="18"/>
        </w:rPr>
        <w:t xml:space="preserve"> </w:t>
      </w:r>
      <w:r w:rsidRPr="684DF313">
        <w:rPr>
          <w:rFonts w:ascii="Verdana" w:hAnsi="Verdana"/>
          <w:sz w:val="18"/>
          <w:szCs w:val="18"/>
        </w:rPr>
        <w:t>en dat toeristische verhuur hier effect op heeft.</w:t>
      </w:r>
      <w:r>
        <w:rPr>
          <w:rFonts w:ascii="Verdana" w:hAnsi="Verdana"/>
          <w:sz w:val="18"/>
          <w:szCs w:val="18"/>
        </w:rPr>
        <w:t xml:space="preserve"> </w:t>
      </w:r>
      <w:r w:rsidRPr="00D3244A">
        <w:rPr>
          <w:rFonts w:ascii="Verdana" w:hAnsi="Verdana"/>
          <w:sz w:val="18"/>
          <w:szCs w:val="18"/>
        </w:rPr>
        <w:t xml:space="preserve">Hoewel veel Nederlandse gemeenten aan de drempelwaarde voor de prijs-inkomensverhouding lijken te voldoen, wil </w:t>
      </w:r>
      <w:r w:rsidR="00395CA0">
        <w:rPr>
          <w:rFonts w:ascii="Verdana" w:hAnsi="Verdana"/>
          <w:sz w:val="18"/>
          <w:szCs w:val="18"/>
        </w:rPr>
        <w:t>het kabinet</w:t>
      </w:r>
      <w:r w:rsidRPr="00D3244A" w:rsidR="00395CA0">
        <w:rPr>
          <w:rFonts w:ascii="Verdana" w:hAnsi="Verdana"/>
          <w:sz w:val="18"/>
          <w:szCs w:val="18"/>
        </w:rPr>
        <w:t xml:space="preserve"> </w:t>
      </w:r>
      <w:r w:rsidRPr="00D3244A">
        <w:rPr>
          <w:rFonts w:ascii="Verdana" w:hAnsi="Verdana"/>
          <w:sz w:val="18"/>
          <w:szCs w:val="18"/>
        </w:rPr>
        <w:t>nog nader onderzoeken of voorgeschreven berekenmethode voldoende recht doet aan de complexiteit van de oorzaken en gevolgen van overspannenheid op de woningmarkt op lokaal niveau.</w:t>
      </w:r>
    </w:p>
    <w:p w:rsidR="00D3244A" w:rsidP="00D3244A" w:rsidRDefault="00D3244A" w14:paraId="14C72ECC" w14:textId="77777777">
      <w:pPr>
        <w:spacing w:line="360" w:lineRule="auto"/>
        <w:rPr>
          <w:rFonts w:ascii="Verdana" w:hAnsi="Verdana"/>
          <w:sz w:val="18"/>
          <w:szCs w:val="18"/>
        </w:rPr>
      </w:pPr>
    </w:p>
    <w:p w:rsidR="00D3244A" w:rsidP="00D3244A" w:rsidRDefault="00D3244A" w14:paraId="602E92D5" w14:textId="3A3A3904">
      <w:pPr>
        <w:spacing w:line="360" w:lineRule="auto"/>
        <w:rPr>
          <w:rFonts w:ascii="Verdana" w:hAnsi="Verdana"/>
          <w:sz w:val="18"/>
          <w:szCs w:val="18"/>
        </w:rPr>
      </w:pPr>
      <w:r w:rsidRPr="684DF313">
        <w:rPr>
          <w:rFonts w:ascii="Verdana" w:hAnsi="Verdana"/>
          <w:sz w:val="18"/>
          <w:szCs w:val="18"/>
        </w:rPr>
        <w:lastRenderedPageBreak/>
        <w:t xml:space="preserve">Daarnaast zijn er </w:t>
      </w:r>
      <w:r>
        <w:rPr>
          <w:rFonts w:ascii="Verdana" w:hAnsi="Verdana"/>
          <w:sz w:val="18"/>
          <w:szCs w:val="18"/>
        </w:rPr>
        <w:t xml:space="preserve">circa </w:t>
      </w:r>
      <w:r w:rsidRPr="684DF313">
        <w:rPr>
          <w:rFonts w:ascii="Verdana" w:hAnsi="Verdana"/>
          <w:sz w:val="18"/>
          <w:szCs w:val="18"/>
        </w:rPr>
        <w:t xml:space="preserve">70 gemeenten die op basis van de Huisvestingswet 2014 opkoopbescherming hebben ingevoerd. </w:t>
      </w:r>
      <w:r>
        <w:rPr>
          <w:rFonts w:ascii="Verdana" w:hAnsi="Verdana"/>
          <w:sz w:val="18"/>
          <w:szCs w:val="18"/>
        </w:rPr>
        <w:t xml:space="preserve">Mogelijk valt de opkoopbescherming ook onder </w:t>
      </w:r>
      <w:r w:rsidR="009D7F3A">
        <w:rPr>
          <w:rFonts w:ascii="Verdana" w:hAnsi="Verdana"/>
          <w:sz w:val="18"/>
          <w:szCs w:val="18"/>
        </w:rPr>
        <w:t>het voorstel</w:t>
      </w:r>
      <w:r>
        <w:rPr>
          <w:rFonts w:ascii="Verdana" w:hAnsi="Verdana"/>
          <w:sz w:val="18"/>
          <w:szCs w:val="18"/>
        </w:rPr>
        <w:t xml:space="preserve">. Hierover zal verduidelijking worden gevraagd bij de Commissie. </w:t>
      </w:r>
      <w:r w:rsidRPr="684DF313">
        <w:rPr>
          <w:rFonts w:ascii="Verdana" w:hAnsi="Verdana"/>
          <w:sz w:val="18"/>
          <w:szCs w:val="18"/>
        </w:rPr>
        <w:t>Het kabinet vindt het van belang dat bestaande gemeentelijke maatregelen onder het nieuwe kader kunnen worden voortgezet.</w:t>
      </w:r>
    </w:p>
    <w:p w:rsidR="00D3244A" w:rsidP="00D3244A" w:rsidRDefault="00D3244A" w14:paraId="75C3F115" w14:textId="77777777">
      <w:pPr>
        <w:spacing w:line="360" w:lineRule="auto"/>
        <w:rPr>
          <w:rFonts w:ascii="Verdana" w:hAnsi="Verdana"/>
          <w:sz w:val="18"/>
          <w:szCs w:val="18"/>
        </w:rPr>
      </w:pPr>
    </w:p>
    <w:p w:rsidRPr="00BA4BA5" w:rsidR="00BA4BA5" w:rsidP="00BA4BA5" w:rsidRDefault="00D3244A" w14:paraId="6F0BE11A" w14:textId="0FA88317">
      <w:pPr>
        <w:spacing w:line="360" w:lineRule="auto"/>
        <w:rPr>
          <w:rFonts w:ascii="Verdana" w:hAnsi="Verdana"/>
          <w:sz w:val="18"/>
          <w:szCs w:val="18"/>
        </w:rPr>
      </w:pPr>
      <w:r>
        <w:rPr>
          <w:rFonts w:ascii="Verdana" w:hAnsi="Verdana"/>
          <w:sz w:val="18"/>
          <w:szCs w:val="18"/>
        </w:rPr>
        <w:t>Een deel van het huidige beleid kan worden voortgezet onder de Dienstenrichtlijn. De</w:t>
      </w:r>
      <w:r w:rsidRPr="684DF313">
        <w:rPr>
          <w:rFonts w:ascii="Verdana" w:hAnsi="Verdana"/>
          <w:sz w:val="18"/>
          <w:szCs w:val="18"/>
        </w:rPr>
        <w:t xml:space="preserve"> AHA </w:t>
      </w:r>
      <w:r>
        <w:rPr>
          <w:rFonts w:ascii="Verdana" w:hAnsi="Verdana"/>
          <w:sz w:val="18"/>
          <w:szCs w:val="18"/>
        </w:rPr>
        <w:t xml:space="preserve">is </w:t>
      </w:r>
      <w:r w:rsidRPr="005F4658">
        <w:rPr>
          <w:rFonts w:ascii="Verdana" w:hAnsi="Verdana"/>
          <w:sz w:val="18"/>
          <w:szCs w:val="18"/>
        </w:rPr>
        <w:t xml:space="preserve">op dit moment </w:t>
      </w:r>
      <w:r w:rsidRPr="684DF313">
        <w:rPr>
          <w:rFonts w:ascii="Verdana" w:hAnsi="Verdana"/>
          <w:sz w:val="18"/>
          <w:szCs w:val="18"/>
        </w:rPr>
        <w:t>enkel van toepassing op toeristische verhuur van woningen die niet als hoofdverblijf gebruik</w:t>
      </w:r>
      <w:r>
        <w:rPr>
          <w:rFonts w:ascii="Verdana" w:hAnsi="Verdana"/>
          <w:sz w:val="18"/>
          <w:szCs w:val="18"/>
        </w:rPr>
        <w:t>t</w:t>
      </w:r>
      <w:r w:rsidRPr="684DF313">
        <w:rPr>
          <w:rFonts w:ascii="Verdana" w:hAnsi="Verdana"/>
          <w:sz w:val="18"/>
          <w:szCs w:val="18"/>
        </w:rPr>
        <w:t xml:space="preserve"> worden, dus geen bewoner hebben. </w:t>
      </w:r>
      <w:r w:rsidRPr="684DF313" w:rsidDel="008D0D6B">
        <w:rPr>
          <w:rFonts w:ascii="Verdana" w:hAnsi="Verdana"/>
          <w:sz w:val="18"/>
          <w:szCs w:val="18"/>
        </w:rPr>
        <w:t xml:space="preserve">In Nederland stellen gemeenten </w:t>
      </w:r>
      <w:r w:rsidRPr="684DF313" w:rsidDel="008D0D6B" w:rsidR="00BA4BA5">
        <w:rPr>
          <w:rFonts w:ascii="Verdana" w:hAnsi="Verdana"/>
          <w:sz w:val="18"/>
          <w:szCs w:val="18"/>
        </w:rPr>
        <w:t>j</w:t>
      </w:r>
      <w:r w:rsidR="00BA4BA5">
        <w:rPr>
          <w:rFonts w:ascii="Verdana" w:hAnsi="Verdana"/>
          <w:sz w:val="18"/>
          <w:szCs w:val="18"/>
        </w:rPr>
        <w:t>úí</w:t>
      </w:r>
      <w:r w:rsidRPr="684DF313" w:rsidDel="008D0D6B" w:rsidR="00BA4BA5">
        <w:rPr>
          <w:rFonts w:ascii="Verdana" w:hAnsi="Verdana"/>
          <w:sz w:val="18"/>
          <w:szCs w:val="18"/>
        </w:rPr>
        <w:t xml:space="preserve">st </w:t>
      </w:r>
      <w:r w:rsidRPr="684DF313" w:rsidDel="008D0D6B">
        <w:rPr>
          <w:rFonts w:ascii="Verdana" w:hAnsi="Verdana"/>
          <w:sz w:val="18"/>
          <w:szCs w:val="18"/>
        </w:rPr>
        <w:t xml:space="preserve">vaak regels over toeristische verhuur van </w:t>
      </w:r>
      <w:r w:rsidRPr="684DF313">
        <w:rPr>
          <w:rFonts w:ascii="Verdana" w:hAnsi="Verdana"/>
          <w:sz w:val="18"/>
          <w:szCs w:val="18"/>
        </w:rPr>
        <w:t>hoofdverblijven.</w:t>
      </w:r>
      <w:r>
        <w:rPr>
          <w:rFonts w:ascii="Verdana" w:hAnsi="Verdana"/>
          <w:sz w:val="18"/>
          <w:szCs w:val="18"/>
        </w:rPr>
        <w:t xml:space="preserve"> De Commissie heeft desgevraagd bevestigd dat dit mogelijk zal blijven onder de Dienstenrichtlijn, zoals in de huidige situatie al mogelijk is. </w:t>
      </w:r>
      <w:r w:rsidRPr="00BA4BA5" w:rsidR="00BA4BA5">
        <w:rPr>
          <w:rFonts w:ascii="Verdana" w:hAnsi="Verdana"/>
          <w:sz w:val="18"/>
          <w:szCs w:val="18"/>
        </w:rPr>
        <w:t xml:space="preserve">Het kabinet </w:t>
      </w:r>
      <w:r w:rsidR="00BA4BA5">
        <w:rPr>
          <w:rFonts w:ascii="Verdana" w:hAnsi="Verdana"/>
          <w:sz w:val="18"/>
          <w:szCs w:val="18"/>
        </w:rPr>
        <w:t>hecht er waarde aan om</w:t>
      </w:r>
      <w:r w:rsidRPr="00BA4BA5" w:rsidR="00BA4BA5">
        <w:rPr>
          <w:rFonts w:ascii="Verdana" w:hAnsi="Verdana"/>
          <w:sz w:val="18"/>
          <w:szCs w:val="18"/>
        </w:rPr>
        <w:t xml:space="preserve">, waar lokaal noodzakelijk, toeristische verhuur vanuit een hoofdverblijf te reguleren – ook vanuit redenen van schaarste en beschikbaarheid en betaalbaarheid van woningen. De aansluiting met de STR-verordening en bestaande Nederlandse systematiek moet daarbij worden geborgd. </w:t>
      </w:r>
    </w:p>
    <w:p w:rsidR="00D3244A" w:rsidP="00D3244A" w:rsidRDefault="00D3244A" w14:paraId="43A98E93" w14:textId="77777777">
      <w:pPr>
        <w:spacing w:line="360" w:lineRule="auto"/>
        <w:rPr>
          <w:rFonts w:ascii="Verdana" w:hAnsi="Verdana"/>
          <w:sz w:val="18"/>
          <w:szCs w:val="18"/>
        </w:rPr>
      </w:pPr>
    </w:p>
    <w:p w:rsidR="00757062" w:rsidP="00D3244A" w:rsidRDefault="00D3244A" w14:paraId="0F4BBBDE" w14:textId="000B4B9C">
      <w:pPr>
        <w:spacing w:line="360" w:lineRule="auto"/>
        <w:rPr>
          <w:rFonts w:ascii="Verdana" w:hAnsi="Verdana"/>
          <w:sz w:val="18"/>
          <w:szCs w:val="18"/>
        </w:rPr>
      </w:pPr>
      <w:r>
        <w:rPr>
          <w:rFonts w:ascii="Verdana" w:hAnsi="Verdana"/>
          <w:sz w:val="18"/>
          <w:szCs w:val="18"/>
        </w:rPr>
        <w:t xml:space="preserve">Ook blijft het </w:t>
      </w:r>
      <w:r w:rsidR="002B4ACD">
        <w:rPr>
          <w:rFonts w:ascii="Verdana" w:hAnsi="Verdana"/>
          <w:sz w:val="18"/>
          <w:szCs w:val="18"/>
        </w:rPr>
        <w:t xml:space="preserve">in algemene zin </w:t>
      </w:r>
      <w:r>
        <w:rPr>
          <w:rFonts w:ascii="Verdana" w:hAnsi="Verdana"/>
          <w:sz w:val="18"/>
          <w:szCs w:val="18"/>
        </w:rPr>
        <w:t>mogelijk om maatregelen te nemen op basis van andere dwingende redenen van algemeen belang</w:t>
      </w:r>
      <w:r w:rsidRPr="006E190C">
        <w:rPr>
          <w:rFonts w:ascii="Verdana" w:hAnsi="Verdana"/>
          <w:sz w:val="18"/>
          <w:szCs w:val="18"/>
        </w:rPr>
        <w:t>, zoals bescherming van het stedelijk milieu, voorkoming van overlast</w:t>
      </w:r>
      <w:r>
        <w:rPr>
          <w:rFonts w:ascii="Verdana" w:hAnsi="Verdana"/>
          <w:sz w:val="18"/>
          <w:szCs w:val="18"/>
        </w:rPr>
        <w:t xml:space="preserve"> (leefbaarheid)</w:t>
      </w:r>
      <w:r w:rsidRPr="006E190C">
        <w:rPr>
          <w:rFonts w:ascii="Verdana" w:hAnsi="Verdana"/>
          <w:sz w:val="18"/>
          <w:szCs w:val="18"/>
        </w:rPr>
        <w:t xml:space="preserve">, openbare orde of consumentenbescherming. </w:t>
      </w:r>
      <w:r>
        <w:rPr>
          <w:rFonts w:ascii="Verdana" w:hAnsi="Verdana"/>
          <w:sz w:val="18"/>
          <w:szCs w:val="18"/>
        </w:rPr>
        <w:t>Dit betekent dat gemeenten deze argumenten kunnen blijven hanteren om in te grijpen. De verwachting van het kabinet is dat gemeenten dit ook zullen blijven doen. Daarmee zal de AHA in de praktijk</w:t>
      </w:r>
      <w:r w:rsidR="00F2100A">
        <w:rPr>
          <w:rFonts w:ascii="Verdana" w:hAnsi="Verdana"/>
          <w:sz w:val="18"/>
          <w:szCs w:val="18"/>
        </w:rPr>
        <w:t>,</w:t>
      </w:r>
      <w:r>
        <w:rPr>
          <w:rFonts w:ascii="Verdana" w:hAnsi="Verdana"/>
          <w:sz w:val="18"/>
          <w:szCs w:val="18"/>
        </w:rPr>
        <w:t xml:space="preserve"> gezien de mogelijkheid voor gemeenten om op grond van de Dienstenrichtlijn bij leefbaarheidsproblematiek regels te blijven stellen</w:t>
      </w:r>
      <w:r w:rsidR="00F2100A">
        <w:rPr>
          <w:rFonts w:ascii="Verdana" w:hAnsi="Verdana"/>
          <w:sz w:val="18"/>
          <w:szCs w:val="18"/>
        </w:rPr>
        <w:t>,</w:t>
      </w:r>
      <w:r>
        <w:rPr>
          <w:rFonts w:ascii="Verdana" w:hAnsi="Verdana"/>
          <w:sz w:val="18"/>
          <w:szCs w:val="18"/>
        </w:rPr>
        <w:t xml:space="preserve"> materieel weinig effect hebben. </w:t>
      </w:r>
    </w:p>
    <w:p w:rsidR="00757062" w:rsidP="00D3244A" w:rsidRDefault="00757062" w14:paraId="58605497" w14:textId="77777777">
      <w:pPr>
        <w:spacing w:line="360" w:lineRule="auto"/>
        <w:rPr>
          <w:rFonts w:ascii="Verdana" w:hAnsi="Verdana"/>
          <w:sz w:val="18"/>
          <w:szCs w:val="18"/>
        </w:rPr>
      </w:pPr>
    </w:p>
    <w:p w:rsidR="00D3244A" w:rsidP="00D3244A" w:rsidRDefault="000D79DA" w14:paraId="230D236D" w14:textId="5CE3C8EB">
      <w:pPr>
        <w:spacing w:line="360" w:lineRule="auto"/>
        <w:rPr>
          <w:rFonts w:ascii="Verdana" w:hAnsi="Verdana"/>
          <w:sz w:val="18"/>
          <w:szCs w:val="18"/>
        </w:rPr>
      </w:pPr>
      <w:r>
        <w:rPr>
          <w:rFonts w:ascii="Verdana" w:hAnsi="Verdana"/>
          <w:sz w:val="18"/>
          <w:szCs w:val="18"/>
        </w:rPr>
        <w:t xml:space="preserve">Er </w:t>
      </w:r>
      <w:r w:rsidR="00D3244A">
        <w:rPr>
          <w:rFonts w:ascii="Verdana" w:hAnsi="Verdana"/>
          <w:sz w:val="18"/>
          <w:szCs w:val="18"/>
        </w:rPr>
        <w:t>zullen e</w:t>
      </w:r>
      <w:r>
        <w:rPr>
          <w:rFonts w:ascii="Verdana" w:hAnsi="Verdana"/>
          <w:sz w:val="18"/>
          <w:szCs w:val="18"/>
        </w:rPr>
        <w:t>chter</w:t>
      </w:r>
      <w:r w:rsidR="00D3244A">
        <w:rPr>
          <w:rFonts w:ascii="Verdana" w:hAnsi="Verdana"/>
          <w:sz w:val="18"/>
          <w:szCs w:val="18"/>
        </w:rPr>
        <w:t xml:space="preserve"> wel twee verschillende regimes ontstaan. Maatregelen op grond van beschikbaarheid</w:t>
      </w:r>
      <w:r w:rsidRPr="00863133" w:rsidR="00D3244A">
        <w:rPr>
          <w:rFonts w:ascii="Verdana" w:hAnsi="Verdana"/>
          <w:sz w:val="18"/>
          <w:szCs w:val="18"/>
        </w:rPr>
        <w:t xml:space="preserve"> en betaalbaarheid </w:t>
      </w:r>
      <w:r w:rsidR="00D3244A">
        <w:rPr>
          <w:rFonts w:ascii="Verdana" w:hAnsi="Verdana"/>
          <w:sz w:val="18"/>
          <w:szCs w:val="18"/>
        </w:rPr>
        <w:t xml:space="preserve">die niet betrekking hebben op het hoofdverblijf vallen onder de AHA. Maatregelen die wel betrekking hebben op het hoofdverblijf, </w:t>
      </w:r>
      <w:r w:rsidR="00757062">
        <w:rPr>
          <w:rFonts w:ascii="Verdana" w:hAnsi="Verdana"/>
          <w:sz w:val="18"/>
          <w:szCs w:val="18"/>
        </w:rPr>
        <w:t>en/</w:t>
      </w:r>
      <w:r w:rsidR="00D3244A">
        <w:rPr>
          <w:rFonts w:ascii="Verdana" w:hAnsi="Verdana"/>
          <w:sz w:val="18"/>
          <w:szCs w:val="18"/>
        </w:rPr>
        <w:t>of worden genomen op basis van andere dwingende reden van algemeen belang, zoals leefbaarheid, vallen onder de Dienstenrichtlijn. In praktijk zullen gemeenten twee verantwoordingsdossiers moeten aanhouden, wat zal leiden tot meer bewijslast voor gemeenten. Dit acht het kabinet onwenselijk.</w:t>
      </w:r>
      <w:r w:rsidRPr="000D79DA">
        <w:t xml:space="preserve"> </w:t>
      </w:r>
      <w:r w:rsidRPr="000D79DA">
        <w:rPr>
          <w:rFonts w:ascii="Verdana" w:hAnsi="Verdana"/>
          <w:sz w:val="18"/>
          <w:szCs w:val="18"/>
        </w:rPr>
        <w:t>Indien tijdens de onderhandelingen toch zou blijken dat het voorgestelde systeem anders moet gaan werken dan het kabinet nu aanneemt, zal het kabinet zijn positie ten aanzien van dit voorstel moeten heroverwegen.</w:t>
      </w:r>
    </w:p>
    <w:p w:rsidR="00065DEA" w:rsidP="00065DEA" w:rsidRDefault="00065DEA" w14:paraId="2E10687C" w14:textId="77777777">
      <w:pPr>
        <w:spacing w:line="360" w:lineRule="auto"/>
        <w:rPr>
          <w:rFonts w:ascii="Verdana" w:hAnsi="Verdana"/>
          <w:sz w:val="18"/>
          <w:szCs w:val="18"/>
        </w:rPr>
      </w:pPr>
    </w:p>
    <w:p w:rsidRPr="0032712E" w:rsidR="0032712E" w:rsidP="0032712E" w:rsidRDefault="00065DEA" w14:paraId="0D01BBA2" w14:textId="5B6127BF">
      <w:pPr>
        <w:spacing w:line="360" w:lineRule="auto"/>
        <w:rPr>
          <w:rFonts w:ascii="Verdana" w:hAnsi="Verdana"/>
          <w:sz w:val="18"/>
          <w:szCs w:val="18"/>
        </w:rPr>
      </w:pPr>
      <w:bookmarkStart w:name="_Hlk240885541" w:id="3"/>
      <w:r>
        <w:rPr>
          <w:rFonts w:ascii="Verdana" w:hAnsi="Verdana"/>
          <w:sz w:val="18"/>
          <w:szCs w:val="18"/>
        </w:rPr>
        <w:t xml:space="preserve">Het is naar mening van het kabinet niet nodig </w:t>
      </w:r>
      <w:r w:rsidRPr="00C75386">
        <w:rPr>
          <w:rFonts w:ascii="Verdana" w:hAnsi="Verdana"/>
          <w:sz w:val="18"/>
          <w:szCs w:val="18"/>
        </w:rPr>
        <w:t xml:space="preserve">maatregelen </w:t>
      </w:r>
      <w:r>
        <w:rPr>
          <w:rFonts w:ascii="Verdana" w:hAnsi="Verdana"/>
          <w:sz w:val="18"/>
          <w:szCs w:val="18"/>
        </w:rPr>
        <w:t xml:space="preserve">te treffen </w:t>
      </w:r>
      <w:r w:rsidRPr="00C75386">
        <w:rPr>
          <w:rFonts w:ascii="Verdana" w:hAnsi="Verdana"/>
          <w:sz w:val="18"/>
          <w:szCs w:val="18"/>
        </w:rPr>
        <w:t xml:space="preserve">die de aankoop van grond voor andere doeleinden dan </w:t>
      </w:r>
      <w:r w:rsidR="005C6F35">
        <w:rPr>
          <w:rFonts w:ascii="Verdana" w:hAnsi="Verdana"/>
          <w:sz w:val="18"/>
          <w:szCs w:val="18"/>
        </w:rPr>
        <w:t>bewoning als hoofdverblijf</w:t>
      </w:r>
      <w:r w:rsidR="008E11A3">
        <w:rPr>
          <w:rFonts w:ascii="Verdana" w:hAnsi="Verdana"/>
          <w:sz w:val="18"/>
          <w:szCs w:val="18"/>
        </w:rPr>
        <w:t xml:space="preserve"> in te perken</w:t>
      </w:r>
      <w:r>
        <w:rPr>
          <w:rFonts w:ascii="Verdana" w:hAnsi="Verdana"/>
          <w:sz w:val="18"/>
          <w:szCs w:val="18"/>
        </w:rPr>
        <w:t xml:space="preserve">. Een vastgoedtransactie heeft geen invloed op de toegestane functie in het Omgevingsplan. Als de functie wonen is, blijft de functie wonen van toepassing en </w:t>
      </w:r>
      <w:r w:rsidRPr="0032712E" w:rsidR="0032712E">
        <w:rPr>
          <w:rFonts w:ascii="Verdana" w:hAnsi="Verdana"/>
          <w:sz w:val="18"/>
          <w:szCs w:val="18"/>
        </w:rPr>
        <w:t xml:space="preserve">kan korte termijn verhuur worden uitgesloten. Leegstand kan het gemeentebestuur tegen gaan met maatregelen opgenomen in de </w:t>
      </w:r>
      <w:r w:rsidR="0032712E">
        <w:rPr>
          <w:rFonts w:ascii="Verdana" w:hAnsi="Verdana"/>
          <w:sz w:val="18"/>
          <w:szCs w:val="18"/>
        </w:rPr>
        <w:t>Leegstandswet</w:t>
      </w:r>
      <w:r w:rsidRPr="0032712E" w:rsidR="0032712E">
        <w:rPr>
          <w:rFonts w:ascii="Verdana" w:hAnsi="Verdana"/>
          <w:sz w:val="18"/>
          <w:szCs w:val="18"/>
        </w:rPr>
        <w:t>.</w:t>
      </w:r>
    </w:p>
    <w:p w:rsidR="00065DEA" w:rsidP="00065DEA" w:rsidRDefault="00065DEA" w14:paraId="4685378F" w14:textId="12E4425C">
      <w:pPr>
        <w:spacing w:line="360" w:lineRule="auto"/>
        <w:rPr>
          <w:rFonts w:ascii="Verdana" w:hAnsi="Verdana"/>
          <w:sz w:val="18"/>
          <w:szCs w:val="18"/>
        </w:rPr>
      </w:pPr>
      <w:r>
        <w:rPr>
          <w:rFonts w:ascii="Verdana" w:hAnsi="Verdana"/>
          <w:sz w:val="18"/>
          <w:szCs w:val="18"/>
        </w:rPr>
        <w:t xml:space="preserve">Wijzigingen van de functie in het in het Omgevingsplan </w:t>
      </w:r>
      <w:r w:rsidR="008E11A3">
        <w:rPr>
          <w:rFonts w:ascii="Verdana" w:hAnsi="Verdana"/>
          <w:sz w:val="18"/>
          <w:szCs w:val="18"/>
        </w:rPr>
        <w:t>zijn</w:t>
      </w:r>
      <w:r>
        <w:rPr>
          <w:rFonts w:ascii="Verdana" w:hAnsi="Verdana"/>
          <w:sz w:val="18"/>
          <w:szCs w:val="18"/>
        </w:rPr>
        <w:t xml:space="preserve"> voorbehouden aan het gemeentebestuur. Een gemeentebestuur kan een verzoek van een eigenaar om de functie te wijzigen weigeren. Het is daarmee niet nodig beperkingen op te leggen aan vastgoedtransacties. </w:t>
      </w:r>
    </w:p>
    <w:bookmarkEnd w:id="3"/>
    <w:p w:rsidRPr="006864B7" w:rsidR="00065DEA" w:rsidP="00617505" w:rsidRDefault="00065DEA" w14:paraId="50C8F51F" w14:textId="5266703B">
      <w:pPr>
        <w:spacing w:line="360" w:lineRule="auto"/>
        <w:rPr>
          <w:rFonts w:ascii="Verdana" w:hAnsi="Verdana"/>
          <w:iCs/>
          <w:sz w:val="18"/>
          <w:szCs w:val="18"/>
        </w:rPr>
      </w:pPr>
    </w:p>
    <w:p w:rsidRPr="005F4658" w:rsidR="00D3244A" w:rsidP="00D3244A" w:rsidRDefault="00D3244A" w14:paraId="7BC0FAF4" w14:textId="77AC7997">
      <w:pPr>
        <w:spacing w:line="360" w:lineRule="auto"/>
        <w:rPr>
          <w:rFonts w:ascii="Verdana" w:hAnsi="Verdana"/>
          <w:sz w:val="18"/>
          <w:szCs w:val="18"/>
        </w:rPr>
      </w:pPr>
      <w:r w:rsidRPr="00EC7647">
        <w:rPr>
          <w:rFonts w:ascii="Verdana" w:hAnsi="Verdana"/>
          <w:sz w:val="18"/>
          <w:szCs w:val="18"/>
        </w:rPr>
        <w:t xml:space="preserve">Samengevat is </w:t>
      </w:r>
      <w:r w:rsidR="00603C4D">
        <w:rPr>
          <w:rFonts w:ascii="Verdana" w:hAnsi="Verdana"/>
          <w:sz w:val="18"/>
          <w:szCs w:val="18"/>
        </w:rPr>
        <w:t>het kabinet</w:t>
      </w:r>
      <w:r w:rsidRPr="00EC7647" w:rsidR="00603C4D">
        <w:rPr>
          <w:rFonts w:ascii="Verdana" w:hAnsi="Verdana"/>
          <w:sz w:val="18"/>
          <w:szCs w:val="18"/>
        </w:rPr>
        <w:t xml:space="preserve"> </w:t>
      </w:r>
      <w:r>
        <w:rPr>
          <w:rFonts w:ascii="Verdana" w:hAnsi="Verdana"/>
          <w:sz w:val="18"/>
          <w:szCs w:val="18"/>
        </w:rPr>
        <w:t>kritisch op de meerwaarde van de</w:t>
      </w:r>
      <w:r w:rsidRPr="00EC7647">
        <w:rPr>
          <w:rFonts w:ascii="Verdana" w:hAnsi="Verdana"/>
          <w:sz w:val="18"/>
          <w:szCs w:val="18"/>
        </w:rPr>
        <w:t xml:space="preserve"> voorgestelde verordening in zijn huidige vorm</w:t>
      </w:r>
      <w:r>
        <w:rPr>
          <w:rFonts w:ascii="Verdana" w:hAnsi="Verdana"/>
          <w:sz w:val="18"/>
          <w:szCs w:val="18"/>
        </w:rPr>
        <w:t xml:space="preserve">, omdat het </w:t>
      </w:r>
      <w:proofErr w:type="spellStart"/>
      <w:r>
        <w:rPr>
          <w:rFonts w:ascii="Verdana" w:hAnsi="Verdana"/>
          <w:sz w:val="18"/>
          <w:szCs w:val="18"/>
        </w:rPr>
        <w:t>het</w:t>
      </w:r>
      <w:proofErr w:type="spellEnd"/>
      <w:r>
        <w:rPr>
          <w:rFonts w:ascii="Verdana" w:hAnsi="Verdana"/>
          <w:sz w:val="18"/>
          <w:szCs w:val="18"/>
        </w:rPr>
        <w:t xml:space="preserve"> potentieel juist lastiger maakt</w:t>
      </w:r>
      <w:r w:rsidRPr="00EC7647">
        <w:rPr>
          <w:rFonts w:ascii="Verdana" w:hAnsi="Verdana"/>
          <w:sz w:val="18"/>
          <w:szCs w:val="18"/>
        </w:rPr>
        <w:t xml:space="preserve"> om waar nodig regels te stellen om met als doel om tot meer betaalbare woningen te komen.</w:t>
      </w:r>
      <w:r>
        <w:rPr>
          <w:rFonts w:ascii="Verdana" w:hAnsi="Verdana"/>
          <w:sz w:val="18"/>
          <w:szCs w:val="18"/>
        </w:rPr>
        <w:t xml:space="preserve"> </w:t>
      </w:r>
      <w:r w:rsidRPr="00FA59C4">
        <w:rPr>
          <w:rFonts w:ascii="Verdana" w:hAnsi="Verdana"/>
          <w:sz w:val="18"/>
          <w:szCs w:val="18"/>
        </w:rPr>
        <w:t xml:space="preserve">Daarbij is onvoldoende gemotiveerd waarom een minder vergaand instrument niet zouden volstaan, te meer omdat de Commissie zelf ook stelt dat het stellen van regels op het gebied van wonen primair aan lidstaten zelf is en niet aan </w:t>
      </w:r>
      <w:r>
        <w:rPr>
          <w:rFonts w:ascii="Verdana" w:hAnsi="Verdana"/>
          <w:sz w:val="18"/>
          <w:szCs w:val="18"/>
        </w:rPr>
        <w:t>de EU</w:t>
      </w:r>
      <w:r w:rsidRPr="00FA59C4">
        <w:rPr>
          <w:rFonts w:ascii="Verdana" w:hAnsi="Verdana"/>
          <w:sz w:val="18"/>
          <w:szCs w:val="18"/>
        </w:rPr>
        <w:t>.</w:t>
      </w:r>
      <w:r w:rsidRPr="005F4658">
        <w:rPr>
          <w:rFonts w:ascii="Verdana" w:hAnsi="Verdana"/>
          <w:sz w:val="18"/>
          <w:szCs w:val="18"/>
        </w:rPr>
        <w:t xml:space="preserve"> </w:t>
      </w:r>
    </w:p>
    <w:p w:rsidR="00065DEA" w:rsidP="00065DEA" w:rsidRDefault="00065DEA" w14:paraId="1DB8C516" w14:textId="77777777">
      <w:pPr>
        <w:spacing w:line="360" w:lineRule="auto"/>
        <w:rPr>
          <w:rFonts w:ascii="Verdana" w:hAnsi="Verdana"/>
          <w:sz w:val="18"/>
          <w:szCs w:val="18"/>
        </w:rPr>
      </w:pPr>
    </w:p>
    <w:p w:rsidRPr="00214477" w:rsidR="00065DEA" w:rsidP="00214477" w:rsidRDefault="00065DEA" w14:paraId="546DA718" w14:textId="77777777">
      <w:pPr>
        <w:numPr>
          <w:ilvl w:val="0"/>
          <w:numId w:val="10"/>
        </w:numPr>
        <w:spacing w:line="360" w:lineRule="auto"/>
        <w:rPr>
          <w:rFonts w:ascii="Verdana" w:hAnsi="Verdana"/>
          <w:i/>
          <w:iCs/>
          <w:sz w:val="18"/>
          <w:szCs w:val="18"/>
        </w:rPr>
      </w:pPr>
      <w:r w:rsidRPr="00D56B7D">
        <w:rPr>
          <w:rFonts w:ascii="Verdana" w:hAnsi="Verdana"/>
          <w:i/>
          <w:iCs/>
          <w:sz w:val="18"/>
          <w:szCs w:val="18"/>
        </w:rPr>
        <w:t>Eerste inschatting van krachtenveld</w:t>
      </w:r>
    </w:p>
    <w:p w:rsidRPr="00D3244A" w:rsidR="00D3244A" w:rsidP="00D3244A" w:rsidRDefault="00D3244A" w14:paraId="48590682" w14:textId="1689F90E">
      <w:pPr>
        <w:spacing w:line="360" w:lineRule="auto"/>
        <w:rPr>
          <w:rFonts w:ascii="Verdana" w:hAnsi="Verdana"/>
          <w:sz w:val="18"/>
          <w:szCs w:val="18"/>
        </w:rPr>
      </w:pPr>
      <w:r w:rsidRPr="00D3244A">
        <w:rPr>
          <w:rFonts w:ascii="Verdana" w:hAnsi="Verdana"/>
          <w:sz w:val="18"/>
          <w:szCs w:val="18"/>
        </w:rPr>
        <w:t>Het voorstel is door een groep lidstaten kritisch ontvangen. De kritiek van deze groep ziet vooral op de rechtsbasis van het voorstel en de subsidiariteit. Er is ook een grote groep lidstaten die zich nog niet heeft uitgesproken.</w:t>
      </w:r>
      <w:r w:rsidR="001260F0">
        <w:rPr>
          <w:rFonts w:ascii="Verdana" w:hAnsi="Verdana"/>
          <w:sz w:val="18"/>
          <w:szCs w:val="18"/>
        </w:rPr>
        <w:t xml:space="preserve"> </w:t>
      </w:r>
      <w:r w:rsidRPr="001260F0" w:rsidR="001260F0">
        <w:rPr>
          <w:rFonts w:ascii="Verdana" w:hAnsi="Verdana"/>
          <w:sz w:val="18"/>
          <w:szCs w:val="18"/>
        </w:rPr>
        <w:t>Binnen het Europees Parlement lopen de eerste opvattingen over het voorstel uiteen, met zowel voorstanders voor meer Europees optreden als ook veel zorgen over de effectiviteit, bevoegdheid en regeldruk</w:t>
      </w:r>
      <w:r w:rsidR="001260F0">
        <w:rPr>
          <w:rFonts w:ascii="Verdana" w:hAnsi="Verdana"/>
          <w:sz w:val="18"/>
          <w:szCs w:val="18"/>
        </w:rPr>
        <w:t>. De</w:t>
      </w:r>
      <w:r w:rsidRPr="001260F0" w:rsidR="001260F0">
        <w:rPr>
          <w:rFonts w:ascii="Verdana" w:hAnsi="Verdana"/>
          <w:sz w:val="18"/>
          <w:szCs w:val="18"/>
        </w:rPr>
        <w:t xml:space="preserve"> commissie Interne Markt en Consumentenbescherming (IMCO)</w:t>
      </w:r>
      <w:r w:rsidR="001260F0">
        <w:rPr>
          <w:rFonts w:ascii="Verdana" w:hAnsi="Verdana"/>
          <w:sz w:val="18"/>
          <w:szCs w:val="18"/>
        </w:rPr>
        <w:t xml:space="preserve"> zal</w:t>
      </w:r>
      <w:r w:rsidRPr="001260F0" w:rsidR="001260F0">
        <w:rPr>
          <w:rFonts w:ascii="Verdana" w:hAnsi="Verdana"/>
          <w:sz w:val="18"/>
          <w:szCs w:val="18"/>
        </w:rPr>
        <w:t xml:space="preserve"> het voorstel behandelen. </w:t>
      </w:r>
      <w:r w:rsidR="001260F0">
        <w:rPr>
          <w:rFonts w:ascii="Verdana" w:hAnsi="Verdana"/>
          <w:sz w:val="18"/>
          <w:szCs w:val="18"/>
        </w:rPr>
        <w:t>Een r</w:t>
      </w:r>
      <w:r w:rsidRPr="001260F0" w:rsidR="001260F0">
        <w:rPr>
          <w:rFonts w:ascii="Verdana" w:hAnsi="Verdana"/>
          <w:sz w:val="18"/>
          <w:szCs w:val="18"/>
        </w:rPr>
        <w:t>apporteur is nog niet aangewezen.</w:t>
      </w:r>
    </w:p>
    <w:p w:rsidRPr="000A28A7" w:rsidR="00065DEA" w:rsidP="00065DEA" w:rsidRDefault="00065DEA" w14:paraId="3C1C7E13" w14:textId="77777777">
      <w:pPr>
        <w:spacing w:line="360" w:lineRule="auto"/>
        <w:rPr>
          <w:rFonts w:ascii="Verdana" w:hAnsi="Verdana"/>
          <w:b/>
          <w:sz w:val="18"/>
          <w:szCs w:val="18"/>
        </w:rPr>
      </w:pPr>
    </w:p>
    <w:p w:rsidRPr="00214477" w:rsidR="00065DEA" w:rsidP="00214477" w:rsidRDefault="00065DEA" w14:paraId="7FA59A1A" w14:textId="7B33B43B">
      <w:pPr>
        <w:spacing w:line="360" w:lineRule="auto"/>
        <w:rPr>
          <w:rFonts w:ascii="Verdana" w:hAnsi="Verdana"/>
          <w:b/>
          <w:bCs/>
          <w:sz w:val="18"/>
          <w:szCs w:val="18"/>
        </w:rPr>
      </w:pPr>
      <w:bookmarkStart w:name="_Hlk242091192" w:id="4"/>
      <w:r w:rsidRPr="00D56B7D">
        <w:rPr>
          <w:rFonts w:ascii="Verdana" w:hAnsi="Verdana"/>
          <w:b/>
          <w:bCs/>
          <w:sz w:val="18"/>
          <w:szCs w:val="18"/>
        </w:rPr>
        <w:t xml:space="preserve">4. Beoordeling bevoegdheid, subsidiariteit en proportionaliteit </w:t>
      </w:r>
    </w:p>
    <w:p w:rsidRPr="00214477" w:rsidR="00065DEA" w:rsidRDefault="00065DEA" w14:paraId="0F15C1D9" w14:textId="77777777">
      <w:pPr>
        <w:pStyle w:val="Spreekpunten"/>
        <w:numPr>
          <w:ilvl w:val="0"/>
          <w:numId w:val="11"/>
        </w:numPr>
        <w:rPr>
          <w:rFonts w:ascii="Verdana" w:hAnsi="Verdana"/>
          <w:i/>
          <w:iCs/>
          <w:sz w:val="18"/>
          <w:szCs w:val="18"/>
          <w:lang w:val="nl-NL" w:eastAsia="zh-CN"/>
        </w:rPr>
      </w:pPr>
      <w:r w:rsidRPr="61B0A1F6">
        <w:rPr>
          <w:rFonts w:ascii="Verdana" w:hAnsi="Verdana"/>
          <w:i/>
          <w:iCs/>
          <w:sz w:val="18"/>
          <w:szCs w:val="18"/>
          <w:lang w:val="nl-NL" w:eastAsia="zh-CN"/>
        </w:rPr>
        <w:t>Bevoegdheid</w:t>
      </w:r>
    </w:p>
    <w:p w:rsidR="00065DEA" w:rsidP="00065DEA" w:rsidRDefault="00065DEA" w14:paraId="17000E08" w14:textId="299FCF51">
      <w:pPr>
        <w:tabs>
          <w:tab w:val="left" w:pos="0"/>
          <w:tab w:val="left" w:pos="340"/>
          <w:tab w:val="left" w:pos="680"/>
          <w:tab w:val="left" w:pos="1021"/>
          <w:tab w:val="left" w:pos="1361"/>
          <w:tab w:val="left" w:pos="1701"/>
          <w:tab w:val="left" w:pos="3402"/>
        </w:tabs>
        <w:spacing w:line="360" w:lineRule="auto"/>
        <w:rPr>
          <w:rFonts w:ascii="Verdana" w:hAnsi="Verdana" w:eastAsia="Verdana" w:cs="Verdana"/>
          <w:sz w:val="18"/>
          <w:szCs w:val="18"/>
        </w:rPr>
      </w:pPr>
      <w:r w:rsidRPr="00F75D72">
        <w:rPr>
          <w:rFonts w:ascii="Verdana" w:hAnsi="Verdana" w:eastAsia="Verdana" w:cs="Verdana"/>
          <w:sz w:val="18"/>
          <w:szCs w:val="18"/>
        </w:rPr>
        <w:t xml:space="preserve">Het oordeel van het kabinet ten aanzien van de bevoegdheid is positief. Het voorstel is gebaseerd op art. 114 VWEU. Art. 114 VWEU geeft de EU de bevoegdheid tot het vaststellen van maatregelen om nationale regels die van invloed zijn op de interne markt op elkaar af te stemmen. De Commissie baseert het voorstel op dit artikel omdat het een gemeenschappelijk kader creëert voor de beoordeling van woningmarktmaatregelen die het vrije verkeer van diensten, de vrijheid van vestiging en het vrije verkeer van kapitaal kunnen beperken. Het kabinet kan zich vinden in deze rechtsgrondslag. Deze rechtsgrondslag is consistent met eerdere wetgeving die de Europese wetgever op grond van artikel 114 VWEU aannam voor </w:t>
      </w:r>
      <w:proofErr w:type="spellStart"/>
      <w:r w:rsidRPr="00F75D72">
        <w:rPr>
          <w:rFonts w:ascii="Verdana" w:hAnsi="Verdana" w:eastAsia="Verdana" w:cs="Verdana"/>
          <w:sz w:val="18"/>
          <w:szCs w:val="18"/>
        </w:rPr>
        <w:t>kortetermijnverhuur</w:t>
      </w:r>
      <w:proofErr w:type="spellEnd"/>
      <w:r w:rsidR="007A48B8">
        <w:rPr>
          <w:rFonts w:ascii="Verdana" w:hAnsi="Verdana" w:eastAsia="Verdana" w:cs="Verdana"/>
          <w:sz w:val="18"/>
          <w:szCs w:val="18"/>
        </w:rPr>
        <w:t>.</w:t>
      </w:r>
      <w:r w:rsidR="007A48B8">
        <w:rPr>
          <w:rStyle w:val="FootnoteReference"/>
          <w:rFonts w:ascii="Verdana" w:hAnsi="Verdana" w:eastAsia="Verdana" w:cs="Verdana"/>
          <w:sz w:val="18"/>
          <w:szCs w:val="18"/>
        </w:rPr>
        <w:footnoteReference w:id="6"/>
      </w:r>
      <w:r w:rsidRPr="00F75D72">
        <w:rPr>
          <w:rFonts w:ascii="Verdana" w:hAnsi="Verdana" w:eastAsia="Verdana" w:cs="Verdana"/>
          <w:sz w:val="18"/>
          <w:szCs w:val="18"/>
        </w:rPr>
        <w:t xml:space="preserve"> </w:t>
      </w:r>
      <w:r w:rsidRPr="00D15F64" w:rsidR="00D15F64">
        <w:rPr>
          <w:rFonts w:ascii="Verdana" w:hAnsi="Verdana" w:eastAsia="Verdana" w:cs="Verdana"/>
          <w:sz w:val="18"/>
          <w:szCs w:val="18"/>
        </w:rPr>
        <w:t xml:space="preserve">Ten aanzien van maatregelen die zien op de verkrijging of het gebruik beperken van grond en woningen dat niet is verkregen of wordt gebruikt als hoofdverblijfplaats zal het kabinet om nadere toelichting vragen bij de Commissie over de precieze uitwerking van dit onderdeel, met name waar het mogelijk raakt aan opkoopbescherming. </w:t>
      </w:r>
      <w:r w:rsidRPr="00F75D72">
        <w:rPr>
          <w:rFonts w:ascii="Verdana" w:hAnsi="Verdana" w:eastAsia="Verdana" w:cs="Verdana"/>
          <w:sz w:val="18"/>
          <w:szCs w:val="18"/>
        </w:rPr>
        <w:t>Het wetsvoorstel harmoniseert nadrukkelijk niet het nationale wo</w:t>
      </w:r>
      <w:r>
        <w:rPr>
          <w:rFonts w:ascii="Verdana" w:hAnsi="Verdana" w:eastAsia="Verdana" w:cs="Verdana"/>
          <w:sz w:val="18"/>
          <w:szCs w:val="18"/>
        </w:rPr>
        <w:t>on</w:t>
      </w:r>
      <w:r w:rsidRPr="00F75D72">
        <w:rPr>
          <w:rFonts w:ascii="Verdana" w:hAnsi="Verdana" w:eastAsia="Verdana" w:cs="Verdana"/>
          <w:sz w:val="18"/>
          <w:szCs w:val="18"/>
        </w:rPr>
        <w:t>beleid van de lidstaten. Huisvesting, ruimtelijke ordening en grondgebruik blijven in hoofdzaak bevoegdheden van de lidstaten. Het wetsvoorstel heeft betrekking op de rechtvaardiging van beperkingen van het vrij verkeer van diensten, vestiging en kapitaal omwille van betaalbare en toegankelijke huisvesting.</w:t>
      </w:r>
      <w:r>
        <w:rPr>
          <w:rFonts w:ascii="Verdana" w:hAnsi="Verdana" w:eastAsia="Verdana" w:cs="Verdana"/>
          <w:sz w:val="18"/>
          <w:szCs w:val="18"/>
        </w:rPr>
        <w:t xml:space="preserve"> </w:t>
      </w:r>
      <w:r w:rsidRPr="00F75D72">
        <w:rPr>
          <w:rFonts w:ascii="Verdana" w:hAnsi="Verdana" w:eastAsia="Verdana" w:cs="Verdana"/>
          <w:sz w:val="18"/>
          <w:szCs w:val="18"/>
        </w:rPr>
        <w:t xml:space="preserve">Op het terrein van interne markt is sprake van een gedeelde bevoegdheid tussen de EU en de lidstaten (artikel 4, tweede lid, onder a, VWEU). </w:t>
      </w:r>
      <w:bookmarkEnd w:id="4"/>
    </w:p>
    <w:p w:rsidRPr="00B20659" w:rsidR="00D005ED" w:rsidP="00065DEA" w:rsidRDefault="00D005ED" w14:paraId="6D66C5EC" w14:textId="77777777">
      <w:pPr>
        <w:tabs>
          <w:tab w:val="left" w:pos="0"/>
          <w:tab w:val="left" w:pos="340"/>
          <w:tab w:val="left" w:pos="680"/>
          <w:tab w:val="left" w:pos="1021"/>
          <w:tab w:val="left" w:pos="1361"/>
          <w:tab w:val="left" w:pos="1701"/>
          <w:tab w:val="left" w:pos="3402"/>
        </w:tabs>
        <w:spacing w:line="360" w:lineRule="auto"/>
        <w:rPr>
          <w:bCs/>
        </w:rPr>
      </w:pPr>
    </w:p>
    <w:p w:rsidRPr="00F86A33" w:rsidR="005F7448" w:rsidP="00F86A33" w:rsidRDefault="00065DEA" w14:paraId="3D1E0B04" w14:textId="74818861">
      <w:pPr>
        <w:pStyle w:val="Spreekpunten"/>
        <w:numPr>
          <w:ilvl w:val="0"/>
          <w:numId w:val="11"/>
        </w:numPr>
        <w:rPr>
          <w:rFonts w:ascii="Verdana" w:hAnsi="Verdana"/>
          <w:i/>
          <w:iCs/>
          <w:sz w:val="18"/>
          <w:szCs w:val="18"/>
          <w:lang w:val="nl-NL" w:eastAsia="zh-CN"/>
        </w:rPr>
      </w:pPr>
      <w:r w:rsidRPr="002400DB">
        <w:rPr>
          <w:rFonts w:ascii="Verdana" w:hAnsi="Verdana"/>
          <w:i/>
          <w:iCs/>
          <w:sz w:val="18"/>
          <w:szCs w:val="18"/>
          <w:lang w:val="nl-NL" w:eastAsia="zh-CN"/>
        </w:rPr>
        <w:t>Subsidiariteit</w:t>
      </w:r>
    </w:p>
    <w:p w:rsidRPr="002400DB" w:rsidR="009D7F3A" w:rsidP="61B0A1F6" w:rsidRDefault="009D7F3A" w14:paraId="2725F403" w14:textId="4F320E0D">
      <w:pPr>
        <w:spacing w:line="360" w:lineRule="auto"/>
        <w:rPr>
          <w:rFonts w:ascii="Verdana" w:hAnsi="Verdana"/>
          <w:i/>
          <w:iCs/>
          <w:sz w:val="18"/>
          <w:szCs w:val="18"/>
        </w:rPr>
      </w:pPr>
      <w:r w:rsidRPr="002400DB">
        <w:rPr>
          <w:rFonts w:ascii="Verdana" w:hAnsi="Verdana"/>
          <w:sz w:val="18"/>
          <w:szCs w:val="18"/>
        </w:rPr>
        <w:t xml:space="preserve">Als onderdeel van de toets of de EU mag optreden conform de EU-verdragen toetst het kabinet de subsidiariteit van het optreden van de Commissie. Dit houdt in dat het kabinet op de gebieden die </w:t>
      </w:r>
      <w:r w:rsidRPr="002400DB">
        <w:rPr>
          <w:rFonts w:ascii="Verdana" w:hAnsi="Verdana"/>
          <w:sz w:val="18"/>
          <w:szCs w:val="18"/>
        </w:rPr>
        <w:lastRenderedPageBreak/>
        <w:t>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w:t>
      </w:r>
      <w:r w:rsidRPr="002400DB">
        <w:rPr>
          <w:rFonts w:ascii="Verdana" w:hAnsi="Verdana"/>
          <w:i/>
          <w:iCs/>
          <w:sz w:val="18"/>
          <w:szCs w:val="18"/>
        </w:rPr>
        <w:t xml:space="preserve"> </w:t>
      </w:r>
    </w:p>
    <w:p w:rsidRPr="002400DB" w:rsidR="009D7F3A" w:rsidP="00065DEA" w:rsidRDefault="009D7F3A" w14:paraId="483DA88C" w14:textId="77777777">
      <w:pPr>
        <w:spacing w:line="360" w:lineRule="auto"/>
        <w:rPr>
          <w:rFonts w:ascii="Verdana" w:hAnsi="Verdana"/>
          <w:i/>
          <w:iCs/>
          <w:sz w:val="18"/>
          <w:szCs w:val="18"/>
        </w:rPr>
      </w:pPr>
    </w:p>
    <w:p w:rsidRPr="002400DB" w:rsidR="0026031C" w:rsidP="00F86A33" w:rsidRDefault="00065DEA" w14:paraId="4D9A7C0A" w14:textId="3A5E586A">
      <w:pPr>
        <w:spacing w:line="360" w:lineRule="auto"/>
        <w:rPr>
          <w:rFonts w:ascii="Verdana" w:hAnsi="Verdana" w:eastAsia="Verdana" w:cs="Verdana"/>
          <w:sz w:val="18"/>
          <w:szCs w:val="18"/>
        </w:rPr>
      </w:pPr>
      <w:r w:rsidRPr="002400DB">
        <w:rPr>
          <w:rFonts w:ascii="Verdana" w:hAnsi="Verdana" w:eastAsia="Verdana" w:cs="Verdana"/>
          <w:sz w:val="18"/>
          <w:szCs w:val="18"/>
        </w:rPr>
        <w:t xml:space="preserve">Het oordeel van het kabinet ten aanzien van de subsidiariteit is positief. </w:t>
      </w:r>
      <w:bookmarkStart w:name="_Hlk242091596" w:id="5"/>
      <w:r w:rsidRPr="002400DB">
        <w:rPr>
          <w:rFonts w:ascii="Verdana" w:hAnsi="Verdana" w:eastAsia="Verdana" w:cs="Verdana"/>
          <w:sz w:val="18"/>
          <w:szCs w:val="18"/>
        </w:rPr>
        <w:t xml:space="preserve">De verordening heeft tot doel een gemeenschappelijk kader vast te stellen voor het opwerpen van </w:t>
      </w:r>
      <w:bookmarkEnd w:id="5"/>
      <w:r w:rsidRPr="002400DB">
        <w:rPr>
          <w:rFonts w:ascii="Verdana" w:hAnsi="Verdana" w:eastAsia="Verdana" w:cs="Verdana"/>
          <w:sz w:val="18"/>
          <w:szCs w:val="18"/>
        </w:rPr>
        <w:t>belemmeringen ten aanzien van vrije marktwerking voor verhuurders van woonruimte voor korte termijn</w:t>
      </w:r>
      <w:r w:rsidRPr="002400DB" w:rsidR="003A2700">
        <w:rPr>
          <w:rFonts w:ascii="Verdana" w:hAnsi="Verdana" w:eastAsia="Verdana" w:cs="Verdana"/>
          <w:sz w:val="18"/>
          <w:szCs w:val="18"/>
        </w:rPr>
        <w:t xml:space="preserve"> en voor de verkrijging of het gebruik van grond</w:t>
      </w:r>
      <w:r w:rsidRPr="002400DB" w:rsidR="00D005ED">
        <w:rPr>
          <w:rFonts w:ascii="Verdana" w:hAnsi="Verdana" w:eastAsia="Verdana" w:cs="Verdana"/>
          <w:sz w:val="18"/>
          <w:szCs w:val="18"/>
        </w:rPr>
        <w:t xml:space="preserve"> en woningen voor andere doeleinden dan hoofdverblijf</w:t>
      </w:r>
      <w:r w:rsidRPr="002400DB">
        <w:rPr>
          <w:rFonts w:ascii="Verdana" w:hAnsi="Verdana" w:eastAsia="Verdana" w:cs="Verdana"/>
          <w:sz w:val="18"/>
          <w:szCs w:val="18"/>
        </w:rPr>
        <w:t>.</w:t>
      </w:r>
      <w:r w:rsidRPr="002400DB">
        <w:t xml:space="preserve"> </w:t>
      </w:r>
      <w:r w:rsidRPr="002400DB" w:rsidR="005F7448">
        <w:rPr>
          <w:rFonts w:ascii="Verdana" w:hAnsi="Verdana" w:eastAsia="Verdana" w:cs="Verdana"/>
          <w:sz w:val="18"/>
          <w:szCs w:val="18"/>
        </w:rPr>
        <w:t>D</w:t>
      </w:r>
      <w:r w:rsidRPr="002400DB" w:rsidR="00F72667">
        <w:rPr>
          <w:rFonts w:ascii="Verdana" w:hAnsi="Verdana" w:eastAsia="Verdana" w:cs="Verdana"/>
          <w:sz w:val="18"/>
          <w:szCs w:val="18"/>
        </w:rPr>
        <w:t xml:space="preserve">ergelijke </w:t>
      </w:r>
      <w:r w:rsidRPr="002400DB" w:rsidR="0026031C">
        <w:rPr>
          <w:rFonts w:ascii="Verdana" w:hAnsi="Verdana" w:eastAsia="Verdana" w:cs="Verdana"/>
          <w:sz w:val="18"/>
          <w:szCs w:val="18"/>
        </w:rPr>
        <w:t>belemmeringen</w:t>
      </w:r>
      <w:r w:rsidRPr="002400DB" w:rsidR="005F7448">
        <w:rPr>
          <w:rFonts w:ascii="Verdana" w:hAnsi="Verdana" w:eastAsia="Verdana" w:cs="Verdana"/>
          <w:sz w:val="18"/>
          <w:szCs w:val="18"/>
        </w:rPr>
        <w:t xml:space="preserve"> kunnen</w:t>
      </w:r>
      <w:r w:rsidRPr="002400DB" w:rsidR="00F72667">
        <w:rPr>
          <w:rFonts w:ascii="Verdana" w:hAnsi="Verdana" w:eastAsia="Verdana" w:cs="Verdana"/>
          <w:sz w:val="18"/>
          <w:szCs w:val="18"/>
        </w:rPr>
        <w:t xml:space="preserve"> gevolgen hebben voor grensoverschrijdende dienstverlening. Op dit moment kunnen deze </w:t>
      </w:r>
      <w:r w:rsidRPr="002400DB" w:rsidR="0026031C">
        <w:rPr>
          <w:rFonts w:ascii="Verdana" w:hAnsi="Verdana" w:eastAsia="Verdana" w:cs="Verdana"/>
          <w:sz w:val="18"/>
          <w:szCs w:val="18"/>
        </w:rPr>
        <w:t xml:space="preserve">maatregelen worden genomen onder </w:t>
      </w:r>
      <w:r w:rsidRPr="002400DB" w:rsidR="00F72667">
        <w:rPr>
          <w:rFonts w:ascii="Verdana" w:hAnsi="Verdana" w:eastAsia="Verdana" w:cs="Verdana"/>
          <w:sz w:val="18"/>
          <w:szCs w:val="18"/>
        </w:rPr>
        <w:t>de Dienstenrichtlijn. Hiervoor worden uiteenlopende beoordelingsmethodes en onderbouwingen gebruikt. Een Europees kader kan bijdragen aan een consistentere toepassing van de interne</w:t>
      </w:r>
      <w:r w:rsidRPr="002400DB" w:rsidR="003E5E3A">
        <w:rPr>
          <w:rFonts w:ascii="Verdana" w:hAnsi="Verdana" w:eastAsia="Verdana" w:cs="Verdana"/>
          <w:sz w:val="18"/>
          <w:szCs w:val="18"/>
        </w:rPr>
        <w:t xml:space="preserve"> </w:t>
      </w:r>
      <w:r w:rsidRPr="002400DB" w:rsidR="00F72667">
        <w:rPr>
          <w:rFonts w:ascii="Verdana" w:hAnsi="Verdana" w:eastAsia="Verdana" w:cs="Verdana"/>
          <w:sz w:val="18"/>
          <w:szCs w:val="18"/>
        </w:rPr>
        <w:t>marktregels</w:t>
      </w:r>
      <w:r w:rsidR="009517E0">
        <w:rPr>
          <w:rFonts w:ascii="Verdana" w:hAnsi="Verdana" w:eastAsia="Verdana" w:cs="Verdana"/>
          <w:sz w:val="18"/>
          <w:szCs w:val="18"/>
        </w:rPr>
        <w:t>.</w:t>
      </w:r>
      <w:r w:rsidRPr="002400DB">
        <w:rPr>
          <w:rFonts w:ascii="Verdana" w:hAnsi="Verdana" w:eastAsia="Verdana" w:cs="Verdana"/>
          <w:sz w:val="18"/>
          <w:szCs w:val="18"/>
        </w:rPr>
        <w:t xml:space="preserve"> </w:t>
      </w:r>
      <w:r w:rsidRPr="002400DB" w:rsidR="00603C4D">
        <w:rPr>
          <w:rFonts w:ascii="Verdana" w:hAnsi="Verdana"/>
          <w:sz w:val="18"/>
          <w:szCs w:val="18"/>
        </w:rPr>
        <w:t>Gezien het voorgaande kan dit onvoldoende door de lidstaten op centraal, regionaal of lokaal niveau worden verwezenlijkt, daarom is een EU-aanpak nodig</w:t>
      </w:r>
      <w:r w:rsidRPr="002400DB" w:rsidR="00603C4D">
        <w:rPr>
          <w:rFonts w:ascii="Verdana" w:hAnsi="Verdana" w:eastAsia="Verdana" w:cs="Verdana"/>
          <w:sz w:val="18"/>
          <w:szCs w:val="18"/>
        </w:rPr>
        <w:t>.</w:t>
      </w:r>
      <w:r w:rsidRPr="002400DB" w:rsidR="00450FFF">
        <w:rPr>
          <w:rFonts w:ascii="Verdana" w:hAnsi="Verdana" w:eastAsia="Verdana" w:cs="Verdana"/>
          <w:sz w:val="18"/>
          <w:szCs w:val="18"/>
        </w:rPr>
        <w:t xml:space="preserve"> </w:t>
      </w:r>
      <w:r w:rsidRPr="002400DB" w:rsidR="005F7448">
        <w:rPr>
          <w:rFonts w:ascii="Verdana" w:hAnsi="Verdana" w:eastAsia="Verdana" w:cs="Verdana"/>
          <w:sz w:val="18"/>
          <w:szCs w:val="18"/>
        </w:rPr>
        <w:t>Tegelijkertijd is</w:t>
      </w:r>
      <w:r w:rsidR="00192B3F">
        <w:rPr>
          <w:rFonts w:ascii="Verdana" w:hAnsi="Verdana" w:eastAsia="Verdana" w:cs="Verdana"/>
          <w:sz w:val="18"/>
          <w:szCs w:val="18"/>
        </w:rPr>
        <w:t xml:space="preserve"> het voor het kabinet een aandachtspunt dat voldoende</w:t>
      </w:r>
      <w:r w:rsidRPr="002400DB" w:rsidR="005F7448">
        <w:rPr>
          <w:rFonts w:ascii="Verdana" w:hAnsi="Verdana" w:eastAsia="Verdana" w:cs="Verdana"/>
          <w:sz w:val="18"/>
          <w:szCs w:val="18"/>
        </w:rPr>
        <w:t xml:space="preserve"> ruimte</w:t>
      </w:r>
      <w:r w:rsidR="00192B3F">
        <w:rPr>
          <w:rFonts w:ascii="Verdana" w:hAnsi="Verdana" w:eastAsia="Verdana" w:cs="Verdana"/>
          <w:sz w:val="18"/>
          <w:szCs w:val="18"/>
        </w:rPr>
        <w:t xml:space="preserve"> blijft</w:t>
      </w:r>
      <w:r w:rsidRPr="002400DB" w:rsidR="005F7448">
        <w:rPr>
          <w:rFonts w:ascii="Verdana" w:hAnsi="Verdana" w:eastAsia="Verdana" w:cs="Verdana"/>
          <w:sz w:val="18"/>
          <w:szCs w:val="18"/>
        </w:rPr>
        <w:t xml:space="preserve"> voor nationale en lokale afweging</w:t>
      </w:r>
      <w:r w:rsidR="00192B3F">
        <w:rPr>
          <w:rFonts w:ascii="Verdana" w:hAnsi="Verdana" w:eastAsia="Verdana" w:cs="Verdana"/>
          <w:sz w:val="18"/>
          <w:szCs w:val="18"/>
        </w:rPr>
        <w:t xml:space="preserve">, </w:t>
      </w:r>
      <w:r w:rsidRPr="002400DB" w:rsidR="005F7448">
        <w:rPr>
          <w:rFonts w:ascii="Verdana" w:hAnsi="Verdana" w:eastAsia="Verdana" w:cs="Verdana"/>
          <w:sz w:val="18"/>
          <w:szCs w:val="18"/>
        </w:rPr>
        <w:t xml:space="preserve">om zo effectief en flexibel mogelijk in te kunnen spelen op de problemen om de woningmarkt die vaak zeer lokaal opspelen en door de tijd heen wisselen. Zowel om de proportionaliteit (zie hieronder) als de subsidiariteit te waarborgen dient daarom volgens het kabinet in de verdeling van bevoegdheden goed bezien te worden welke (hoofd)uitgangspunten Europees verankerd moeten worden, en welke uitwerking lokaal kan plaatsvinden. </w:t>
      </w:r>
    </w:p>
    <w:p w:rsidRPr="002400DB" w:rsidR="000E4C7F" w:rsidP="00065DEA" w:rsidRDefault="000E4C7F" w14:paraId="029FC6D9" w14:textId="77777777">
      <w:pPr>
        <w:pStyle w:val="Spreekpunten"/>
        <w:numPr>
          <w:ilvl w:val="0"/>
          <w:numId w:val="0"/>
        </w:numPr>
        <w:rPr>
          <w:rFonts w:ascii="Verdana" w:hAnsi="Verdana"/>
          <w:i/>
          <w:iCs/>
          <w:sz w:val="18"/>
          <w:szCs w:val="18"/>
          <w:lang w:val="nl-NL" w:eastAsia="zh-CN"/>
        </w:rPr>
      </w:pPr>
    </w:p>
    <w:p w:rsidRPr="002400DB" w:rsidR="00065DEA" w:rsidP="00214477" w:rsidRDefault="00065DEA" w14:paraId="6A758766" w14:textId="77777777">
      <w:pPr>
        <w:pStyle w:val="ListParagraph"/>
        <w:numPr>
          <w:ilvl w:val="0"/>
          <w:numId w:val="11"/>
        </w:numPr>
        <w:spacing w:line="360" w:lineRule="auto"/>
        <w:rPr>
          <w:rFonts w:ascii="Verdana" w:hAnsi="Verdana"/>
          <w:i/>
          <w:iCs/>
          <w:sz w:val="18"/>
          <w:szCs w:val="18"/>
          <w:lang w:val="en-GB" w:eastAsia="nl-NL"/>
        </w:rPr>
      </w:pPr>
      <w:proofErr w:type="spellStart"/>
      <w:r w:rsidRPr="002400DB">
        <w:rPr>
          <w:rFonts w:ascii="Verdana" w:hAnsi="Verdana"/>
          <w:i/>
          <w:iCs/>
          <w:sz w:val="18"/>
          <w:szCs w:val="18"/>
          <w:lang w:val="en-GB" w:eastAsia="nl-NL"/>
        </w:rPr>
        <w:t>Proportionaliteit</w:t>
      </w:r>
      <w:proofErr w:type="spellEnd"/>
    </w:p>
    <w:p w:rsidRPr="002400DB" w:rsidR="009D7F3A" w:rsidP="00617505" w:rsidRDefault="009D7F3A" w14:paraId="4374CC9B" w14:textId="77777777">
      <w:pPr>
        <w:spacing w:line="360" w:lineRule="auto"/>
        <w:rPr>
          <w:rFonts w:ascii="Verdana" w:hAnsi="Verdana"/>
          <w:sz w:val="18"/>
          <w:szCs w:val="18"/>
        </w:rPr>
      </w:pPr>
      <w:r w:rsidRPr="002400DB">
        <w:rPr>
          <w:rFonts w:ascii="Verdana" w:hAnsi="Verdana"/>
          <w:sz w:val="18"/>
          <w:szCs w:val="18"/>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w:t>
      </w:r>
    </w:p>
    <w:p w:rsidRPr="002400DB" w:rsidR="009D7F3A" w:rsidP="00617505" w:rsidRDefault="009D7F3A" w14:paraId="4BDAE957" w14:textId="77777777">
      <w:pPr>
        <w:spacing w:line="360" w:lineRule="auto"/>
        <w:rPr>
          <w:rFonts w:ascii="Verdana" w:hAnsi="Verdana"/>
          <w:i/>
          <w:iCs/>
          <w:sz w:val="18"/>
          <w:szCs w:val="18"/>
        </w:rPr>
      </w:pPr>
    </w:p>
    <w:p w:rsidRPr="002400DB" w:rsidR="00065DEA" w:rsidP="00617505" w:rsidRDefault="000E4C7F" w14:paraId="379BC263" w14:textId="5072A476">
      <w:pPr>
        <w:spacing w:line="360" w:lineRule="auto"/>
        <w:rPr>
          <w:rFonts w:ascii="Verdana" w:hAnsi="Verdana" w:eastAsia="Verdana" w:cs="Verdana"/>
          <w:sz w:val="18"/>
          <w:szCs w:val="18"/>
        </w:rPr>
      </w:pPr>
      <w:r w:rsidRPr="002400DB">
        <w:rPr>
          <w:rFonts w:ascii="Verdana" w:hAnsi="Verdana" w:eastAsia="Verdana" w:cs="Verdana"/>
          <w:sz w:val="18"/>
          <w:szCs w:val="18"/>
        </w:rPr>
        <w:t xml:space="preserve">Het oordeel van het kabinet ten aanzien van de proportionaliteit is </w:t>
      </w:r>
      <w:r w:rsidRPr="002400DB" w:rsidR="00603C4D">
        <w:rPr>
          <w:rFonts w:ascii="Verdana" w:hAnsi="Verdana" w:eastAsia="Verdana" w:cs="Verdana"/>
          <w:sz w:val="18"/>
          <w:szCs w:val="18"/>
        </w:rPr>
        <w:t xml:space="preserve">positief met kanttekeningen. </w:t>
      </w:r>
      <w:bookmarkStart w:name="_Hlk242091560" w:id="6"/>
      <w:r w:rsidRPr="002400DB">
        <w:rPr>
          <w:rFonts w:ascii="Verdana" w:hAnsi="Verdana" w:eastAsia="Verdana" w:cs="Verdana"/>
          <w:sz w:val="18"/>
          <w:szCs w:val="18"/>
        </w:rPr>
        <w:t xml:space="preserve">De verordening heeft tot doel een gemeenschappelijk kader vast te stellen voor </w:t>
      </w:r>
      <w:r w:rsidRPr="002400DB" w:rsidR="00CF2DD8">
        <w:rPr>
          <w:rFonts w:ascii="Verdana" w:hAnsi="Verdana" w:eastAsia="Verdana" w:cs="Verdana"/>
          <w:sz w:val="18"/>
          <w:szCs w:val="18"/>
        </w:rPr>
        <w:t>het opwerpen van belemmeringen ten aanzien van vrije marktwerking voor verhuurders van woonruimte voor korte termijn</w:t>
      </w:r>
      <w:r w:rsidRPr="002400DB" w:rsidR="003A2700">
        <w:rPr>
          <w:rFonts w:ascii="Verdana" w:hAnsi="Verdana" w:eastAsia="Verdana" w:cs="Verdana"/>
          <w:sz w:val="18"/>
          <w:szCs w:val="18"/>
        </w:rPr>
        <w:t xml:space="preserve"> en voor de verkrijging of het gebruik van grond</w:t>
      </w:r>
      <w:r w:rsidRPr="002400DB" w:rsidR="00D005ED">
        <w:rPr>
          <w:rFonts w:ascii="Verdana" w:hAnsi="Verdana" w:eastAsia="Verdana" w:cs="Verdana"/>
          <w:sz w:val="18"/>
          <w:szCs w:val="18"/>
        </w:rPr>
        <w:t xml:space="preserve"> en woningen voor andere doeleinden dan hoofdverblijf</w:t>
      </w:r>
      <w:r w:rsidRPr="002400DB" w:rsidR="00CF2DD8">
        <w:rPr>
          <w:rFonts w:ascii="Verdana" w:hAnsi="Verdana" w:eastAsia="Verdana" w:cs="Verdana"/>
          <w:sz w:val="18"/>
          <w:szCs w:val="18"/>
        </w:rPr>
        <w:t>.</w:t>
      </w:r>
      <w:r w:rsidRPr="002400DB">
        <w:rPr>
          <w:rFonts w:ascii="Verdana" w:hAnsi="Verdana" w:eastAsia="Verdana" w:cs="Verdana"/>
          <w:sz w:val="18"/>
          <w:szCs w:val="18"/>
        </w:rPr>
        <w:t xml:space="preserve"> </w:t>
      </w:r>
      <w:bookmarkEnd w:id="6"/>
      <w:r w:rsidRPr="002400DB">
        <w:rPr>
          <w:rFonts w:ascii="Verdana" w:hAnsi="Verdana" w:eastAsia="Verdana" w:cs="Verdana"/>
          <w:sz w:val="18"/>
          <w:szCs w:val="18"/>
        </w:rPr>
        <w:t xml:space="preserve">De </w:t>
      </w:r>
      <w:r w:rsidRPr="002400DB" w:rsidR="504B343E">
        <w:rPr>
          <w:rFonts w:ascii="Verdana" w:hAnsi="Verdana" w:eastAsia="Verdana" w:cs="Verdana"/>
          <w:sz w:val="18"/>
          <w:szCs w:val="18"/>
        </w:rPr>
        <w:t>AHA</w:t>
      </w:r>
      <w:r w:rsidRPr="002400DB">
        <w:rPr>
          <w:rFonts w:ascii="Verdana" w:hAnsi="Verdana" w:eastAsia="Verdana" w:cs="Verdana"/>
          <w:sz w:val="18"/>
          <w:szCs w:val="18"/>
        </w:rPr>
        <w:t xml:space="preserve"> harmoniseert de methodologie en bewijsstandaarden voor lidstaten om maatregelen te kunnen nemen die de verwerving of het gebruik beperken van grond of woningen die niet als hoofdverblijf worden verworven of gebruikt. Hiermee biedt de Commissie meer duidelijkheid in welke gevallen dergelijke maatregelen juridisch houdbaar worden geacht</w:t>
      </w:r>
      <w:r w:rsidRPr="002400DB" w:rsidR="00A83CAD">
        <w:rPr>
          <w:rFonts w:ascii="Verdana" w:hAnsi="Verdana" w:eastAsia="Verdana" w:cs="Verdana"/>
          <w:sz w:val="18"/>
          <w:szCs w:val="18"/>
        </w:rPr>
        <w:t>,</w:t>
      </w:r>
      <w:r w:rsidRPr="002400DB">
        <w:rPr>
          <w:rFonts w:ascii="Verdana" w:hAnsi="Verdana" w:eastAsia="Verdana" w:cs="Verdana"/>
          <w:sz w:val="18"/>
          <w:szCs w:val="18"/>
        </w:rPr>
        <w:t xml:space="preserve"> hetgeen het kabinet als positief waardeert. Het voorstel gaat echter verder dan noodzakelijk</w:t>
      </w:r>
      <w:r w:rsidRPr="002400DB" w:rsidR="00DF3FEF">
        <w:rPr>
          <w:rFonts w:ascii="Verdana" w:hAnsi="Verdana" w:eastAsia="Verdana" w:cs="Verdana"/>
          <w:sz w:val="18"/>
          <w:szCs w:val="18"/>
        </w:rPr>
        <w:t xml:space="preserve"> om</w:t>
      </w:r>
      <w:r w:rsidRPr="002400DB">
        <w:rPr>
          <w:rFonts w:ascii="Verdana" w:hAnsi="Verdana" w:eastAsia="Verdana" w:cs="Verdana"/>
          <w:sz w:val="18"/>
          <w:szCs w:val="18"/>
        </w:rPr>
        <w:t xml:space="preserve">dat het gemeenten beknot in de beleidsruimte die zij nu hebben om de woningcrisis aan te pakken. </w:t>
      </w:r>
      <w:r w:rsidRPr="002400DB" w:rsidR="00065DEA">
        <w:rPr>
          <w:rFonts w:ascii="Verdana" w:hAnsi="Verdana" w:eastAsia="Verdana" w:cs="Verdana"/>
          <w:sz w:val="18"/>
          <w:szCs w:val="18"/>
        </w:rPr>
        <w:t>Gemeenten zullen namelijk te maken krijgen met een bewijslast voor het aanwijzen van een gebied waar sprake is van een overspannen woningmarkt.</w:t>
      </w:r>
      <w:r w:rsidRPr="002400DB" w:rsidR="00D85B06">
        <w:rPr>
          <w:rFonts w:ascii="Verdana" w:hAnsi="Verdana" w:eastAsia="Verdana" w:cs="Verdana"/>
          <w:sz w:val="18"/>
          <w:szCs w:val="18"/>
        </w:rPr>
        <w:t xml:space="preserve"> </w:t>
      </w:r>
      <w:r w:rsidRPr="002400DB" w:rsidR="00065DEA">
        <w:rPr>
          <w:rFonts w:ascii="Verdana" w:hAnsi="Verdana" w:eastAsia="Verdana" w:cs="Verdana"/>
          <w:sz w:val="18"/>
          <w:szCs w:val="18"/>
        </w:rPr>
        <w:t xml:space="preserve">Daarnaast moet volgens artikel 9 een causaliteit aangetoond worden tussen </w:t>
      </w:r>
      <w:proofErr w:type="spellStart"/>
      <w:r w:rsidRPr="002400DB" w:rsidR="00065DEA">
        <w:rPr>
          <w:rFonts w:ascii="Verdana" w:hAnsi="Verdana" w:eastAsia="Verdana" w:cs="Verdana"/>
          <w:sz w:val="18"/>
          <w:szCs w:val="18"/>
        </w:rPr>
        <w:t>kortetermijnverhuur</w:t>
      </w:r>
      <w:proofErr w:type="spellEnd"/>
      <w:r w:rsidRPr="002400DB" w:rsidR="00065DEA">
        <w:rPr>
          <w:rFonts w:ascii="Verdana" w:hAnsi="Verdana" w:eastAsia="Verdana" w:cs="Verdana"/>
          <w:sz w:val="18"/>
          <w:szCs w:val="18"/>
        </w:rPr>
        <w:t xml:space="preserve"> en woningnood over een periode van drie jaar. </w:t>
      </w:r>
      <w:r w:rsidRPr="002400DB" w:rsidR="003E5E3A">
        <w:rPr>
          <w:rFonts w:ascii="Verdana" w:hAnsi="Verdana" w:eastAsia="Verdana" w:cs="Verdana"/>
          <w:sz w:val="18"/>
          <w:szCs w:val="18"/>
        </w:rPr>
        <w:t>V</w:t>
      </w:r>
      <w:r w:rsidRPr="002400DB" w:rsidR="00851A06">
        <w:rPr>
          <w:rFonts w:ascii="Verdana" w:hAnsi="Verdana" w:eastAsia="Verdana" w:cs="Verdana"/>
          <w:sz w:val="18"/>
          <w:szCs w:val="18"/>
        </w:rPr>
        <w:t xml:space="preserve">erder wordt het stellen van regels ten aanzien van toeristische verhuur voor woningen </w:t>
      </w:r>
      <w:r w:rsidRPr="002400DB" w:rsidR="00851A06">
        <w:rPr>
          <w:rFonts w:ascii="Verdana" w:hAnsi="Verdana" w:eastAsia="Verdana" w:cs="Verdana"/>
          <w:sz w:val="18"/>
          <w:szCs w:val="18"/>
        </w:rPr>
        <w:lastRenderedPageBreak/>
        <w:t>die niet als hoofdverblijf worden gebruikt en mogelijk ook opkoopbescherming met als argument schaarste met dit voorstel beperkt tot die gebieden waar sprake is van een overspannen woningmarkt. Dit zal veel gemeenten in de mogelijkheden beperken ten opzichte van de huidige situatie in Nederland.</w:t>
      </w:r>
      <w:r w:rsidRPr="002400DB" w:rsidDel="00AF1103" w:rsidR="00851A06">
        <w:rPr>
          <w:rFonts w:ascii="Verdana" w:hAnsi="Verdana" w:eastAsia="Verdana" w:cs="Verdana"/>
          <w:sz w:val="18"/>
          <w:szCs w:val="18"/>
        </w:rPr>
        <w:t xml:space="preserve"> </w:t>
      </w:r>
    </w:p>
    <w:p w:rsidRPr="002400DB" w:rsidR="009D0354" w:rsidP="00617505" w:rsidRDefault="009D0354" w14:paraId="6F066C50" w14:textId="77777777">
      <w:pPr>
        <w:spacing w:line="360" w:lineRule="auto"/>
        <w:rPr>
          <w:rFonts w:ascii="Verdana" w:hAnsi="Verdana" w:eastAsia="Verdana" w:cs="Verdana"/>
          <w:sz w:val="18"/>
          <w:szCs w:val="18"/>
        </w:rPr>
      </w:pPr>
    </w:p>
    <w:p w:rsidRPr="002400DB" w:rsidR="009D0354" w:rsidP="009D0354" w:rsidRDefault="009D0354" w14:paraId="44648723" w14:textId="77777777">
      <w:pPr>
        <w:pStyle w:val="Spreekpunten"/>
        <w:numPr>
          <w:ilvl w:val="0"/>
          <w:numId w:val="0"/>
        </w:numPr>
        <w:rPr>
          <w:rFonts w:ascii="Verdana" w:hAnsi="Verdana" w:eastAsia="Verdana" w:cs="Verdana"/>
          <w:sz w:val="18"/>
          <w:szCs w:val="18"/>
          <w:lang w:val="nl-NL"/>
        </w:rPr>
      </w:pPr>
      <w:r w:rsidRPr="002400DB">
        <w:rPr>
          <w:rFonts w:ascii="Verdana" w:hAnsi="Verdana" w:eastAsia="Verdana" w:cs="Verdana"/>
          <w:sz w:val="18"/>
          <w:szCs w:val="18"/>
          <w:lang w:val="nl-NL"/>
        </w:rPr>
        <w:t>Het kabinet plaatst wel een kanttekening bij de mate waarin lidstaten en decentrale overheden voldoende beleidsruimte houden om op basis van lokale omstandigheden maatregelen te nemen op de woningmarkt. De noodzaak en geschiktheid van maatregelen kan het beste door lidstaten en decentrale overheden worden ingeschat, omdat het sterk samenhangt met de situatie op de lokale woningmarkt. Het kabinet acht het daarom noodzakelijk dat een kader voldoende ruimte laat voor deze lokale afweging. Het kabinet is kritisch over de mate waarin het voorgestelde kader van de Commissie op dit moment deze ruimte biedt.</w:t>
      </w:r>
    </w:p>
    <w:p w:rsidRPr="002400DB" w:rsidR="009D0354" w:rsidP="009D0354" w:rsidRDefault="009D0354" w14:paraId="5FA12D98" w14:textId="77777777">
      <w:pPr>
        <w:pStyle w:val="Spreekpunten"/>
        <w:numPr>
          <w:ilvl w:val="0"/>
          <w:numId w:val="0"/>
        </w:numPr>
        <w:rPr>
          <w:rFonts w:ascii="Verdana" w:hAnsi="Verdana" w:eastAsia="Verdana" w:cs="Verdana"/>
          <w:sz w:val="18"/>
          <w:szCs w:val="18"/>
          <w:lang w:val="nl-NL"/>
        </w:rPr>
      </w:pPr>
    </w:p>
    <w:p w:rsidR="00450FFF" w:rsidP="00617505" w:rsidRDefault="009D0354" w14:paraId="09FFB5A2" w14:textId="4CCCDF3C">
      <w:pPr>
        <w:spacing w:line="360" w:lineRule="auto"/>
        <w:rPr>
          <w:rFonts w:ascii="Verdana" w:hAnsi="Verdana" w:eastAsia="Verdana" w:cs="Verdana"/>
          <w:sz w:val="18"/>
          <w:szCs w:val="18"/>
        </w:rPr>
      </w:pPr>
      <w:r w:rsidRPr="002400DB">
        <w:rPr>
          <w:rFonts w:ascii="Verdana" w:hAnsi="Verdana" w:eastAsia="Verdana" w:cs="Verdana"/>
          <w:sz w:val="18"/>
          <w:szCs w:val="18"/>
        </w:rPr>
        <w:t>Deze kanttekening wordt ook geplaatst bij de opkoopbescherming. D</w:t>
      </w:r>
      <w:r w:rsidRPr="002400DB">
        <w:rPr>
          <w:rFonts w:ascii="Verdana" w:hAnsi="Verdana"/>
          <w:sz w:val="18"/>
          <w:szCs w:val="18"/>
        </w:rPr>
        <w:t xml:space="preserve">e opkoopbescherming valt, zoals reeds toegelicht, in de huidige formulering deels ook onder de verordening. Het kabinet acht het noodzakelijk dat </w:t>
      </w:r>
      <w:r w:rsidRPr="002400DB">
        <w:rPr>
          <w:rFonts w:ascii="Verdana" w:hAnsi="Verdana" w:eastAsia="Verdana" w:cs="Verdana"/>
          <w:sz w:val="18"/>
          <w:szCs w:val="18"/>
        </w:rPr>
        <w:t>een kader voldoende ruimte laat voor een lokale afweging. De opkoopbescherming mag in Nederland alleen gebiedsgericht ingezet worden binnen een stad of dorp. De geschiktheid van dit instrument kan dus het beste op dat niveau, de lokale woningmarkt, plaatsvinden.</w:t>
      </w:r>
    </w:p>
    <w:p w:rsidRPr="002400DB" w:rsidR="009517E0" w:rsidP="00617505" w:rsidRDefault="009517E0" w14:paraId="28212AEF" w14:textId="77777777">
      <w:pPr>
        <w:spacing w:line="360" w:lineRule="auto"/>
        <w:rPr>
          <w:rFonts w:ascii="Verdana" w:hAnsi="Verdana" w:eastAsia="Verdana" w:cs="Verdana"/>
          <w:sz w:val="18"/>
          <w:szCs w:val="18"/>
        </w:rPr>
      </w:pPr>
    </w:p>
    <w:p w:rsidRPr="009D0354" w:rsidR="00450FFF" w:rsidP="00214477" w:rsidRDefault="00450FFF" w14:paraId="46F82326" w14:textId="1B78DE5B">
      <w:pPr>
        <w:pStyle w:val="Spreekpunten"/>
        <w:numPr>
          <w:ilvl w:val="0"/>
          <w:numId w:val="0"/>
        </w:numPr>
        <w:rPr>
          <w:rFonts w:ascii="Verdana" w:hAnsi="Verdana" w:eastAsia="Verdana" w:cs="Verdana"/>
          <w:sz w:val="18"/>
          <w:szCs w:val="18"/>
          <w:lang w:val="nl-NL"/>
        </w:rPr>
      </w:pPr>
      <w:r w:rsidRPr="002400DB">
        <w:rPr>
          <w:rFonts w:ascii="Verdana" w:hAnsi="Verdana" w:eastAsia="Verdana" w:cs="Verdana"/>
          <w:sz w:val="18"/>
          <w:szCs w:val="18"/>
          <w:lang w:val="nl-NL"/>
        </w:rPr>
        <w:t xml:space="preserve">Daarnaast </w:t>
      </w:r>
      <w:r w:rsidRPr="002400DB" w:rsidR="009D0354">
        <w:rPr>
          <w:rFonts w:ascii="Verdana" w:hAnsi="Verdana" w:eastAsia="Verdana" w:cs="Verdana"/>
          <w:sz w:val="18"/>
          <w:szCs w:val="18"/>
          <w:lang w:val="nl-NL"/>
        </w:rPr>
        <w:t xml:space="preserve">plaatst het </w:t>
      </w:r>
      <w:r w:rsidRPr="002400DB">
        <w:rPr>
          <w:rFonts w:ascii="Verdana" w:hAnsi="Verdana" w:eastAsia="Verdana" w:cs="Verdana"/>
          <w:sz w:val="18"/>
          <w:szCs w:val="18"/>
          <w:lang w:val="nl-NL"/>
        </w:rPr>
        <w:t>kabinet een kanttekening bij de instrumentkeuze.</w:t>
      </w:r>
      <w:r w:rsidRPr="002400DB" w:rsidR="009D0354">
        <w:rPr>
          <w:rFonts w:ascii="Verdana" w:hAnsi="Verdana" w:eastAsia="Verdana" w:cs="Verdana"/>
          <w:sz w:val="18"/>
          <w:szCs w:val="18"/>
          <w:lang w:val="nl-NL"/>
        </w:rPr>
        <w:t xml:space="preserve"> Naar oordeel van het kabinet is er een minder ingrijpend alternatief beschikbaar, namelijk een richtlijn die meer ruimte laat voor de lokale omstandigheden en afwegingen waarbij ook het bestaande nationale en lokale kader in stand kan blijven, zonder ingrijpende wijzigingen in de systematiek.</w:t>
      </w:r>
      <w:r w:rsidRPr="002400DB">
        <w:rPr>
          <w:rFonts w:ascii="Verdana" w:hAnsi="Verdana" w:eastAsia="Verdana" w:cs="Verdana"/>
          <w:sz w:val="18"/>
          <w:szCs w:val="18"/>
          <w:lang w:val="nl-NL"/>
        </w:rPr>
        <w:t xml:space="preserve"> </w:t>
      </w:r>
      <w:r w:rsidRPr="00774717">
        <w:rPr>
          <w:rFonts w:ascii="Verdana" w:hAnsi="Verdana" w:eastAsia="Verdana" w:cs="Verdana"/>
          <w:sz w:val="18"/>
          <w:szCs w:val="18"/>
          <w:lang w:val="nl-NL"/>
        </w:rPr>
        <w:t>De Commissie motiveert niet waarom een ander instrument, zoals een richtlijn, niet tot concretisering en harmonisatie zou leiden en tegelijkertijd lidstaten meer ruimte geeft voor maatwerk voor hun specifieke huisvestingssituaties. Aangezien de AHA de gemeentelijke beleidsruimte bij verschillende aspecten van huurbeleid raakt, zou de Commissie nader kunnen motiveren waarom een rechtstreeks toepasselijke verordening noodzakelijk is</w:t>
      </w:r>
      <w:r w:rsidRPr="00774717" w:rsidR="009D0354">
        <w:rPr>
          <w:rFonts w:ascii="Verdana" w:hAnsi="Verdana" w:eastAsia="Verdana" w:cs="Verdana"/>
          <w:sz w:val="18"/>
          <w:szCs w:val="18"/>
          <w:lang w:val="nl-NL"/>
        </w:rPr>
        <w:t xml:space="preserve"> of een ander middel kunnen overwegen</w:t>
      </w:r>
      <w:r w:rsidRPr="00774717">
        <w:rPr>
          <w:rFonts w:ascii="Verdana" w:hAnsi="Verdana" w:eastAsia="Verdana" w:cs="Verdana"/>
          <w:sz w:val="18"/>
          <w:szCs w:val="18"/>
          <w:lang w:val="nl-NL"/>
        </w:rPr>
        <w:t>. Een richtlijn biedt Nederland meer ruimte om een kader op te stellen dat past bij de uitvoeringspraktijk zoals we dat nu kennen, zodat gemeenten meer beleidsvrijheid houden.</w:t>
      </w:r>
    </w:p>
    <w:p w:rsidRPr="000A28A7" w:rsidR="00065DEA" w:rsidP="00065DEA" w:rsidRDefault="00065DEA" w14:paraId="6D7D2322" w14:textId="77777777">
      <w:pPr>
        <w:pStyle w:val="Spreekpunten"/>
        <w:numPr>
          <w:ilvl w:val="0"/>
          <w:numId w:val="0"/>
        </w:numPr>
        <w:rPr>
          <w:rFonts w:ascii="Verdana" w:hAnsi="Verdana"/>
          <w:iCs/>
          <w:sz w:val="18"/>
          <w:szCs w:val="18"/>
          <w:lang w:val="nl-NL" w:eastAsia="zh-CN"/>
        </w:rPr>
      </w:pPr>
    </w:p>
    <w:p w:rsidRPr="00214477" w:rsidR="00065DEA" w:rsidP="00214477" w:rsidRDefault="00065DEA" w14:paraId="398CFA86" w14:textId="606A6AE8">
      <w:pPr>
        <w:spacing w:line="360" w:lineRule="auto"/>
        <w:rPr>
          <w:rFonts w:ascii="Verdana" w:hAnsi="Verdana"/>
          <w:sz w:val="18"/>
          <w:szCs w:val="18"/>
        </w:rPr>
      </w:pPr>
      <w:bookmarkStart w:name="_Hlk241135227" w:id="7"/>
      <w:r w:rsidRPr="00D56B7D">
        <w:rPr>
          <w:rFonts w:ascii="Verdana" w:hAnsi="Verdana"/>
          <w:b/>
          <w:bCs/>
          <w:sz w:val="18"/>
          <w:szCs w:val="18"/>
        </w:rPr>
        <w:t xml:space="preserve">5. Financiële consequenties, gevolgen voor regeldruk, concurrentiekracht en geopolitieke aspecten </w:t>
      </w:r>
    </w:p>
    <w:p w:rsidRPr="00214477" w:rsidR="00065DEA" w:rsidP="00214477" w:rsidRDefault="00065DEA" w14:paraId="7073BBCC" w14:textId="77777777">
      <w:pPr>
        <w:numPr>
          <w:ilvl w:val="0"/>
          <w:numId w:val="4"/>
        </w:numPr>
        <w:spacing w:line="360" w:lineRule="auto"/>
        <w:outlineLvl w:val="0"/>
        <w:rPr>
          <w:rFonts w:ascii="Verdana" w:hAnsi="Verdana"/>
          <w:i/>
          <w:iCs/>
          <w:sz w:val="18"/>
          <w:szCs w:val="18"/>
        </w:rPr>
      </w:pPr>
      <w:r w:rsidRPr="00D56B7D">
        <w:rPr>
          <w:rFonts w:ascii="Verdana" w:hAnsi="Verdana"/>
          <w:i/>
          <w:iCs/>
          <w:sz w:val="18"/>
          <w:szCs w:val="18"/>
        </w:rPr>
        <w:t>Consequenties EU-begroting</w:t>
      </w:r>
    </w:p>
    <w:p w:rsidR="00EA7E3A" w:rsidP="00617505" w:rsidRDefault="00DB49A7" w14:paraId="14961834" w14:textId="052CB018">
      <w:pPr>
        <w:spacing w:line="360" w:lineRule="auto"/>
        <w:rPr>
          <w:rFonts w:ascii="Verdana" w:hAnsi="Verdana" w:cs="Calibri"/>
          <w:sz w:val="18"/>
          <w:szCs w:val="18"/>
        </w:rPr>
      </w:pPr>
      <w:r w:rsidRPr="00617505">
        <w:rPr>
          <w:rFonts w:ascii="Verdana" w:hAnsi="Verdana"/>
          <w:sz w:val="18"/>
          <w:szCs w:val="18"/>
        </w:rPr>
        <w:t xml:space="preserve">Uit de impact assessment blijkt dat de Commissie van het implementeren en uitvoeren van de voorkeursoptie geen grote financiële gevolgen verwacht voor de EU-begroting. </w:t>
      </w:r>
      <w:r w:rsidRPr="00617505">
        <w:rPr>
          <w:rFonts w:ascii="Verdana" w:hAnsi="Verdana" w:cs="Calibri"/>
          <w:sz w:val="18"/>
          <w:szCs w:val="18"/>
        </w:rPr>
        <w:t xml:space="preserve">Het kabinet is desondanks van mening dat eventuele benodigde EU-middelen gevonden dienen te worden binnen de in de Raad afgesproken financiële kaders van de EU-begroting 2021-2027 en dat deze moeten passen bij een prudente ontwikkeling van de jaarbegroting. Het kabinet wil niet vooruitlopen op de integrale afweging van middelen na 2027. </w:t>
      </w:r>
    </w:p>
    <w:p w:rsidRPr="00BC410D" w:rsidR="00BC410D" w:rsidP="00617505" w:rsidRDefault="00BC410D" w14:paraId="354555EA" w14:textId="77777777">
      <w:pPr>
        <w:spacing w:line="360" w:lineRule="auto"/>
        <w:rPr>
          <w:rFonts w:ascii="Verdana" w:hAnsi="Verdana" w:cs="Calibri"/>
          <w:sz w:val="18"/>
          <w:szCs w:val="18"/>
        </w:rPr>
      </w:pPr>
    </w:p>
    <w:p w:rsidR="00DB49A7" w:rsidP="00617505" w:rsidRDefault="00DB49A7" w14:paraId="41C0DA33" w14:textId="77777777"/>
    <w:p w:rsidRPr="00214477" w:rsidR="00065DEA" w:rsidP="00214477" w:rsidRDefault="00065DEA" w14:paraId="2EBFD744" w14:textId="77777777">
      <w:pPr>
        <w:numPr>
          <w:ilvl w:val="0"/>
          <w:numId w:val="4"/>
        </w:numPr>
        <w:spacing w:line="360" w:lineRule="auto"/>
        <w:outlineLvl w:val="0"/>
        <w:rPr>
          <w:rFonts w:ascii="Verdana" w:hAnsi="Verdana"/>
          <w:i/>
          <w:iCs/>
          <w:sz w:val="18"/>
          <w:szCs w:val="18"/>
        </w:rPr>
      </w:pPr>
      <w:r w:rsidRPr="00D56B7D">
        <w:rPr>
          <w:rFonts w:ascii="Verdana" w:hAnsi="Verdana"/>
          <w:i/>
          <w:iCs/>
          <w:sz w:val="18"/>
          <w:szCs w:val="18"/>
        </w:rPr>
        <w:t>Financiële consequenties (incl. personele) voor Rijksoverheid en/ of medeoverheden</w:t>
      </w:r>
    </w:p>
    <w:p w:rsidRPr="00214477" w:rsidR="00065DEA" w:rsidP="00214477" w:rsidRDefault="00065DEA" w14:paraId="5A47CD2C" w14:textId="210E36E0">
      <w:pPr>
        <w:spacing w:line="360" w:lineRule="auto"/>
        <w:rPr>
          <w:rFonts w:ascii="Verdana" w:hAnsi="Verdana" w:eastAsia="Verdana" w:cs="Verdana"/>
          <w:sz w:val="18"/>
          <w:szCs w:val="18"/>
        </w:rPr>
      </w:pPr>
      <w:r w:rsidRPr="005F4658">
        <w:rPr>
          <w:rFonts w:ascii="Verdana" w:hAnsi="Verdana"/>
          <w:sz w:val="18"/>
          <w:szCs w:val="18"/>
        </w:rPr>
        <w:t xml:space="preserve">Het voorstel leidt naar verwachting niet tot grote directe financiële consequenties en regeldrukgevolgen voor de Rijksoverheid. </w:t>
      </w:r>
      <w:r w:rsidRPr="00214477" w:rsidR="789A1ADD">
        <w:rPr>
          <w:rFonts w:ascii="Verdana" w:hAnsi="Verdana" w:eastAsia="Verdana" w:cs="Verdana"/>
          <w:sz w:val="18"/>
          <w:szCs w:val="18"/>
        </w:rPr>
        <w:t>(Eventuele) nationale budgettaire gevolgen worden ingepast op de begroting van het/de beleidsverantwoordelijk (e) departement(en), conform de regels van de budgetdiscipline.</w:t>
      </w:r>
    </w:p>
    <w:p w:rsidRPr="00214477" w:rsidR="00065DEA" w:rsidP="00214477" w:rsidRDefault="00065DEA" w14:paraId="65F20DB0" w14:textId="4E384846">
      <w:pPr>
        <w:spacing w:line="360" w:lineRule="auto"/>
        <w:rPr>
          <w:rFonts w:ascii="Verdana" w:hAnsi="Verdana"/>
          <w:sz w:val="18"/>
          <w:szCs w:val="18"/>
        </w:rPr>
      </w:pPr>
    </w:p>
    <w:p w:rsidR="00065DEA" w:rsidP="00065DEA" w:rsidRDefault="00065DEA" w14:paraId="10B2094C" w14:textId="0BD71D39">
      <w:pPr>
        <w:spacing w:line="360" w:lineRule="auto"/>
        <w:rPr>
          <w:rFonts w:ascii="Verdana" w:hAnsi="Verdana" w:eastAsia="Verdana" w:cs="Verdana"/>
          <w:sz w:val="18"/>
          <w:szCs w:val="18"/>
        </w:rPr>
      </w:pPr>
      <w:r w:rsidRPr="005F4658">
        <w:rPr>
          <w:rFonts w:ascii="Verdana" w:hAnsi="Verdana"/>
          <w:sz w:val="18"/>
          <w:szCs w:val="18"/>
        </w:rPr>
        <w:t xml:space="preserve">De </w:t>
      </w:r>
      <w:r w:rsidRPr="005F4658" w:rsidR="277F8D4C">
        <w:rPr>
          <w:rFonts w:ascii="Verdana" w:hAnsi="Verdana"/>
          <w:sz w:val="18"/>
          <w:szCs w:val="18"/>
        </w:rPr>
        <w:t>A</w:t>
      </w:r>
      <w:r w:rsidRPr="005F4658" w:rsidR="516DE259">
        <w:rPr>
          <w:rFonts w:ascii="Verdana" w:hAnsi="Verdana"/>
          <w:sz w:val="18"/>
          <w:szCs w:val="18"/>
        </w:rPr>
        <w:t>HA</w:t>
      </w:r>
      <w:r w:rsidRPr="005F4658">
        <w:rPr>
          <w:rFonts w:ascii="Verdana" w:hAnsi="Verdana"/>
          <w:sz w:val="18"/>
          <w:szCs w:val="18"/>
        </w:rPr>
        <w:t xml:space="preserve"> legt de belangrijkste verplichtingen bij bevoegde autoriteiten die maatregelen </w:t>
      </w:r>
      <w:r w:rsidRPr="005F4658" w:rsidR="00CB6903">
        <w:rPr>
          <w:rFonts w:ascii="Verdana" w:hAnsi="Verdana"/>
          <w:sz w:val="18"/>
          <w:szCs w:val="18"/>
        </w:rPr>
        <w:t xml:space="preserve">willen </w:t>
      </w:r>
      <w:r w:rsidRPr="005F4658">
        <w:rPr>
          <w:rFonts w:ascii="Verdana" w:hAnsi="Verdana"/>
          <w:sz w:val="18"/>
          <w:szCs w:val="18"/>
        </w:rPr>
        <w:t xml:space="preserve">nemen die binnen de reikwijdte van het voorstel vallen. In Nederland zijn dit gemeenten. De regeldruk voor gemeenten zal met deze verordening naar verwachting toenemen. </w:t>
      </w:r>
      <w:r w:rsidRPr="00B20659">
        <w:rPr>
          <w:rFonts w:ascii="Verdana" w:hAnsi="Verdana" w:eastAsia="Verdana" w:cs="Verdana"/>
          <w:sz w:val="18"/>
          <w:szCs w:val="18"/>
        </w:rPr>
        <w:t xml:space="preserve">Gemeenten zullen </w:t>
      </w:r>
      <w:r>
        <w:rPr>
          <w:rFonts w:ascii="Verdana" w:hAnsi="Verdana" w:eastAsia="Verdana" w:cs="Verdana"/>
          <w:sz w:val="18"/>
          <w:szCs w:val="18"/>
        </w:rPr>
        <w:t xml:space="preserve">namelijk </w:t>
      </w:r>
      <w:r w:rsidRPr="00B20659">
        <w:rPr>
          <w:rFonts w:ascii="Verdana" w:hAnsi="Verdana" w:eastAsia="Verdana" w:cs="Verdana"/>
          <w:sz w:val="18"/>
          <w:szCs w:val="18"/>
        </w:rPr>
        <w:t xml:space="preserve">te maken krijgen met een bewijslast voor het aanwijzen van een </w:t>
      </w:r>
      <w:r>
        <w:rPr>
          <w:rFonts w:ascii="Verdana" w:hAnsi="Verdana" w:eastAsia="Verdana" w:cs="Verdana"/>
          <w:sz w:val="18"/>
          <w:szCs w:val="18"/>
        </w:rPr>
        <w:t>gebied waar sprake is van een overspannen woningmarkt (‘</w:t>
      </w:r>
      <w:r w:rsidRPr="5EC70747">
        <w:rPr>
          <w:rFonts w:ascii="Verdana" w:hAnsi="Verdana" w:eastAsia="Verdana" w:cs="Verdana"/>
          <w:i/>
          <w:iCs/>
          <w:sz w:val="18"/>
          <w:szCs w:val="18"/>
        </w:rPr>
        <w:t xml:space="preserve">area </w:t>
      </w:r>
      <w:proofErr w:type="spellStart"/>
      <w:r w:rsidRPr="5EC70747">
        <w:rPr>
          <w:rFonts w:ascii="Verdana" w:hAnsi="Verdana" w:eastAsia="Verdana" w:cs="Verdana"/>
          <w:i/>
          <w:iCs/>
          <w:sz w:val="18"/>
          <w:szCs w:val="18"/>
        </w:rPr>
        <w:t>under</w:t>
      </w:r>
      <w:proofErr w:type="spellEnd"/>
      <w:r w:rsidRPr="5EC70747">
        <w:rPr>
          <w:rFonts w:ascii="Verdana" w:hAnsi="Verdana" w:eastAsia="Verdana" w:cs="Verdana"/>
          <w:i/>
          <w:iCs/>
          <w:sz w:val="18"/>
          <w:szCs w:val="18"/>
        </w:rPr>
        <w:t xml:space="preserve"> </w:t>
      </w:r>
      <w:proofErr w:type="spellStart"/>
      <w:r w:rsidRPr="5EC70747">
        <w:rPr>
          <w:rFonts w:ascii="Verdana" w:hAnsi="Verdana" w:eastAsia="Verdana" w:cs="Verdana"/>
          <w:i/>
          <w:iCs/>
          <w:sz w:val="18"/>
          <w:szCs w:val="18"/>
        </w:rPr>
        <w:t>housing</w:t>
      </w:r>
      <w:proofErr w:type="spellEnd"/>
      <w:r w:rsidRPr="5EC70747">
        <w:rPr>
          <w:rFonts w:ascii="Verdana" w:hAnsi="Verdana" w:eastAsia="Verdana" w:cs="Verdana"/>
          <w:i/>
          <w:iCs/>
          <w:sz w:val="18"/>
          <w:szCs w:val="18"/>
        </w:rPr>
        <w:t xml:space="preserve"> stress’</w:t>
      </w:r>
      <w:r>
        <w:rPr>
          <w:rFonts w:ascii="Verdana" w:hAnsi="Verdana" w:eastAsia="Verdana" w:cs="Verdana"/>
          <w:sz w:val="18"/>
          <w:szCs w:val="18"/>
        </w:rPr>
        <w:t>)</w:t>
      </w:r>
      <w:r w:rsidRPr="00B20659">
        <w:rPr>
          <w:rFonts w:ascii="Verdana" w:hAnsi="Verdana" w:eastAsia="Verdana" w:cs="Verdana"/>
          <w:sz w:val="18"/>
          <w:szCs w:val="18"/>
        </w:rPr>
        <w:t>.</w:t>
      </w:r>
      <w:r>
        <w:rPr>
          <w:rFonts w:ascii="Verdana" w:hAnsi="Verdana" w:eastAsia="Verdana" w:cs="Verdana"/>
          <w:sz w:val="18"/>
          <w:szCs w:val="18"/>
        </w:rPr>
        <w:t xml:space="preserve"> </w:t>
      </w:r>
      <w:r w:rsidRPr="49EADF8A" w:rsidR="00CB4D58">
        <w:rPr>
          <w:rFonts w:ascii="Verdana" w:hAnsi="Verdana"/>
          <w:sz w:val="18"/>
          <w:szCs w:val="18"/>
        </w:rPr>
        <w:t xml:space="preserve">Dit legt een beslag op de ambtelijke capaciteit bij gemeenten, wat de kosten van </w:t>
      </w:r>
      <w:r w:rsidR="00CB4D58">
        <w:rPr>
          <w:rFonts w:ascii="Verdana" w:hAnsi="Verdana"/>
          <w:sz w:val="18"/>
          <w:szCs w:val="18"/>
        </w:rPr>
        <w:t>de uitvoering</w:t>
      </w:r>
      <w:r w:rsidRPr="49EADF8A" w:rsidR="00CB4D58">
        <w:rPr>
          <w:rFonts w:ascii="Verdana" w:hAnsi="Verdana"/>
          <w:sz w:val="18"/>
          <w:szCs w:val="18"/>
        </w:rPr>
        <w:t xml:space="preserve"> aanzienlijk </w:t>
      </w:r>
      <w:r w:rsidR="00A36B97">
        <w:rPr>
          <w:rFonts w:ascii="Verdana" w:hAnsi="Verdana"/>
          <w:sz w:val="18"/>
          <w:szCs w:val="18"/>
        </w:rPr>
        <w:t>kan</w:t>
      </w:r>
      <w:r w:rsidRPr="49EADF8A" w:rsidR="00CB4D58">
        <w:rPr>
          <w:rFonts w:ascii="Verdana" w:hAnsi="Verdana"/>
          <w:sz w:val="18"/>
          <w:szCs w:val="18"/>
        </w:rPr>
        <w:t xml:space="preserve"> verho</w:t>
      </w:r>
      <w:r w:rsidR="00A36B97">
        <w:rPr>
          <w:rFonts w:ascii="Verdana" w:hAnsi="Verdana"/>
          <w:sz w:val="18"/>
          <w:szCs w:val="18"/>
        </w:rPr>
        <w:t>gen</w:t>
      </w:r>
      <w:r w:rsidRPr="49EADF8A" w:rsidR="00CB4D58">
        <w:rPr>
          <w:rFonts w:ascii="Verdana" w:hAnsi="Verdana"/>
          <w:sz w:val="18"/>
          <w:szCs w:val="18"/>
        </w:rPr>
        <w:t>.</w:t>
      </w:r>
      <w:r w:rsidR="00A51C9D">
        <w:rPr>
          <w:rFonts w:ascii="Verdana" w:hAnsi="Verdana"/>
          <w:sz w:val="18"/>
          <w:szCs w:val="18"/>
        </w:rPr>
        <w:t xml:space="preserve"> </w:t>
      </w:r>
      <w:r>
        <w:rPr>
          <w:rFonts w:ascii="Verdana" w:hAnsi="Verdana" w:eastAsia="Verdana" w:cs="Verdana"/>
          <w:sz w:val="18"/>
          <w:szCs w:val="18"/>
        </w:rPr>
        <w:t>G</w:t>
      </w:r>
      <w:r w:rsidRPr="00B20659">
        <w:rPr>
          <w:rFonts w:ascii="Verdana" w:hAnsi="Verdana" w:eastAsia="Verdana" w:cs="Verdana"/>
          <w:sz w:val="18"/>
          <w:szCs w:val="18"/>
        </w:rPr>
        <w:t xml:space="preserve">emeenten </w:t>
      </w:r>
      <w:r>
        <w:rPr>
          <w:rFonts w:ascii="Verdana" w:hAnsi="Verdana" w:eastAsia="Verdana" w:cs="Verdana"/>
          <w:sz w:val="18"/>
          <w:szCs w:val="18"/>
        </w:rPr>
        <w:t xml:space="preserve">die niet aan de Commissie-definitie van een overspannen woningmarkt voldoen, maar toch regels willen stellen, zullen dit moeten beargumenteren met het argument leefbaarheid, waarbij zal worden getoetst aan de Dienstenrichtlijn. Hierdoor zullen gemeenten </w:t>
      </w:r>
      <w:r w:rsidRPr="00B20659">
        <w:rPr>
          <w:rFonts w:ascii="Verdana" w:hAnsi="Verdana" w:eastAsia="Verdana" w:cs="Verdana"/>
          <w:sz w:val="18"/>
          <w:szCs w:val="18"/>
        </w:rPr>
        <w:t>twee afzonderlijke verantwoordingsdossiers moeten hanteren: een woningmarktdossier voor betaalbaarheid en beschikbaarheid en leefbaarheidsdossiers met zelfstandige indicatoren.</w:t>
      </w:r>
      <w:r w:rsidR="00CB4D58">
        <w:rPr>
          <w:rFonts w:ascii="Verdana" w:hAnsi="Verdana" w:eastAsia="Verdana" w:cs="Verdana"/>
          <w:sz w:val="18"/>
          <w:szCs w:val="18"/>
        </w:rPr>
        <w:t xml:space="preserve"> </w:t>
      </w:r>
    </w:p>
    <w:p w:rsidR="00617505" w:rsidP="00065DEA" w:rsidRDefault="00617505" w14:paraId="4BE21B3E" w14:textId="77777777">
      <w:pPr>
        <w:spacing w:line="360" w:lineRule="auto"/>
        <w:rPr>
          <w:rFonts w:ascii="Verdana" w:hAnsi="Verdana" w:eastAsia="Verdana" w:cs="Verdana"/>
          <w:sz w:val="18"/>
          <w:szCs w:val="18"/>
        </w:rPr>
      </w:pPr>
    </w:p>
    <w:p w:rsidR="00617505" w:rsidP="00617505" w:rsidRDefault="00617505" w14:paraId="54930BCC" w14:textId="6687ED5B">
      <w:pPr>
        <w:spacing w:line="360" w:lineRule="auto"/>
        <w:rPr>
          <w:rFonts w:ascii="Verdana" w:hAnsi="Verdana"/>
          <w:sz w:val="18"/>
          <w:szCs w:val="18"/>
        </w:rPr>
      </w:pPr>
      <w:bookmarkStart w:name="_Hlk241495825" w:id="8"/>
      <w:r>
        <w:rPr>
          <w:rFonts w:ascii="Verdana" w:hAnsi="Verdana"/>
          <w:sz w:val="18"/>
          <w:szCs w:val="18"/>
        </w:rPr>
        <w:t xml:space="preserve">In het voorstel staat dat de bevoegde autoriteit rekening houdt met gegevens die zijn verkregen op grond van Verordening (EU) 2024/1028 bij het vaststellen van de noodzaak van maatregelen ten aanzien van toeristische verhuur. </w:t>
      </w:r>
      <w:r w:rsidRPr="008723DE">
        <w:rPr>
          <w:rFonts w:ascii="Verdana" w:hAnsi="Verdana"/>
          <w:sz w:val="18"/>
          <w:szCs w:val="18"/>
        </w:rPr>
        <w:t xml:space="preserve">De reikwijdte gaat echter verder dan de gegevens die beschikbaar </w:t>
      </w:r>
      <w:r>
        <w:rPr>
          <w:rFonts w:ascii="Verdana" w:hAnsi="Verdana"/>
          <w:sz w:val="18"/>
          <w:szCs w:val="18"/>
        </w:rPr>
        <w:t xml:space="preserve">zijn op basis </w:t>
      </w:r>
      <w:r w:rsidRPr="008723DE">
        <w:rPr>
          <w:rFonts w:ascii="Verdana" w:hAnsi="Verdana"/>
          <w:sz w:val="18"/>
          <w:szCs w:val="18"/>
        </w:rPr>
        <w:t xml:space="preserve">van Verordening (EU) 2024/1028 inzake gegevensverzameling en -deling met betrekking tot </w:t>
      </w:r>
      <w:proofErr w:type="spellStart"/>
      <w:r w:rsidRPr="008723DE">
        <w:rPr>
          <w:rFonts w:ascii="Verdana" w:hAnsi="Verdana"/>
          <w:sz w:val="18"/>
          <w:szCs w:val="18"/>
        </w:rPr>
        <w:t>kortetermijnverhuur</w:t>
      </w:r>
      <w:proofErr w:type="spellEnd"/>
      <w:r w:rsidRPr="008723DE">
        <w:rPr>
          <w:rFonts w:ascii="Verdana" w:hAnsi="Verdana"/>
          <w:sz w:val="18"/>
          <w:szCs w:val="18"/>
        </w:rPr>
        <w:t xml:space="preserve">. </w:t>
      </w:r>
      <w:r>
        <w:rPr>
          <w:rFonts w:ascii="Verdana" w:hAnsi="Verdana"/>
          <w:sz w:val="18"/>
          <w:szCs w:val="18"/>
        </w:rPr>
        <w:t xml:space="preserve">Om aan de AHA te kunnen voldoen </w:t>
      </w:r>
      <w:r w:rsidRPr="008723DE">
        <w:rPr>
          <w:rFonts w:ascii="Verdana" w:hAnsi="Verdana"/>
          <w:sz w:val="18"/>
          <w:szCs w:val="18"/>
        </w:rPr>
        <w:t xml:space="preserve">zijn aanvullende gegevens nodig. Het betreft onder meer gegevens over de bevolkingsdynamiek en over </w:t>
      </w:r>
      <w:r>
        <w:rPr>
          <w:rFonts w:ascii="Verdana" w:hAnsi="Verdana"/>
          <w:sz w:val="18"/>
          <w:szCs w:val="18"/>
        </w:rPr>
        <w:t xml:space="preserve">trends </w:t>
      </w:r>
      <w:r w:rsidRPr="008723DE">
        <w:rPr>
          <w:rFonts w:ascii="Verdana" w:hAnsi="Verdana"/>
          <w:sz w:val="18"/>
          <w:szCs w:val="18"/>
        </w:rPr>
        <w:t xml:space="preserve">in vraag en aanbod op de woningmarkt </w:t>
      </w:r>
      <w:r>
        <w:rPr>
          <w:rFonts w:ascii="Verdana" w:hAnsi="Verdana"/>
          <w:sz w:val="18"/>
          <w:szCs w:val="18"/>
        </w:rPr>
        <w:t xml:space="preserve">en over de te beoordelen </w:t>
      </w:r>
      <w:r w:rsidRPr="008723DE">
        <w:rPr>
          <w:rFonts w:ascii="Verdana" w:hAnsi="Verdana"/>
          <w:sz w:val="18"/>
          <w:szCs w:val="18"/>
        </w:rPr>
        <w:t>de territoriale gebieden</w:t>
      </w:r>
      <w:r>
        <w:rPr>
          <w:rFonts w:ascii="Verdana" w:hAnsi="Verdana"/>
          <w:sz w:val="18"/>
          <w:szCs w:val="18"/>
        </w:rPr>
        <w:t xml:space="preserve">, zoals voorgeschreven in artikel 7. Gemeenten beschikken niet standaard over deze gegevens, wat naar verwachting tot extra administratieve lasten </w:t>
      </w:r>
      <w:r w:rsidR="4CEFA9D5">
        <w:rPr>
          <w:rFonts w:ascii="Verdana" w:hAnsi="Verdana"/>
          <w:sz w:val="18"/>
          <w:szCs w:val="18"/>
        </w:rPr>
        <w:t xml:space="preserve">voor gemeenten </w:t>
      </w:r>
      <w:r>
        <w:rPr>
          <w:rFonts w:ascii="Verdana" w:hAnsi="Verdana"/>
          <w:sz w:val="18"/>
          <w:szCs w:val="18"/>
        </w:rPr>
        <w:t>zal leiden.</w:t>
      </w:r>
    </w:p>
    <w:bookmarkEnd w:id="8"/>
    <w:p w:rsidR="00617505" w:rsidP="00617505" w:rsidRDefault="00617505" w14:paraId="3664692B" w14:textId="77777777">
      <w:pPr>
        <w:spacing w:line="360" w:lineRule="auto"/>
        <w:rPr>
          <w:rFonts w:ascii="Verdana" w:hAnsi="Verdana"/>
          <w:sz w:val="18"/>
          <w:szCs w:val="18"/>
        </w:rPr>
      </w:pPr>
    </w:p>
    <w:p w:rsidRPr="00741D24" w:rsidR="001C7BD5" w:rsidP="001C7BD5" w:rsidRDefault="001C7BD5" w14:paraId="6AB93B43" w14:textId="193E26A4">
      <w:pPr>
        <w:spacing w:line="360" w:lineRule="auto"/>
        <w:rPr>
          <w:rFonts w:ascii="Verdana" w:hAnsi="Verdana"/>
          <w:sz w:val="18"/>
          <w:szCs w:val="18"/>
        </w:rPr>
      </w:pPr>
      <w:r w:rsidRPr="005F4658">
        <w:rPr>
          <w:rFonts w:ascii="Verdana" w:hAnsi="Verdana"/>
          <w:sz w:val="18"/>
          <w:szCs w:val="18"/>
        </w:rPr>
        <w:t xml:space="preserve">De Commissie verwacht met dit voorstel meer rechtszekerheid te bereiken voor overheden, omdat zij interventies in de woningmarkt kunnen onderbouwen op basis van een transparant gemeenschappelijk kader. </w:t>
      </w:r>
      <w:r w:rsidRPr="009A276E" w:rsidR="00603C4D">
        <w:rPr>
          <w:rFonts w:ascii="Verdana" w:hAnsi="Verdana"/>
          <w:sz w:val="18"/>
          <w:szCs w:val="18"/>
        </w:rPr>
        <w:t xml:space="preserve">Dit zou </w:t>
      </w:r>
      <w:r w:rsidR="001A72A7">
        <w:rPr>
          <w:rFonts w:ascii="Verdana" w:hAnsi="Verdana"/>
          <w:sz w:val="18"/>
          <w:szCs w:val="18"/>
        </w:rPr>
        <w:t xml:space="preserve">volgens de Commissie </w:t>
      </w:r>
      <w:r w:rsidRPr="009A276E" w:rsidR="00603C4D">
        <w:rPr>
          <w:rFonts w:ascii="Verdana" w:hAnsi="Verdana"/>
          <w:sz w:val="18"/>
          <w:szCs w:val="18"/>
        </w:rPr>
        <w:t xml:space="preserve">concreet moeten leiden tot een afname van het aantal juridische procedures waarin maatregelen in aangewezen gebieden worden aangevochten op basis van onvoldoende onderbouwing. </w:t>
      </w:r>
      <w:r w:rsidRPr="005F4658">
        <w:rPr>
          <w:rFonts w:ascii="Verdana" w:hAnsi="Verdana"/>
          <w:sz w:val="18"/>
          <w:szCs w:val="18"/>
        </w:rPr>
        <w:t xml:space="preserve"> Dat zou ook een afname van hiermee gemoeide administratieve </w:t>
      </w:r>
      <w:r>
        <w:rPr>
          <w:rFonts w:ascii="Verdana" w:hAnsi="Verdana"/>
          <w:sz w:val="18"/>
          <w:szCs w:val="18"/>
        </w:rPr>
        <w:t xml:space="preserve">lasten en kosten </w:t>
      </w:r>
      <w:r w:rsidRPr="005F4658">
        <w:rPr>
          <w:rFonts w:ascii="Verdana" w:hAnsi="Verdana"/>
          <w:sz w:val="18"/>
          <w:szCs w:val="18"/>
        </w:rPr>
        <w:t xml:space="preserve">betekenen. Ook in </w:t>
      </w:r>
      <w:r w:rsidRPr="000825DC">
        <w:rPr>
          <w:rFonts w:ascii="Verdana" w:hAnsi="Verdana"/>
          <w:sz w:val="18"/>
          <w:szCs w:val="18"/>
        </w:rPr>
        <w:t xml:space="preserve">Nederland </w:t>
      </w:r>
      <w:r>
        <w:rPr>
          <w:rFonts w:ascii="Verdana" w:hAnsi="Verdana"/>
          <w:sz w:val="18"/>
          <w:szCs w:val="18"/>
        </w:rPr>
        <w:t>zijn er uitspraken bekend over de</w:t>
      </w:r>
      <w:r w:rsidRPr="000825DC">
        <w:rPr>
          <w:rFonts w:ascii="Verdana" w:hAnsi="Verdana"/>
          <w:sz w:val="18"/>
          <w:szCs w:val="18"/>
        </w:rPr>
        <w:t xml:space="preserve"> gemeentelijke maatregelen ter regulering van toeristische verhuur.</w:t>
      </w:r>
      <w:r w:rsidRPr="00F75D72">
        <w:rPr>
          <w:rStyle w:val="FootnoteReference"/>
          <w:rFonts w:ascii="Verdana" w:hAnsi="Verdana"/>
          <w:sz w:val="18"/>
          <w:szCs w:val="18"/>
        </w:rPr>
        <w:footnoteReference w:id="7"/>
      </w:r>
      <w:r w:rsidRPr="00FA59C4">
        <w:rPr>
          <w:rFonts w:ascii="Verdana" w:hAnsi="Verdana"/>
          <w:sz w:val="18"/>
          <w:szCs w:val="18"/>
        </w:rPr>
        <w:t xml:space="preserve"> </w:t>
      </w:r>
      <w:r w:rsidRPr="00741D24">
        <w:rPr>
          <w:rFonts w:ascii="Verdana" w:hAnsi="Verdana"/>
          <w:sz w:val="18"/>
          <w:szCs w:val="18"/>
        </w:rPr>
        <w:t>T</w:t>
      </w:r>
      <w:r>
        <w:rPr>
          <w:rFonts w:ascii="Verdana" w:hAnsi="Verdana"/>
          <w:sz w:val="18"/>
          <w:szCs w:val="18"/>
        </w:rPr>
        <w:t xml:space="preserve">en aanzien van </w:t>
      </w:r>
      <w:r w:rsidRPr="00741D24">
        <w:rPr>
          <w:rFonts w:ascii="Verdana" w:hAnsi="Verdana"/>
          <w:sz w:val="18"/>
          <w:szCs w:val="18"/>
        </w:rPr>
        <w:t>de opkoopbescherming zijn geen rechtszaken bekend waarbij partijen een beroep doen op de Dienstenrichtlijn.</w:t>
      </w:r>
      <w:r>
        <w:rPr>
          <w:rFonts w:ascii="Verdana" w:hAnsi="Verdana"/>
          <w:sz w:val="18"/>
          <w:szCs w:val="18"/>
        </w:rPr>
        <w:t xml:space="preserve"> De impact assessment van de Commissie </w:t>
      </w:r>
      <w:r w:rsidR="00A83CAD">
        <w:rPr>
          <w:rFonts w:ascii="Verdana" w:hAnsi="Verdana"/>
          <w:sz w:val="18"/>
          <w:szCs w:val="18"/>
        </w:rPr>
        <w:t>geeft</w:t>
      </w:r>
      <w:r>
        <w:rPr>
          <w:rFonts w:ascii="Verdana" w:hAnsi="Verdana"/>
          <w:sz w:val="18"/>
          <w:szCs w:val="18"/>
        </w:rPr>
        <w:t xml:space="preserve"> geen cijfermatige onderbouwing voor de potentiële afname van administratieve lasten gemoeid met juridische procedures. </w:t>
      </w:r>
      <w:r w:rsidR="008B72C0">
        <w:rPr>
          <w:rFonts w:ascii="Verdana" w:hAnsi="Verdana"/>
          <w:sz w:val="18"/>
          <w:szCs w:val="18"/>
        </w:rPr>
        <w:t xml:space="preserve">Voor de situatie in Nederland is daarom moeilijk een inschatting te maken in hoeverre de AHA hier </w:t>
      </w:r>
      <w:r w:rsidR="008B72C0">
        <w:rPr>
          <w:rFonts w:ascii="Verdana" w:hAnsi="Verdana"/>
          <w:sz w:val="18"/>
          <w:szCs w:val="18"/>
        </w:rPr>
        <w:lastRenderedPageBreak/>
        <w:t xml:space="preserve">daadwerkelijk voor gaat zorgen. Het kabinet zal de potentiële gevolgen voor regeldruk bij de Commissie onder de aandacht blijven houden. </w:t>
      </w:r>
      <w:r>
        <w:rPr>
          <w:rFonts w:ascii="Verdana" w:hAnsi="Verdana"/>
          <w:sz w:val="18"/>
          <w:szCs w:val="18"/>
        </w:rPr>
        <w:t xml:space="preserve"> </w:t>
      </w:r>
    </w:p>
    <w:p w:rsidRPr="00214477" w:rsidR="4C13EBE2" w:rsidP="00214477" w:rsidRDefault="4C13EBE2" w14:paraId="726A61F6" w14:textId="3F49E392">
      <w:pPr>
        <w:spacing w:line="360" w:lineRule="auto"/>
        <w:rPr>
          <w:rFonts w:ascii="Verdana" w:hAnsi="Verdana"/>
          <w:sz w:val="18"/>
          <w:szCs w:val="18"/>
        </w:rPr>
      </w:pPr>
    </w:p>
    <w:p w:rsidR="00B2A8F4" w:rsidP="00214477" w:rsidRDefault="00B2A8F4" w14:paraId="57D3B694" w14:textId="6A9CD431">
      <w:pPr>
        <w:spacing w:line="360" w:lineRule="auto"/>
      </w:pPr>
      <w:r w:rsidRPr="00214477">
        <w:rPr>
          <w:rFonts w:ascii="Verdana" w:hAnsi="Verdana" w:eastAsia="Verdana" w:cs="Verdana"/>
          <w:sz w:val="18"/>
          <w:szCs w:val="18"/>
        </w:rPr>
        <w:t xml:space="preserve">(Eventuele) </w:t>
      </w:r>
      <w:r w:rsidRPr="00214477" w:rsidR="4C13EBE2">
        <w:rPr>
          <w:rFonts w:ascii="Verdana" w:hAnsi="Verdana" w:eastAsia="Verdana" w:cs="Verdana"/>
          <w:sz w:val="18"/>
          <w:szCs w:val="18"/>
        </w:rPr>
        <w:t xml:space="preserve">nationale </w:t>
      </w:r>
      <w:r w:rsidRPr="00214477">
        <w:rPr>
          <w:rFonts w:ascii="Verdana" w:hAnsi="Verdana" w:eastAsia="Verdana" w:cs="Verdana"/>
          <w:sz w:val="18"/>
          <w:szCs w:val="18"/>
        </w:rPr>
        <w:t>budgettaire gevolgen worden ingepast op de begroting van het/de beleidsverantwoordelijk(e) departement(en), conform de regels van de budgetdiscipline.</w:t>
      </w:r>
    </w:p>
    <w:p w:rsidR="00065DEA" w:rsidP="00065DEA" w:rsidRDefault="00065DEA" w14:paraId="0D1A5295" w14:textId="62B4B4EB">
      <w:pPr>
        <w:spacing w:line="360" w:lineRule="auto"/>
        <w:rPr>
          <w:rFonts w:ascii="Verdana" w:hAnsi="Verdana"/>
          <w:bCs/>
          <w:sz w:val="18"/>
          <w:szCs w:val="18"/>
        </w:rPr>
      </w:pPr>
    </w:p>
    <w:p w:rsidRPr="00214477" w:rsidR="00065DEA" w:rsidP="00214477" w:rsidRDefault="00065DEA" w14:paraId="45DEDF77" w14:textId="77777777">
      <w:pPr>
        <w:numPr>
          <w:ilvl w:val="0"/>
          <w:numId w:val="4"/>
        </w:numPr>
        <w:spacing w:line="360" w:lineRule="auto"/>
        <w:rPr>
          <w:rFonts w:ascii="Verdana" w:hAnsi="Verdana"/>
          <w:i/>
          <w:iCs/>
          <w:sz w:val="18"/>
          <w:szCs w:val="18"/>
        </w:rPr>
      </w:pPr>
      <w:r w:rsidRPr="00D56B7D">
        <w:rPr>
          <w:rFonts w:ascii="Verdana" w:hAnsi="Verdana"/>
          <w:i/>
          <w:iCs/>
          <w:sz w:val="18"/>
          <w:szCs w:val="18"/>
        </w:rPr>
        <w:t>Financiële consequenties en gevolgen voor regeldruk voor bedrijfsleven en burger</w:t>
      </w:r>
    </w:p>
    <w:p w:rsidRPr="005F4658" w:rsidR="00065DEA" w:rsidP="005F4658" w:rsidRDefault="00065DEA" w14:paraId="122FC10F" w14:textId="76F8205F">
      <w:pPr>
        <w:spacing w:line="360" w:lineRule="auto"/>
        <w:rPr>
          <w:rFonts w:ascii="Verdana" w:hAnsi="Verdana"/>
          <w:sz w:val="18"/>
          <w:szCs w:val="18"/>
        </w:rPr>
      </w:pPr>
      <w:r w:rsidRPr="005F4658">
        <w:rPr>
          <w:rFonts w:ascii="Verdana" w:hAnsi="Verdana"/>
          <w:sz w:val="18"/>
          <w:szCs w:val="18"/>
        </w:rPr>
        <w:t xml:space="preserve">De Commissie verwacht met dit voorstel meer rechtszekerheid te bereiken voor het bedrijfsleven (investeerders, kopers van onroerend goed, platforms voor </w:t>
      </w:r>
      <w:proofErr w:type="spellStart"/>
      <w:r w:rsidRPr="005F4658">
        <w:rPr>
          <w:rFonts w:ascii="Verdana" w:hAnsi="Verdana"/>
          <w:sz w:val="18"/>
          <w:szCs w:val="18"/>
        </w:rPr>
        <w:t>kortetermijnverhuur</w:t>
      </w:r>
      <w:proofErr w:type="spellEnd"/>
      <w:r w:rsidRPr="005F4658">
        <w:rPr>
          <w:rFonts w:ascii="Verdana" w:hAnsi="Verdana"/>
          <w:sz w:val="18"/>
          <w:szCs w:val="18"/>
        </w:rPr>
        <w:t xml:space="preserve"> en andere grensoverschrijdend opererende marktpartijen), omdat het juridische kader verduidelijkt wordt. Dit zou concreet moeten leiden tot een vermindering van regeldruk en </w:t>
      </w:r>
      <w:r w:rsidRPr="00113589">
        <w:rPr>
          <w:rFonts w:ascii="Verdana" w:hAnsi="Verdana"/>
          <w:sz w:val="18"/>
          <w:szCs w:val="18"/>
        </w:rPr>
        <w:t>compliance</w:t>
      </w:r>
      <w:r w:rsidRPr="005F4658">
        <w:rPr>
          <w:rFonts w:ascii="Verdana" w:hAnsi="Verdana"/>
          <w:sz w:val="18"/>
          <w:szCs w:val="18"/>
        </w:rPr>
        <w:t>-kosten die samenhangen met uiteenlopende lokale kaders.</w:t>
      </w:r>
      <w:r w:rsidR="00A83CAD">
        <w:rPr>
          <w:rFonts w:ascii="Verdana" w:hAnsi="Verdana"/>
          <w:sz w:val="18"/>
          <w:szCs w:val="18"/>
        </w:rPr>
        <w:t xml:space="preserve"> Een cijfermatige onderbouwing </w:t>
      </w:r>
      <w:r w:rsidR="00F873C4">
        <w:rPr>
          <w:rFonts w:ascii="Verdana" w:hAnsi="Verdana"/>
          <w:sz w:val="18"/>
          <w:szCs w:val="18"/>
        </w:rPr>
        <w:t>hiervoor ontbreekt in de impact assessment. Het kabinet zal hiervoor aandacht blijven vragen bij de Commissie.</w:t>
      </w:r>
    </w:p>
    <w:p w:rsidR="00065DEA" w:rsidP="00065DEA" w:rsidRDefault="00065DEA" w14:paraId="4D0E1458" w14:textId="77777777">
      <w:pPr>
        <w:spacing w:line="360" w:lineRule="auto"/>
        <w:rPr>
          <w:rFonts w:ascii="Verdana" w:hAnsi="Verdana"/>
          <w:bCs/>
          <w:sz w:val="18"/>
          <w:szCs w:val="18"/>
        </w:rPr>
      </w:pPr>
    </w:p>
    <w:p w:rsidRPr="00214477" w:rsidR="00A83CAD" w:rsidP="00214477" w:rsidRDefault="00065DEA" w14:paraId="38A3D3C1" w14:textId="13B25D73">
      <w:pPr>
        <w:spacing w:line="360" w:lineRule="auto"/>
        <w:rPr>
          <w:rFonts w:ascii="Verdana" w:hAnsi="Verdana"/>
          <w:sz w:val="18"/>
          <w:szCs w:val="18"/>
        </w:rPr>
      </w:pPr>
      <w:r w:rsidRPr="005F4658">
        <w:rPr>
          <w:rFonts w:ascii="Verdana" w:hAnsi="Verdana"/>
          <w:sz w:val="18"/>
          <w:szCs w:val="18"/>
        </w:rPr>
        <w:t xml:space="preserve">Het voorstel heeft naar verwachting geen financiële gevolgen voor burgers. </w:t>
      </w:r>
    </w:p>
    <w:p w:rsidR="00065DEA" w:rsidP="005F4658" w:rsidRDefault="00065DEA" w14:paraId="24AE6E82" w14:textId="77777777">
      <w:pPr>
        <w:spacing w:line="360" w:lineRule="auto"/>
        <w:rPr>
          <w:rFonts w:ascii="Verdana" w:hAnsi="Verdana"/>
          <w:sz w:val="18"/>
          <w:szCs w:val="18"/>
        </w:rPr>
      </w:pPr>
    </w:p>
    <w:p w:rsidRPr="00214477" w:rsidR="006C6524" w:rsidP="61B0A1F6" w:rsidRDefault="006C6524" w14:paraId="30EB402F" w14:textId="6D1243D8">
      <w:pPr>
        <w:spacing w:line="360" w:lineRule="auto"/>
        <w:rPr>
          <w:rFonts w:ascii="Verdana" w:hAnsi="Verdana"/>
          <w:i/>
          <w:iCs/>
          <w:sz w:val="18"/>
          <w:szCs w:val="18"/>
        </w:rPr>
      </w:pPr>
      <w:r w:rsidRPr="61B0A1F6">
        <w:rPr>
          <w:rFonts w:ascii="Verdana" w:hAnsi="Verdana"/>
          <w:i/>
          <w:iCs/>
          <w:sz w:val="18"/>
          <w:szCs w:val="18"/>
        </w:rPr>
        <w:t>Reactie kabinet op advies ATR</w:t>
      </w:r>
    </w:p>
    <w:p w:rsidR="00C75BBA" w:rsidP="00C75BBA" w:rsidRDefault="00C75BBA" w14:paraId="048DE2F3" w14:textId="77777777">
      <w:pPr>
        <w:spacing w:line="360" w:lineRule="auto"/>
        <w:rPr>
          <w:rFonts w:ascii="Verdana" w:hAnsi="Verdana"/>
          <w:sz w:val="18"/>
          <w:szCs w:val="18"/>
        </w:rPr>
      </w:pPr>
      <w:r w:rsidRPr="00C75BBA">
        <w:rPr>
          <w:rFonts w:ascii="Verdana" w:hAnsi="Verdana"/>
          <w:sz w:val="18"/>
          <w:szCs w:val="18"/>
        </w:rPr>
        <w:t>Het Adviescollege toetsing regeldruk kwam tot de volgende adviespunten ten aanzien van het BNC-fiche:</w:t>
      </w:r>
    </w:p>
    <w:p w:rsidRPr="00C75BBA" w:rsidR="00C75BBA" w:rsidP="00934E61" w:rsidRDefault="00C75BBA" w14:paraId="545BF065" w14:textId="1D853C03">
      <w:pPr>
        <w:numPr>
          <w:ilvl w:val="0"/>
          <w:numId w:val="12"/>
        </w:numPr>
        <w:spacing w:line="360" w:lineRule="auto"/>
        <w:rPr>
          <w:rFonts w:ascii="Verdana" w:hAnsi="Verdana"/>
          <w:sz w:val="18"/>
          <w:szCs w:val="18"/>
        </w:rPr>
      </w:pPr>
      <w:r w:rsidRPr="00C75BBA">
        <w:rPr>
          <w:rFonts w:ascii="Verdana" w:hAnsi="Verdana"/>
          <w:sz w:val="18"/>
          <w:szCs w:val="18"/>
        </w:rPr>
        <w:t xml:space="preserve">ATR adviseert de regeldrukkosten in beeld te brengen voor Nederland, inclusief implementatie-, nalevings- en aanpassingskosten voor verhuurders, vastgoedinvesteerders, verhuurplatforms en andere betrokken marktpartijen. </w:t>
      </w:r>
    </w:p>
    <w:p w:rsidRPr="00C75BBA" w:rsidR="00C75BBA" w:rsidP="00934E61" w:rsidRDefault="00C75BBA" w14:paraId="66222FFA" w14:textId="77777777">
      <w:pPr>
        <w:numPr>
          <w:ilvl w:val="0"/>
          <w:numId w:val="12"/>
        </w:numPr>
        <w:spacing w:line="360" w:lineRule="auto"/>
        <w:rPr>
          <w:rFonts w:ascii="Verdana" w:hAnsi="Verdana"/>
          <w:sz w:val="18"/>
          <w:szCs w:val="18"/>
        </w:rPr>
      </w:pPr>
      <w:r w:rsidRPr="00C75BBA">
        <w:rPr>
          <w:rFonts w:ascii="Verdana" w:hAnsi="Verdana"/>
          <w:sz w:val="18"/>
          <w:szCs w:val="18"/>
        </w:rPr>
        <w:t xml:space="preserve">2. ATR adviseert expliciet aandacht te besteden aan de mogelijk extra complexiteit en regeldrukgevolgen van de afbakening tussen woningmarktmaatregelen en </w:t>
      </w:r>
      <w:proofErr w:type="spellStart"/>
      <w:r w:rsidRPr="00C75BBA">
        <w:rPr>
          <w:rFonts w:ascii="Verdana" w:hAnsi="Verdana"/>
          <w:sz w:val="18"/>
          <w:szCs w:val="18"/>
        </w:rPr>
        <w:t>an-dere</w:t>
      </w:r>
      <w:proofErr w:type="spellEnd"/>
      <w:r w:rsidRPr="00C75BBA">
        <w:rPr>
          <w:rFonts w:ascii="Verdana" w:hAnsi="Verdana"/>
          <w:sz w:val="18"/>
          <w:szCs w:val="18"/>
        </w:rPr>
        <w:t xml:space="preserve"> publieke belangen, zoals leefbaarheid en bescherming van de leefomgeving. </w:t>
      </w:r>
    </w:p>
    <w:p w:rsidR="00C75BBA" w:rsidP="00934E61" w:rsidRDefault="00C75BBA" w14:paraId="5EF98096" w14:textId="667C8002">
      <w:pPr>
        <w:pStyle w:val="ListParagraph"/>
        <w:numPr>
          <w:ilvl w:val="0"/>
          <w:numId w:val="12"/>
        </w:numPr>
        <w:spacing w:line="360" w:lineRule="auto"/>
        <w:rPr>
          <w:rFonts w:ascii="Verdana" w:hAnsi="Verdana"/>
          <w:sz w:val="18"/>
          <w:szCs w:val="18"/>
        </w:rPr>
      </w:pPr>
      <w:r w:rsidRPr="00C75BBA">
        <w:rPr>
          <w:rFonts w:ascii="Verdana" w:hAnsi="Verdana"/>
          <w:sz w:val="18"/>
          <w:szCs w:val="18"/>
        </w:rPr>
        <w:t>ATR adviseert in de onderhandelingen in te zetten op een duidelijk en werkbaar overgangsrecht voor bestaande nationale en lokale woningmarktmaatregelen, om juridische onzekerheid en onnodige regeldruk te voorkomen.</w:t>
      </w:r>
    </w:p>
    <w:p w:rsidR="00C75BBA" w:rsidP="00C75BBA" w:rsidRDefault="00C75BBA" w14:paraId="6A9A3712" w14:textId="77777777">
      <w:pPr>
        <w:spacing w:line="360" w:lineRule="auto"/>
        <w:rPr>
          <w:rFonts w:ascii="Verdana" w:hAnsi="Verdana"/>
          <w:sz w:val="18"/>
          <w:szCs w:val="18"/>
        </w:rPr>
      </w:pPr>
    </w:p>
    <w:p w:rsidRPr="00C75BBA" w:rsidR="00C75BBA" w:rsidP="00C75BBA" w:rsidRDefault="00C75BBA" w14:paraId="723E72B4" w14:textId="78EAAF11">
      <w:pPr>
        <w:spacing w:line="360" w:lineRule="auto"/>
        <w:rPr>
          <w:rFonts w:ascii="Verdana" w:hAnsi="Verdana"/>
          <w:sz w:val="18"/>
          <w:szCs w:val="18"/>
        </w:rPr>
      </w:pPr>
      <w:r w:rsidRPr="00C75BBA">
        <w:rPr>
          <w:rFonts w:ascii="Verdana" w:hAnsi="Verdana"/>
          <w:sz w:val="18"/>
          <w:szCs w:val="18"/>
        </w:rPr>
        <w:t>Ten aanzien van adviespunt 1 is het kabinet voornemens, indien van toepassing, te bezien of verder onderzoek naar mogelijke regeldrukeffecten op stakeholders noodzakelijk is. Er dient eerst meer duidelijkheid geschept te worden over de reikwijdte van het voorstel. Ten aanzien van adviespunt 2 deelt het kabinet de opvatting dat er mogelijk extra complexiteit bestaat doordat er verschillende regimes van regulering ontstaan. Het kabinet zal hier aandacht voor vragen bij de Commissie. Ten aanzien van adviespunt 3 is het kabinet van mening dat het voorstel zelf al in overgangsrecht voorziet. Zo vallen bestaande maatregelen onder het huidige regime (</w:t>
      </w:r>
      <w:r w:rsidR="00AD3AD7">
        <w:rPr>
          <w:rFonts w:ascii="Verdana" w:hAnsi="Verdana"/>
          <w:sz w:val="18"/>
          <w:szCs w:val="18"/>
        </w:rPr>
        <w:t>H</w:t>
      </w:r>
      <w:r w:rsidRPr="00C75BBA">
        <w:rPr>
          <w:rFonts w:ascii="Verdana" w:hAnsi="Verdana"/>
          <w:sz w:val="18"/>
          <w:szCs w:val="18"/>
        </w:rPr>
        <w:t>uisvestingwet) en vallen aangepaste en nieuwe maatregelen onder het nieuwe regime (</w:t>
      </w:r>
      <w:proofErr w:type="spellStart"/>
      <w:r w:rsidRPr="00F51156">
        <w:rPr>
          <w:rFonts w:ascii="Verdana" w:hAnsi="Verdana"/>
          <w:i/>
          <w:iCs/>
          <w:sz w:val="18"/>
          <w:szCs w:val="18"/>
        </w:rPr>
        <w:t>Affordable</w:t>
      </w:r>
      <w:proofErr w:type="spellEnd"/>
      <w:r w:rsidRPr="00F51156">
        <w:rPr>
          <w:rFonts w:ascii="Verdana" w:hAnsi="Verdana"/>
          <w:i/>
          <w:iCs/>
          <w:sz w:val="18"/>
          <w:szCs w:val="18"/>
        </w:rPr>
        <w:t xml:space="preserve"> </w:t>
      </w:r>
      <w:proofErr w:type="spellStart"/>
      <w:r w:rsidRPr="00F51156">
        <w:rPr>
          <w:rFonts w:ascii="Verdana" w:hAnsi="Verdana"/>
          <w:i/>
          <w:iCs/>
          <w:sz w:val="18"/>
          <w:szCs w:val="18"/>
        </w:rPr>
        <w:t>Housing</w:t>
      </w:r>
      <w:proofErr w:type="spellEnd"/>
      <w:r w:rsidRPr="00F51156">
        <w:rPr>
          <w:rFonts w:ascii="Verdana" w:hAnsi="Verdana"/>
          <w:i/>
          <w:iCs/>
          <w:sz w:val="18"/>
          <w:szCs w:val="18"/>
        </w:rPr>
        <w:t xml:space="preserve"> Act</w:t>
      </w:r>
      <w:r w:rsidRPr="00C75BBA">
        <w:rPr>
          <w:rFonts w:ascii="Verdana" w:hAnsi="Verdana"/>
          <w:sz w:val="18"/>
          <w:szCs w:val="18"/>
        </w:rPr>
        <w:t>). Hier is geen specifieke overgangsdatum aan te verbinden. Na inwerkingtreding van de verordening hangt het af van: a) of maatregelen worden gewijzigd b) of er nieuwe maatregelen worden geïntroduceerd. Het kabinet zal wel aandacht besteden aan communicatie over dit overgangsrecht.</w:t>
      </w:r>
    </w:p>
    <w:p w:rsidRPr="005F4658" w:rsidR="006C6524" w:rsidP="005F4658" w:rsidRDefault="006C6524" w14:paraId="4950893F" w14:textId="77777777">
      <w:pPr>
        <w:spacing w:line="360" w:lineRule="auto"/>
        <w:rPr>
          <w:rFonts w:ascii="Verdana" w:hAnsi="Verdana"/>
          <w:sz w:val="18"/>
          <w:szCs w:val="18"/>
        </w:rPr>
      </w:pPr>
    </w:p>
    <w:p w:rsidRPr="00214477" w:rsidR="00065DEA" w:rsidP="00214477" w:rsidRDefault="00065DEA" w14:paraId="52D22F31" w14:textId="77777777">
      <w:pPr>
        <w:numPr>
          <w:ilvl w:val="0"/>
          <w:numId w:val="11"/>
        </w:numPr>
        <w:tabs>
          <w:tab w:val="left" w:pos="567"/>
          <w:tab w:val="left" w:pos="1134"/>
          <w:tab w:val="left" w:pos="1701"/>
          <w:tab w:val="left" w:pos="1843"/>
          <w:tab w:val="left" w:pos="2268"/>
          <w:tab w:val="left" w:pos="2552"/>
          <w:tab w:val="left" w:pos="2835"/>
          <w:tab w:val="left" w:pos="3119"/>
        </w:tabs>
        <w:spacing w:line="360" w:lineRule="auto"/>
        <w:rPr>
          <w:rFonts w:ascii="Verdana" w:hAnsi="Verdana"/>
          <w:i/>
          <w:iCs/>
          <w:sz w:val="18"/>
          <w:szCs w:val="18"/>
        </w:rPr>
      </w:pPr>
      <w:r w:rsidRPr="00D56B7D">
        <w:rPr>
          <w:rFonts w:ascii="Verdana" w:hAnsi="Verdana"/>
          <w:i/>
          <w:iCs/>
          <w:sz w:val="18"/>
          <w:szCs w:val="18"/>
        </w:rPr>
        <w:lastRenderedPageBreak/>
        <w:t>Gevolgen voor concurrentiekracht en geopolitieke aspecten</w:t>
      </w:r>
    </w:p>
    <w:p w:rsidRPr="005F4658" w:rsidR="00065DEA" w:rsidP="005F4658" w:rsidRDefault="00065DEA" w14:paraId="64694CF4" w14:textId="77777777">
      <w:pPr>
        <w:spacing w:line="360" w:lineRule="auto"/>
        <w:rPr>
          <w:rFonts w:ascii="Verdana" w:hAnsi="Verdana"/>
          <w:sz w:val="18"/>
          <w:szCs w:val="18"/>
        </w:rPr>
      </w:pPr>
      <w:r w:rsidRPr="005F4658">
        <w:rPr>
          <w:rFonts w:ascii="Verdana" w:hAnsi="Verdana"/>
          <w:sz w:val="18"/>
          <w:szCs w:val="18"/>
        </w:rPr>
        <w:t>Uit de impact assessment b</w:t>
      </w:r>
      <w:r w:rsidRPr="00D56B7D">
        <w:rPr>
          <w:rFonts w:ascii="Verdana" w:hAnsi="Verdana"/>
          <w:sz w:val="18"/>
          <w:szCs w:val="18"/>
        </w:rPr>
        <w:t>lijk</w:t>
      </w:r>
      <w:r w:rsidRPr="005F4658">
        <w:rPr>
          <w:rFonts w:ascii="Verdana" w:hAnsi="Verdana"/>
          <w:sz w:val="18"/>
          <w:szCs w:val="18"/>
        </w:rPr>
        <w:t>t dat de Commissie een beperkt effect op concurrentiekracht verwacht. Het initiatief reguleert niet rechtstreeks internationaal verhandelde goederen of diensten (of economische activiteiten in het algemeen) en heeft naar verwachting geen materiële gevolgen voor de externe concurrentiepositie van Europese ondernemingen. De effecten van het initiatief zijn voornamelijk gericht op het functioneren van de interne markt.</w:t>
      </w:r>
    </w:p>
    <w:bookmarkEnd w:id="7"/>
    <w:p w:rsidRPr="003F15F3" w:rsidR="00065DEA" w:rsidP="00065DEA" w:rsidRDefault="00065DEA" w14:paraId="1F0C6F81" w14:textId="77777777">
      <w:pPr>
        <w:spacing w:line="360" w:lineRule="auto"/>
        <w:rPr>
          <w:rFonts w:ascii="Verdana" w:hAnsi="Verdana"/>
          <w:bCs/>
          <w:sz w:val="18"/>
          <w:szCs w:val="18"/>
        </w:rPr>
      </w:pPr>
    </w:p>
    <w:p w:rsidRPr="000A28A7" w:rsidR="00065DEA" w:rsidP="00065DEA" w:rsidRDefault="00065DEA" w14:paraId="1B20B68D" w14:textId="7098C771">
      <w:pPr>
        <w:spacing w:line="360" w:lineRule="auto"/>
        <w:rPr>
          <w:rFonts w:ascii="Verdana" w:hAnsi="Verdana"/>
          <w:sz w:val="18"/>
          <w:szCs w:val="18"/>
        </w:rPr>
      </w:pPr>
      <w:r w:rsidRPr="00D56B7D">
        <w:rPr>
          <w:rFonts w:ascii="Verdana" w:hAnsi="Verdana"/>
          <w:b/>
          <w:bCs/>
          <w:sz w:val="18"/>
          <w:szCs w:val="18"/>
        </w:rPr>
        <w:t>6. Implicaties juridisch</w:t>
      </w:r>
    </w:p>
    <w:p w:rsidRPr="009D0354" w:rsidR="00065DEA" w:rsidP="00214477" w:rsidRDefault="00065DEA" w14:paraId="39134D68" w14:textId="02AE253B">
      <w:pPr>
        <w:numPr>
          <w:ilvl w:val="0"/>
          <w:numId w:val="5"/>
        </w:numPr>
        <w:spacing w:line="360" w:lineRule="auto"/>
        <w:rPr>
          <w:rFonts w:ascii="Verdana" w:hAnsi="Verdana"/>
          <w:i/>
          <w:iCs/>
          <w:sz w:val="18"/>
          <w:szCs w:val="18"/>
        </w:rPr>
      </w:pPr>
      <w:r w:rsidRPr="009D0354">
        <w:rPr>
          <w:rFonts w:ascii="Verdana" w:hAnsi="Verdana"/>
          <w:i/>
          <w:iCs/>
          <w:sz w:val="18"/>
          <w:szCs w:val="18"/>
        </w:rPr>
        <w:t xml:space="preserve">Consequenties voor nationale en decentrale regelgeving en/of sanctionering beleid (inclusief toepassing van de lex </w:t>
      </w:r>
      <w:proofErr w:type="spellStart"/>
      <w:r w:rsidRPr="009D0354">
        <w:rPr>
          <w:rFonts w:ascii="Verdana" w:hAnsi="Verdana"/>
          <w:i/>
          <w:iCs/>
          <w:sz w:val="18"/>
          <w:szCs w:val="18"/>
        </w:rPr>
        <w:t>silencio</w:t>
      </w:r>
      <w:proofErr w:type="spellEnd"/>
      <w:r w:rsidRPr="009D0354">
        <w:rPr>
          <w:rFonts w:ascii="Verdana" w:hAnsi="Verdana"/>
          <w:i/>
          <w:iCs/>
          <w:sz w:val="18"/>
          <w:szCs w:val="18"/>
        </w:rPr>
        <w:t xml:space="preserve"> positivo) </w:t>
      </w:r>
    </w:p>
    <w:p w:rsidR="00065DEA" w:rsidP="00065DEA" w:rsidRDefault="00065DEA" w14:paraId="2F74F320" w14:textId="1B5BFB43">
      <w:pPr>
        <w:tabs>
          <w:tab w:val="left" w:pos="0"/>
        </w:tabs>
        <w:spacing w:line="360" w:lineRule="auto"/>
        <w:rPr>
          <w:rFonts w:ascii="Verdana" w:hAnsi="Verdana"/>
          <w:sz w:val="18"/>
          <w:szCs w:val="18"/>
        </w:rPr>
      </w:pPr>
      <w:r w:rsidRPr="009D0354">
        <w:rPr>
          <w:rFonts w:ascii="Verdana" w:hAnsi="Verdana"/>
          <w:sz w:val="18"/>
          <w:szCs w:val="18"/>
        </w:rPr>
        <w:t>De voorgestelde verordening heeft directe werking en schrijft voor dat bestaande maatregelen van kracht kunnen blijven tot een nader te bepalen tijdstip. Echter</w:t>
      </w:r>
      <w:r w:rsidRPr="009D0354" w:rsidR="009D0354">
        <w:rPr>
          <w:rFonts w:ascii="Verdana" w:hAnsi="Verdana"/>
          <w:sz w:val="18"/>
          <w:szCs w:val="18"/>
        </w:rPr>
        <w:t>,</w:t>
      </w:r>
      <w:r w:rsidRPr="009D0354" w:rsidR="15A1D527">
        <w:rPr>
          <w:rFonts w:ascii="Verdana" w:hAnsi="Verdana"/>
          <w:sz w:val="18"/>
          <w:szCs w:val="18"/>
        </w:rPr>
        <w:t xml:space="preserve"> </w:t>
      </w:r>
      <w:r w:rsidRPr="009D0354">
        <w:rPr>
          <w:rFonts w:ascii="Verdana" w:hAnsi="Verdana"/>
          <w:sz w:val="18"/>
          <w:szCs w:val="18"/>
        </w:rPr>
        <w:t xml:space="preserve">deze maatregelen zijn opgenomen in de </w:t>
      </w:r>
      <w:r w:rsidRPr="009D0354" w:rsidR="009D0354">
        <w:rPr>
          <w:rFonts w:ascii="Verdana" w:hAnsi="Verdana"/>
          <w:sz w:val="18"/>
          <w:szCs w:val="18"/>
        </w:rPr>
        <w:t xml:space="preserve">lokale </w:t>
      </w:r>
      <w:r w:rsidRPr="009D0354" w:rsidR="00CB6903">
        <w:rPr>
          <w:rFonts w:ascii="Verdana" w:hAnsi="Verdana"/>
          <w:sz w:val="18"/>
          <w:szCs w:val="18"/>
        </w:rPr>
        <w:t>huisvestings</w:t>
      </w:r>
      <w:r w:rsidRPr="009D0354">
        <w:rPr>
          <w:rFonts w:ascii="Verdana" w:hAnsi="Verdana"/>
          <w:sz w:val="18"/>
          <w:szCs w:val="18"/>
        </w:rPr>
        <w:t xml:space="preserve">verordeningen van de gemeenten. </w:t>
      </w:r>
      <w:bookmarkStart w:name="_Hlk241737230" w:id="9"/>
      <w:r w:rsidRPr="009D0354" w:rsidR="005C6F35">
        <w:rPr>
          <w:rFonts w:ascii="Verdana" w:hAnsi="Verdana"/>
          <w:sz w:val="18"/>
          <w:szCs w:val="18"/>
        </w:rPr>
        <w:t>Op basis van de Huisvestingswet 2014 moeten gemeenten hun huisvestingsverordening iedere vier jaar opnieuw vaststellen. Dit heeft</w:t>
      </w:r>
      <w:r w:rsidRPr="009D0354" w:rsidR="00C93418">
        <w:rPr>
          <w:rFonts w:ascii="Verdana" w:hAnsi="Verdana"/>
          <w:sz w:val="18"/>
          <w:szCs w:val="18"/>
        </w:rPr>
        <w:t xml:space="preserve"> naar verwachting</w:t>
      </w:r>
      <w:r w:rsidRPr="009D0354" w:rsidR="005C6F35">
        <w:rPr>
          <w:rFonts w:ascii="Verdana" w:hAnsi="Verdana"/>
          <w:sz w:val="18"/>
          <w:szCs w:val="18"/>
        </w:rPr>
        <w:t xml:space="preserve"> tot gevolg dat bij het opnieuw vaststellen van de </w:t>
      </w:r>
      <w:r w:rsidRPr="009D0354" w:rsidR="009D0354">
        <w:rPr>
          <w:rFonts w:ascii="Verdana" w:hAnsi="Verdana"/>
          <w:sz w:val="18"/>
          <w:szCs w:val="18"/>
        </w:rPr>
        <w:t xml:space="preserve">lokale huisvestingsverordening </w:t>
      </w:r>
      <w:r w:rsidRPr="009D0354" w:rsidR="005C6F35">
        <w:rPr>
          <w:rFonts w:ascii="Verdana" w:hAnsi="Verdana"/>
          <w:sz w:val="18"/>
          <w:szCs w:val="18"/>
        </w:rPr>
        <w:t xml:space="preserve">deze in lijn gebracht moet worden met de </w:t>
      </w:r>
      <w:r w:rsidRPr="009D0354" w:rsidR="009D0354">
        <w:rPr>
          <w:rFonts w:ascii="Verdana" w:hAnsi="Verdana"/>
          <w:sz w:val="18"/>
          <w:szCs w:val="18"/>
        </w:rPr>
        <w:t>AHA</w:t>
      </w:r>
      <w:r w:rsidRPr="009D0354" w:rsidR="005C6F35">
        <w:rPr>
          <w:rFonts w:ascii="Verdana" w:hAnsi="Verdana"/>
          <w:sz w:val="18"/>
          <w:szCs w:val="18"/>
        </w:rPr>
        <w:t xml:space="preserve">. </w:t>
      </w:r>
      <w:bookmarkEnd w:id="9"/>
      <w:r w:rsidRPr="00E2303A" w:rsidR="009D0354">
        <w:rPr>
          <w:rFonts w:ascii="Verdana" w:hAnsi="Verdana"/>
          <w:sz w:val="18"/>
          <w:szCs w:val="18"/>
        </w:rPr>
        <w:t>De Commissie heeft naar aanleiding van schriftelijke vragen van het kabinet het volgende verduidelijkt: volgens de interpretatie van de Commissie vormt een lokale maatregel die na de inwerkingtreding van de AHA is vastgesteld in een lokale huisvestingsverordening en die zelf een beperking invoert, een nieuwe maatregel in de zin van de AHA, zelfs wanneer deze is vastgesteld op grond van reeds bestaande nationale bevoegdheidswetgeving. Indien deze maatregel onder artikel 2 valt, moet hij in overeenstemming zijn met de AHA. Het kabinet acht dit onwenselijk omdat het gevolg hiervan is dat er een complexe situatie ontstaat waarbij gemeenten werken met uiteenlopende juridische regimes. De Huisvestingswet 2014 zal te zijner tijd ook moeten worden aangepast, voor zover nieuwe maatregelen worden toegevoegd of bestaande maatregelen inhoudelijk worden gewijzigd, omdat de AHA in die gevallen op deze maatregelen van toepassing zou zijn mits deze worden ingezet op grond van betaalbaarheid en/of beschikbaarheid.</w:t>
      </w:r>
    </w:p>
    <w:p w:rsidR="005C6F35" w:rsidP="00065DEA" w:rsidRDefault="005C6F35" w14:paraId="5631CF5E" w14:textId="77777777">
      <w:pPr>
        <w:tabs>
          <w:tab w:val="left" w:pos="0"/>
        </w:tabs>
        <w:spacing w:line="360" w:lineRule="auto"/>
        <w:rPr>
          <w:rFonts w:ascii="Verdana" w:hAnsi="Verdana"/>
          <w:iCs/>
          <w:sz w:val="18"/>
          <w:szCs w:val="18"/>
        </w:rPr>
      </w:pPr>
    </w:p>
    <w:p w:rsidRPr="005F4658" w:rsidR="00065DEA" w:rsidP="005F4658" w:rsidRDefault="00065DEA" w14:paraId="1499AD46" w14:textId="32C2E759">
      <w:pPr>
        <w:tabs>
          <w:tab w:val="left" w:pos="0"/>
        </w:tabs>
        <w:spacing w:line="360" w:lineRule="auto"/>
        <w:rPr>
          <w:rFonts w:ascii="Verdana" w:hAnsi="Verdana"/>
          <w:sz w:val="18"/>
          <w:szCs w:val="18"/>
        </w:rPr>
      </w:pPr>
      <w:r w:rsidRPr="005F4658">
        <w:rPr>
          <w:rFonts w:ascii="Verdana" w:hAnsi="Verdana"/>
          <w:sz w:val="18"/>
          <w:szCs w:val="18"/>
        </w:rPr>
        <w:t xml:space="preserve">De </w:t>
      </w:r>
      <w:r w:rsidRPr="005F4658" w:rsidR="0C1350F5">
        <w:rPr>
          <w:rFonts w:ascii="Verdana" w:hAnsi="Verdana"/>
          <w:sz w:val="18"/>
          <w:szCs w:val="18"/>
        </w:rPr>
        <w:t>in de AHA voorgest</w:t>
      </w:r>
      <w:r w:rsidRPr="005F4658" w:rsidR="18209150">
        <w:rPr>
          <w:rFonts w:ascii="Verdana" w:hAnsi="Verdana"/>
          <w:sz w:val="18"/>
          <w:szCs w:val="18"/>
        </w:rPr>
        <w:t>elde</w:t>
      </w:r>
      <w:r w:rsidRPr="005F4658">
        <w:rPr>
          <w:rFonts w:ascii="Verdana" w:hAnsi="Verdana"/>
          <w:sz w:val="18"/>
          <w:szCs w:val="18"/>
        </w:rPr>
        <w:t xml:space="preserve"> lex </w:t>
      </w:r>
      <w:proofErr w:type="spellStart"/>
      <w:r w:rsidRPr="005F4658">
        <w:rPr>
          <w:rFonts w:ascii="Verdana" w:hAnsi="Verdana"/>
          <w:sz w:val="18"/>
          <w:szCs w:val="18"/>
        </w:rPr>
        <w:t>silencio</w:t>
      </w:r>
      <w:proofErr w:type="spellEnd"/>
      <w:r w:rsidRPr="005F4658">
        <w:rPr>
          <w:rFonts w:ascii="Verdana" w:hAnsi="Verdana"/>
          <w:sz w:val="18"/>
          <w:szCs w:val="18"/>
        </w:rPr>
        <w:t xml:space="preserve"> is </w:t>
      </w:r>
      <w:r w:rsidRPr="005F4658" w:rsidR="00CB6903">
        <w:rPr>
          <w:rFonts w:ascii="Verdana" w:hAnsi="Verdana"/>
          <w:sz w:val="18"/>
          <w:szCs w:val="18"/>
        </w:rPr>
        <w:t>reeds</w:t>
      </w:r>
      <w:r w:rsidRPr="005F4658">
        <w:rPr>
          <w:rFonts w:ascii="Verdana" w:hAnsi="Verdana"/>
          <w:sz w:val="18"/>
          <w:szCs w:val="18"/>
        </w:rPr>
        <w:t xml:space="preserve"> van toepassing op </w:t>
      </w:r>
      <w:r w:rsidRPr="005F4658" w:rsidR="00CB6903">
        <w:rPr>
          <w:rFonts w:ascii="Verdana" w:hAnsi="Verdana"/>
          <w:sz w:val="18"/>
          <w:szCs w:val="18"/>
        </w:rPr>
        <w:t xml:space="preserve">zowel </w:t>
      </w:r>
      <w:r w:rsidRPr="005F4658">
        <w:rPr>
          <w:rFonts w:ascii="Verdana" w:hAnsi="Verdana"/>
          <w:sz w:val="18"/>
          <w:szCs w:val="18"/>
        </w:rPr>
        <w:t xml:space="preserve">toeristische verhuur </w:t>
      </w:r>
      <w:r w:rsidRPr="005F4658" w:rsidR="00CB6903">
        <w:rPr>
          <w:rFonts w:ascii="Verdana" w:hAnsi="Verdana"/>
          <w:sz w:val="18"/>
          <w:szCs w:val="18"/>
        </w:rPr>
        <w:t xml:space="preserve">als </w:t>
      </w:r>
      <w:r w:rsidR="00FC0995">
        <w:rPr>
          <w:rFonts w:ascii="Verdana" w:hAnsi="Verdana"/>
          <w:sz w:val="18"/>
          <w:szCs w:val="18"/>
        </w:rPr>
        <w:t xml:space="preserve">de </w:t>
      </w:r>
      <w:r w:rsidRPr="005F4658">
        <w:rPr>
          <w:rFonts w:ascii="Verdana" w:hAnsi="Verdana"/>
          <w:sz w:val="18"/>
          <w:szCs w:val="18"/>
        </w:rPr>
        <w:t xml:space="preserve">opkoopbescherming (Huisvestingswet 2014, art </w:t>
      </w:r>
      <w:r w:rsidRPr="005F4658" w:rsidR="66209400">
        <w:rPr>
          <w:rFonts w:ascii="Verdana" w:hAnsi="Verdana"/>
          <w:sz w:val="18"/>
          <w:szCs w:val="18"/>
        </w:rPr>
        <w:t>25,</w:t>
      </w:r>
      <w:r w:rsidRPr="005F4658" w:rsidR="0754199E">
        <w:rPr>
          <w:rFonts w:ascii="Verdana" w:hAnsi="Verdana"/>
          <w:sz w:val="18"/>
          <w:szCs w:val="18"/>
        </w:rPr>
        <w:t xml:space="preserve"> vijfde lid en </w:t>
      </w:r>
      <w:r w:rsidRPr="005F4658">
        <w:rPr>
          <w:rFonts w:ascii="Verdana" w:hAnsi="Verdana"/>
          <w:sz w:val="18"/>
          <w:szCs w:val="18"/>
        </w:rPr>
        <w:t>43</w:t>
      </w:r>
      <w:r w:rsidRPr="005F4658" w:rsidR="0754199E">
        <w:rPr>
          <w:rFonts w:ascii="Verdana" w:hAnsi="Verdana"/>
          <w:sz w:val="18"/>
          <w:szCs w:val="18"/>
        </w:rPr>
        <w:t>, vijfde lid</w:t>
      </w:r>
      <w:r w:rsidRPr="005F4658" w:rsidR="74DEECD1">
        <w:rPr>
          <w:rFonts w:ascii="Verdana" w:hAnsi="Verdana"/>
          <w:sz w:val="18"/>
          <w:szCs w:val="18"/>
        </w:rPr>
        <w:t>).</w:t>
      </w:r>
      <w:r w:rsidRPr="005F4658" w:rsidR="00113589">
        <w:rPr>
          <w:rFonts w:ascii="Verdana" w:hAnsi="Verdana"/>
          <w:sz w:val="18"/>
          <w:szCs w:val="18"/>
        </w:rPr>
        <w:t xml:space="preserve"> </w:t>
      </w:r>
      <w:r w:rsidRPr="005F4658" w:rsidR="008B72C0">
        <w:rPr>
          <w:rFonts w:ascii="Verdana" w:hAnsi="Verdana"/>
          <w:sz w:val="18"/>
          <w:szCs w:val="18"/>
        </w:rPr>
        <w:t xml:space="preserve">Vergunningen inzake </w:t>
      </w:r>
      <w:r w:rsidRPr="009326C5" w:rsidR="008B72C0">
        <w:rPr>
          <w:rFonts w:ascii="Verdana" w:hAnsi="Verdana"/>
          <w:sz w:val="18"/>
          <w:szCs w:val="18"/>
        </w:rPr>
        <w:t xml:space="preserve">toeristische verhuur en de opkoopbescherming </w:t>
      </w:r>
      <w:r w:rsidRPr="005F4658" w:rsidR="008B72C0">
        <w:rPr>
          <w:rFonts w:ascii="Verdana" w:hAnsi="Verdana"/>
          <w:sz w:val="18"/>
          <w:szCs w:val="18"/>
        </w:rPr>
        <w:t xml:space="preserve">zijn onderworpen aan de rechtsbescherming van het bestuursrecht (bezwaar en beroep). </w:t>
      </w:r>
      <w:r w:rsidRPr="005F4658">
        <w:rPr>
          <w:rFonts w:ascii="Verdana" w:hAnsi="Verdana"/>
          <w:sz w:val="18"/>
          <w:szCs w:val="18"/>
        </w:rPr>
        <w:t xml:space="preserve">De </w:t>
      </w:r>
      <w:r w:rsidRPr="005F4658" w:rsidR="53199763">
        <w:rPr>
          <w:rFonts w:ascii="Verdana" w:hAnsi="Verdana"/>
          <w:sz w:val="18"/>
          <w:szCs w:val="18"/>
        </w:rPr>
        <w:t>AHA</w:t>
      </w:r>
      <w:r w:rsidRPr="005F4658">
        <w:rPr>
          <w:rFonts w:ascii="Verdana" w:hAnsi="Verdana"/>
          <w:sz w:val="18"/>
          <w:szCs w:val="18"/>
        </w:rPr>
        <w:t xml:space="preserve"> schrijft geen specifieke vorm van handhaving voor. Daarom ligt het voor de hand dat de handhaving via het bestuursrecht plaatsvindt, zoals dat nu ook reeds het geval is.</w:t>
      </w:r>
    </w:p>
    <w:p w:rsidRPr="00FD28CC" w:rsidR="00065DEA" w:rsidP="00065DEA" w:rsidRDefault="00065DEA" w14:paraId="66991465" w14:textId="77777777">
      <w:pPr>
        <w:spacing w:line="360" w:lineRule="auto"/>
        <w:rPr>
          <w:rFonts w:ascii="Verdana" w:hAnsi="Verdana"/>
          <w:bCs/>
          <w:sz w:val="18"/>
          <w:szCs w:val="18"/>
        </w:rPr>
      </w:pPr>
    </w:p>
    <w:p w:rsidRPr="009D0354" w:rsidR="00065DEA" w:rsidP="00214477" w:rsidRDefault="00065DEA" w14:paraId="19B048DA" w14:textId="77777777">
      <w:pPr>
        <w:pStyle w:val="ListParagraph"/>
        <w:numPr>
          <w:ilvl w:val="0"/>
          <w:numId w:val="5"/>
        </w:numPr>
        <w:tabs>
          <w:tab w:val="left" w:pos="-426"/>
        </w:tabs>
        <w:suppressAutoHyphens/>
        <w:spacing w:line="360" w:lineRule="auto"/>
        <w:rPr>
          <w:rFonts w:ascii="Verdana" w:hAnsi="Verdana"/>
          <w:i/>
          <w:iCs/>
          <w:sz w:val="18"/>
          <w:szCs w:val="18"/>
        </w:rPr>
      </w:pPr>
      <w:r w:rsidRPr="009D0354">
        <w:rPr>
          <w:rFonts w:ascii="Verdana" w:hAnsi="Verdana"/>
          <w:i/>
          <w:iCs/>
          <w:sz w:val="18"/>
          <w:szCs w:val="18"/>
        </w:rPr>
        <w:t>Gedelegeerde en/of uitvoeringshandelingen, incl. NL-beoordeling daarvan</w:t>
      </w:r>
    </w:p>
    <w:p w:rsidR="00C96822" w:rsidP="00065DEA" w:rsidRDefault="00065DEA" w14:paraId="5EBB957C" w14:textId="0267B127">
      <w:pPr>
        <w:spacing w:line="360" w:lineRule="auto"/>
        <w:rPr>
          <w:rFonts w:ascii="Verdana" w:hAnsi="Verdana" w:cs="Tahoma"/>
          <w:sz w:val="18"/>
          <w:szCs w:val="18"/>
        </w:rPr>
      </w:pPr>
      <w:r w:rsidRPr="009D0354">
        <w:rPr>
          <w:rFonts w:ascii="Verdana" w:hAnsi="Verdana" w:cs="Tahoma"/>
          <w:sz w:val="18"/>
          <w:szCs w:val="18"/>
        </w:rPr>
        <w:t xml:space="preserve">Het voorstel bevat bevoegdheden voor de Commissie om voor onbepaalde tijd gedelegeerde handelingen vast te stellen (artikel 15). Deze bevoegdheid ziet op de wijziging van de in artikel 6, eerste lid, onder a, en tweede lid, opgenomen drempelwaarde voor de prijs-inkomensverhouding. Daarnaast kan de Commissie de bij de berekening gehanteerde gegevens, drempelwaarden, indicatoren en methodologie aanpassen, indien objectieve ontwikkelingen daartoe aanleiding geven en deze aanpassing wordt onderbouwd met relevante statistische of andere betrouwbare </w:t>
      </w:r>
      <w:r w:rsidRPr="009D0354">
        <w:rPr>
          <w:rFonts w:ascii="Verdana" w:hAnsi="Verdana" w:cs="Tahoma"/>
          <w:sz w:val="18"/>
          <w:szCs w:val="18"/>
        </w:rPr>
        <w:lastRenderedPageBreak/>
        <w:t xml:space="preserve">gegevens. Het toekennen van deze bevoegdheden is naar het oordeel van het kabinet </w:t>
      </w:r>
      <w:r w:rsidR="009D0354">
        <w:rPr>
          <w:rFonts w:ascii="Verdana" w:hAnsi="Verdana" w:cs="Tahoma"/>
          <w:sz w:val="18"/>
          <w:szCs w:val="18"/>
        </w:rPr>
        <w:t xml:space="preserve">niet </w:t>
      </w:r>
      <w:r w:rsidRPr="009D0354">
        <w:rPr>
          <w:rFonts w:ascii="Verdana" w:hAnsi="Verdana" w:cs="Tahoma"/>
          <w:sz w:val="18"/>
          <w:szCs w:val="18"/>
        </w:rPr>
        <w:t xml:space="preserve">mogelijk, </w:t>
      </w:r>
      <w:r w:rsidRPr="009D0354" w:rsidR="00C93418">
        <w:rPr>
          <w:rFonts w:ascii="Verdana" w:hAnsi="Verdana" w:cs="Tahoma"/>
          <w:sz w:val="18"/>
          <w:szCs w:val="18"/>
        </w:rPr>
        <w:t xml:space="preserve">omdat het essentiële onderdelen van de basishandeling betreft. </w:t>
      </w:r>
      <w:r w:rsidRPr="009D0354">
        <w:rPr>
          <w:rFonts w:ascii="Verdana" w:hAnsi="Verdana" w:cs="Tahoma"/>
          <w:sz w:val="18"/>
          <w:szCs w:val="18"/>
        </w:rPr>
        <w:t xml:space="preserve">Toekenning van deze bevoegdheden acht het kabinet </w:t>
      </w:r>
      <w:r w:rsidR="009D0354">
        <w:rPr>
          <w:rFonts w:ascii="Verdana" w:hAnsi="Verdana" w:cs="Tahoma"/>
          <w:sz w:val="18"/>
          <w:szCs w:val="18"/>
        </w:rPr>
        <w:t xml:space="preserve">niet </w:t>
      </w:r>
      <w:r w:rsidRPr="009D0354">
        <w:rPr>
          <w:rFonts w:ascii="Verdana" w:hAnsi="Verdana" w:cs="Tahoma"/>
          <w:sz w:val="18"/>
          <w:szCs w:val="18"/>
        </w:rPr>
        <w:t xml:space="preserve">wenselijk, </w:t>
      </w:r>
      <w:r w:rsidR="009D0354">
        <w:rPr>
          <w:rFonts w:ascii="Verdana" w:hAnsi="Verdana" w:cs="Tahoma"/>
          <w:sz w:val="18"/>
          <w:szCs w:val="18"/>
        </w:rPr>
        <w:t>omdat d</w:t>
      </w:r>
      <w:r w:rsidRPr="008D6E8C" w:rsidR="009D0354">
        <w:rPr>
          <w:rFonts w:ascii="Verdana" w:hAnsi="Verdana" w:cs="Tahoma"/>
          <w:sz w:val="18"/>
          <w:szCs w:val="18"/>
        </w:rPr>
        <w:t xml:space="preserve">eze onderdelen bepalen onder welke voorwaarden een gebied als gebied met </w:t>
      </w:r>
      <w:r w:rsidR="009D0354">
        <w:rPr>
          <w:rFonts w:ascii="Verdana" w:hAnsi="Verdana" w:cs="Tahoma"/>
          <w:sz w:val="18"/>
          <w:szCs w:val="18"/>
        </w:rPr>
        <w:t>overspannen woningmarkt</w:t>
      </w:r>
      <w:r w:rsidRPr="008D6E8C" w:rsidR="009D0354">
        <w:rPr>
          <w:rFonts w:ascii="Verdana" w:hAnsi="Verdana" w:cs="Tahoma"/>
          <w:sz w:val="18"/>
          <w:szCs w:val="18"/>
        </w:rPr>
        <w:t xml:space="preserve"> wordt aangemerkt en</w:t>
      </w:r>
      <w:r w:rsidR="009D0354">
        <w:rPr>
          <w:rFonts w:ascii="Verdana" w:hAnsi="Verdana" w:cs="Tahoma"/>
          <w:sz w:val="18"/>
          <w:szCs w:val="18"/>
        </w:rPr>
        <w:t xml:space="preserve"> daarmee wanneer</w:t>
      </w:r>
      <w:r w:rsidRPr="008D6E8C" w:rsidR="009D0354">
        <w:rPr>
          <w:rFonts w:ascii="Verdana" w:hAnsi="Verdana" w:cs="Tahoma"/>
          <w:sz w:val="18"/>
          <w:szCs w:val="18"/>
        </w:rPr>
        <w:t xml:space="preserve"> overheden maatregelen kunnen nemen. Wijziging hiervan vergt afwegingen die aan de Uniewetgever </w:t>
      </w:r>
      <w:r w:rsidR="009D0354">
        <w:rPr>
          <w:rFonts w:ascii="Verdana" w:hAnsi="Verdana" w:cs="Tahoma"/>
          <w:sz w:val="18"/>
          <w:szCs w:val="18"/>
        </w:rPr>
        <w:t>moeten zijn voorbehouden of de delegatie moet nader worden ingekaderd zodat hierdoor geen essentiële onderdelen in opgenomen zijn.</w:t>
      </w:r>
    </w:p>
    <w:p w:rsidR="00C96822" w:rsidP="00065DEA" w:rsidRDefault="00C96822" w14:paraId="11559D45" w14:textId="77777777">
      <w:pPr>
        <w:spacing w:line="360" w:lineRule="auto"/>
        <w:rPr>
          <w:rFonts w:ascii="Verdana" w:hAnsi="Verdana" w:cs="Tahoma"/>
          <w:sz w:val="18"/>
          <w:szCs w:val="18"/>
        </w:rPr>
      </w:pPr>
    </w:p>
    <w:p w:rsidRPr="00FA59C4" w:rsidR="00C96822" w:rsidP="00065DEA" w:rsidRDefault="00065DEA" w14:paraId="6CCB9444" w14:textId="3D64F8D5">
      <w:pPr>
        <w:spacing w:line="360" w:lineRule="auto"/>
        <w:rPr>
          <w:rFonts w:ascii="Verdana" w:hAnsi="Verdana" w:cs="Tahoma"/>
          <w:sz w:val="18"/>
          <w:szCs w:val="18"/>
        </w:rPr>
      </w:pPr>
      <w:r w:rsidRPr="0079585E">
        <w:rPr>
          <w:rFonts w:ascii="Verdana" w:hAnsi="Verdana" w:cs="Tahoma"/>
          <w:sz w:val="18"/>
          <w:szCs w:val="18"/>
        </w:rPr>
        <w:t xml:space="preserve">Het kabinet </w:t>
      </w:r>
      <w:r w:rsidR="00617505">
        <w:rPr>
          <w:rFonts w:ascii="Verdana" w:hAnsi="Verdana" w:cs="Tahoma"/>
          <w:sz w:val="18"/>
          <w:szCs w:val="18"/>
        </w:rPr>
        <w:t>blijft aandacht vragen voor</w:t>
      </w:r>
      <w:r w:rsidRPr="0079585E">
        <w:rPr>
          <w:rFonts w:ascii="Verdana" w:hAnsi="Verdana" w:cs="Tahoma"/>
          <w:sz w:val="18"/>
          <w:szCs w:val="18"/>
        </w:rPr>
        <w:t xml:space="preserve"> mogelijke uitvoeringskosten die voortvloeien uit aanpassingen op basis van gedelegeerde handelingen. Het kabinet acht het daarom van belang dat de nalevingskosten van dergelijke aanpassingen voorafgaand aan de vaststelling zorgvuldig in beeld worden gebracht en proportioneel blijven.</w:t>
      </w:r>
    </w:p>
    <w:p w:rsidR="00447F6E" w:rsidP="00065DEA" w:rsidRDefault="00447F6E" w14:paraId="3F4ABF1D" w14:textId="77777777">
      <w:pPr>
        <w:spacing w:line="360" w:lineRule="auto"/>
        <w:rPr>
          <w:rFonts w:ascii="Verdana" w:hAnsi="Verdana" w:cs="Tahoma"/>
          <w:sz w:val="18"/>
          <w:szCs w:val="18"/>
        </w:rPr>
      </w:pPr>
    </w:p>
    <w:p w:rsidR="00065DEA" w:rsidP="00065DEA" w:rsidRDefault="00065DEA" w14:paraId="77ED17AF" w14:textId="14F64550">
      <w:pPr>
        <w:spacing w:line="360" w:lineRule="auto"/>
        <w:rPr>
          <w:rFonts w:ascii="Verdana" w:hAnsi="Verdana" w:cs="Tahoma"/>
          <w:sz w:val="18"/>
          <w:szCs w:val="18"/>
        </w:rPr>
      </w:pPr>
      <w:r w:rsidRPr="0079585E">
        <w:rPr>
          <w:rFonts w:ascii="Verdana" w:hAnsi="Verdana" w:cs="Tahoma"/>
          <w:sz w:val="18"/>
          <w:szCs w:val="18"/>
        </w:rPr>
        <w:t xml:space="preserve">Met betrekking tot de duur van de bevoegdheidsdelegatie zal het kabinet ervoor pleiten deze bevoegdheidsdelegatie te verlenen voor de duur van vijf jaar met de mogelijkheid van stilzwijgende verlenging waarbij de bevoegdheidsdelegatie naar behoren geëvalueerd kan worden </w:t>
      </w:r>
    </w:p>
    <w:p w:rsidRPr="000A28A7" w:rsidR="00065DEA" w:rsidP="00065DEA" w:rsidRDefault="00065DEA" w14:paraId="5DB29586" w14:textId="77777777">
      <w:pPr>
        <w:spacing w:line="360" w:lineRule="auto"/>
        <w:rPr>
          <w:rFonts w:ascii="Verdana" w:hAnsi="Verdana" w:cs="Tahoma"/>
          <w:sz w:val="18"/>
          <w:szCs w:val="18"/>
        </w:rPr>
      </w:pPr>
    </w:p>
    <w:p w:rsidRPr="00790C6F" w:rsidR="00065DEA" w:rsidP="00FD3CE9" w:rsidRDefault="00065DEA" w14:paraId="711E4AE5" w14:textId="30C8BCEE">
      <w:pPr>
        <w:numPr>
          <w:ilvl w:val="0"/>
          <w:numId w:val="5"/>
        </w:numPr>
        <w:spacing w:line="360" w:lineRule="auto"/>
        <w:rPr>
          <w:rFonts w:ascii="Verdana" w:hAnsi="Verdana"/>
          <w:sz w:val="18"/>
          <w:szCs w:val="18"/>
        </w:rPr>
      </w:pPr>
      <w:r w:rsidRPr="00D56B7D">
        <w:rPr>
          <w:rFonts w:ascii="Verdana" w:hAnsi="Verdana"/>
          <w:i/>
          <w:iCs/>
          <w:sz w:val="18"/>
          <w:szCs w:val="18"/>
        </w:rPr>
        <w:t>Voorgestelde implementatietermijn (bij richtlijnen), dan wel voorgestelde datum inwerkingtreding (bij verordeningen en besluiten) met commentaar t.a.v. haalbaarheid</w:t>
      </w:r>
    </w:p>
    <w:p w:rsidRPr="00D22B3F" w:rsidR="00065DEA" w:rsidP="00065DEA" w:rsidRDefault="00065DEA" w14:paraId="322C2768" w14:textId="77777777">
      <w:pPr>
        <w:spacing w:line="360" w:lineRule="auto"/>
        <w:rPr>
          <w:rFonts w:ascii="Verdana" w:hAnsi="Verdana"/>
          <w:sz w:val="18"/>
          <w:szCs w:val="18"/>
        </w:rPr>
      </w:pPr>
      <w:r w:rsidRPr="00F75D72">
        <w:rPr>
          <w:rFonts w:ascii="Verdana" w:hAnsi="Verdana"/>
          <w:sz w:val="18"/>
          <w:szCs w:val="18"/>
        </w:rPr>
        <w:t xml:space="preserve">De verordening </w:t>
      </w:r>
      <w:r>
        <w:rPr>
          <w:rFonts w:ascii="Verdana" w:hAnsi="Verdana"/>
          <w:sz w:val="18"/>
          <w:szCs w:val="18"/>
        </w:rPr>
        <w:t>is rechtstreeks van toepassing vanaf de datum van inwerkingtreding</w:t>
      </w:r>
      <w:r w:rsidRPr="00F75D72">
        <w:rPr>
          <w:rFonts w:ascii="Verdana" w:hAnsi="Verdana"/>
          <w:sz w:val="18"/>
          <w:szCs w:val="18"/>
        </w:rPr>
        <w:t>.</w:t>
      </w:r>
      <w:r>
        <w:rPr>
          <w:rFonts w:ascii="Verdana" w:hAnsi="Verdana"/>
          <w:sz w:val="18"/>
          <w:szCs w:val="18"/>
        </w:rPr>
        <w:t xml:space="preserve"> V</w:t>
      </w:r>
      <w:r w:rsidRPr="00F75D72">
        <w:rPr>
          <w:rFonts w:ascii="Verdana" w:hAnsi="Verdana"/>
          <w:sz w:val="18"/>
          <w:szCs w:val="18"/>
        </w:rPr>
        <w:t xml:space="preserve">oor een daadwerkelijke en effectieve toepassing in de Nederlandse rechtsorde </w:t>
      </w:r>
      <w:r>
        <w:rPr>
          <w:rFonts w:ascii="Verdana" w:hAnsi="Verdana"/>
          <w:sz w:val="18"/>
          <w:szCs w:val="18"/>
        </w:rPr>
        <w:t>zal noodzakelijk zijn dat</w:t>
      </w:r>
      <w:r w:rsidRPr="00F75D72">
        <w:rPr>
          <w:rFonts w:ascii="Verdana" w:hAnsi="Verdana"/>
          <w:sz w:val="18"/>
          <w:szCs w:val="18"/>
        </w:rPr>
        <w:t xml:space="preserve"> bestaande regelingen moeten worden aangepast</w:t>
      </w:r>
      <w:r>
        <w:rPr>
          <w:rFonts w:ascii="Verdana" w:hAnsi="Verdana"/>
          <w:sz w:val="18"/>
          <w:szCs w:val="18"/>
        </w:rPr>
        <w:t>.</w:t>
      </w:r>
    </w:p>
    <w:p w:rsidRPr="000A28A7" w:rsidR="00065DEA" w:rsidP="00065DEA" w:rsidRDefault="00065DEA" w14:paraId="62F09021" w14:textId="77777777">
      <w:pPr>
        <w:spacing w:line="360" w:lineRule="auto"/>
        <w:rPr>
          <w:rFonts w:ascii="Verdana" w:hAnsi="Verdana"/>
          <w:bCs/>
          <w:i/>
          <w:iCs/>
          <w:sz w:val="18"/>
          <w:szCs w:val="18"/>
        </w:rPr>
      </w:pPr>
    </w:p>
    <w:p w:rsidRPr="00790C6F" w:rsidR="00065DEA" w:rsidP="00FD3CE9" w:rsidRDefault="00065DEA" w14:paraId="50046E05" w14:textId="64332671">
      <w:pPr>
        <w:numPr>
          <w:ilvl w:val="0"/>
          <w:numId w:val="5"/>
        </w:numPr>
        <w:spacing w:line="360" w:lineRule="auto"/>
        <w:rPr>
          <w:rFonts w:ascii="Verdana" w:hAnsi="Verdana"/>
          <w:sz w:val="18"/>
          <w:szCs w:val="18"/>
        </w:rPr>
      </w:pPr>
      <w:r w:rsidRPr="00D56B7D">
        <w:rPr>
          <w:rFonts w:ascii="Verdana" w:hAnsi="Verdana"/>
          <w:i/>
          <w:iCs/>
          <w:sz w:val="18"/>
          <w:szCs w:val="18"/>
        </w:rPr>
        <w:t>Wenselijkheid evaluatie-/horizonbepaling</w:t>
      </w:r>
    </w:p>
    <w:p w:rsidRPr="005F4658" w:rsidR="00065DEA" w:rsidP="005F4658" w:rsidRDefault="00065DEA" w14:paraId="54FD9C51" w14:textId="77777777">
      <w:pPr>
        <w:spacing w:line="360" w:lineRule="auto"/>
        <w:rPr>
          <w:rFonts w:ascii="Verdana" w:hAnsi="Verdana"/>
          <w:sz w:val="18"/>
          <w:szCs w:val="18"/>
        </w:rPr>
      </w:pPr>
      <w:r w:rsidRPr="00F75D72">
        <w:rPr>
          <w:rFonts w:ascii="Verdana" w:hAnsi="Verdana"/>
          <w:sz w:val="18"/>
          <w:szCs w:val="18"/>
        </w:rPr>
        <w:t>De verordening bevat een evaluatiebepaling. De Commissie zal de verordening vijf jaar na inwerkingtreding evalueren (artikel 16). Dit acht het kabinet wenselijk.</w:t>
      </w:r>
    </w:p>
    <w:p w:rsidR="00065DEA" w:rsidP="00065DEA" w:rsidRDefault="00065DEA" w14:paraId="2062BBD9" w14:textId="77777777">
      <w:pPr>
        <w:spacing w:line="360" w:lineRule="auto"/>
        <w:rPr>
          <w:rFonts w:ascii="Verdana" w:hAnsi="Verdana" w:eastAsia="MS PGothic"/>
          <w:iCs/>
          <w:sz w:val="18"/>
          <w:szCs w:val="18"/>
        </w:rPr>
      </w:pPr>
    </w:p>
    <w:p w:rsidRPr="00790C6F" w:rsidR="00065DEA" w:rsidP="00FD3CE9" w:rsidRDefault="00065DEA" w14:paraId="0C353C27" w14:textId="74847DD5">
      <w:pPr>
        <w:numPr>
          <w:ilvl w:val="0"/>
          <w:numId w:val="5"/>
        </w:numPr>
        <w:spacing w:line="360" w:lineRule="auto"/>
        <w:rPr>
          <w:rFonts w:ascii="Verdana" w:hAnsi="Verdana" w:eastAsia="MS PGothic"/>
          <w:sz w:val="18"/>
          <w:szCs w:val="18"/>
        </w:rPr>
      </w:pPr>
      <w:r w:rsidRPr="61B0A1F6">
        <w:rPr>
          <w:rFonts w:ascii="Verdana" w:hAnsi="Verdana" w:eastAsia="MS PGothic"/>
          <w:i/>
          <w:iCs/>
          <w:sz w:val="18"/>
          <w:szCs w:val="18"/>
        </w:rPr>
        <w:t>Constitutionele toets</w:t>
      </w:r>
    </w:p>
    <w:p w:rsidRPr="00FA59C4" w:rsidR="00065DEA" w:rsidP="00065DEA" w:rsidRDefault="00065DEA" w14:paraId="71515C36" w14:textId="77777777">
      <w:pPr>
        <w:spacing w:line="360" w:lineRule="auto"/>
        <w:rPr>
          <w:rFonts w:ascii="Verdana" w:hAnsi="Verdana" w:eastAsia="MS PGothic"/>
          <w:sz w:val="18"/>
          <w:szCs w:val="18"/>
        </w:rPr>
      </w:pPr>
      <w:r>
        <w:rPr>
          <w:rFonts w:ascii="Verdana" w:hAnsi="Verdana" w:eastAsia="MS PGothic"/>
          <w:sz w:val="18"/>
          <w:szCs w:val="18"/>
        </w:rPr>
        <w:t>Niet van toepassing.</w:t>
      </w:r>
    </w:p>
    <w:p w:rsidRPr="000A28A7" w:rsidR="00065DEA" w:rsidP="00065DEA" w:rsidRDefault="00065DEA" w14:paraId="594B7EB9" w14:textId="77777777">
      <w:pPr>
        <w:tabs>
          <w:tab w:val="left" w:pos="-284"/>
          <w:tab w:val="left" w:pos="340"/>
          <w:tab w:val="left" w:pos="426"/>
          <w:tab w:val="left" w:pos="680"/>
          <w:tab w:val="left" w:pos="1021"/>
          <w:tab w:val="left" w:pos="1361"/>
        </w:tabs>
        <w:spacing w:line="360" w:lineRule="auto"/>
        <w:rPr>
          <w:rFonts w:ascii="Verdana" w:hAnsi="Verdana"/>
          <w:sz w:val="18"/>
          <w:szCs w:val="18"/>
          <w:u w:val="single"/>
        </w:rPr>
      </w:pPr>
    </w:p>
    <w:p w:rsidRPr="00214477" w:rsidR="00065DEA" w:rsidP="00214477" w:rsidRDefault="00065DEA" w14:paraId="404969D5" w14:textId="77777777">
      <w:pPr>
        <w:spacing w:line="360" w:lineRule="auto"/>
        <w:rPr>
          <w:rFonts w:ascii="Verdana" w:hAnsi="Verdana"/>
          <w:b/>
          <w:bCs/>
          <w:sz w:val="18"/>
          <w:szCs w:val="18"/>
        </w:rPr>
      </w:pPr>
      <w:r w:rsidRPr="00D56B7D">
        <w:rPr>
          <w:rFonts w:ascii="Verdana" w:hAnsi="Verdana"/>
          <w:b/>
          <w:bCs/>
          <w:sz w:val="18"/>
          <w:szCs w:val="18"/>
        </w:rPr>
        <w:t>7. Implicaties voor uitvoering en/of handhaving</w:t>
      </w:r>
    </w:p>
    <w:p w:rsidR="00C93418" w:rsidP="00C93418" w:rsidRDefault="00C93418" w14:paraId="191125C1" w14:textId="77777777">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Pr>
          <w:rFonts w:ascii="Verdana" w:hAnsi="Verdana"/>
          <w:sz w:val="18"/>
          <w:szCs w:val="18"/>
        </w:rPr>
        <w:t xml:space="preserve">Het voorstel zal naar verwachting </w:t>
      </w:r>
      <w:r>
        <w:rPr>
          <w:rFonts w:ascii="Verdana" w:hAnsi="Verdana" w:eastAsia="Verdana" w:cs="Verdana"/>
          <w:sz w:val="18"/>
          <w:szCs w:val="18"/>
        </w:rPr>
        <w:t>implicaties hebben voor de uitvoering voor gemeenten</w:t>
      </w:r>
      <w:r w:rsidRPr="00474CE8">
        <w:rPr>
          <w:rFonts w:ascii="Verdana" w:hAnsi="Verdana"/>
          <w:sz w:val="18"/>
          <w:szCs w:val="18"/>
        </w:rPr>
        <w:t>.</w:t>
      </w:r>
      <w:r>
        <w:rPr>
          <w:rFonts w:ascii="Verdana" w:hAnsi="Verdana"/>
          <w:sz w:val="18"/>
          <w:szCs w:val="18"/>
        </w:rPr>
        <w:t xml:space="preserve"> </w:t>
      </w:r>
      <w:r w:rsidRPr="684DF313">
        <w:rPr>
          <w:rFonts w:ascii="Verdana" w:hAnsi="Verdana"/>
          <w:sz w:val="18"/>
          <w:szCs w:val="18"/>
        </w:rPr>
        <w:t xml:space="preserve">Het invoeren van toekomstige maatregelen tegen toeristische verhuur </w:t>
      </w:r>
      <w:r>
        <w:rPr>
          <w:rFonts w:ascii="Verdana" w:hAnsi="Verdana"/>
          <w:sz w:val="18"/>
          <w:szCs w:val="18"/>
        </w:rPr>
        <w:t>en tegen de aankoop van woningen en grond, die niet bestemd zijn voor het bieden van primaire huisvesting, zal een meer uitgebreide</w:t>
      </w:r>
      <w:r w:rsidRPr="684DF313">
        <w:rPr>
          <w:rFonts w:ascii="Verdana" w:hAnsi="Verdana"/>
          <w:sz w:val="18"/>
          <w:szCs w:val="18"/>
        </w:rPr>
        <w:t xml:space="preserve"> onderbouwing van noodzaak</w:t>
      </w:r>
      <w:r>
        <w:rPr>
          <w:rFonts w:ascii="Verdana" w:hAnsi="Verdana"/>
          <w:sz w:val="18"/>
          <w:szCs w:val="18"/>
        </w:rPr>
        <w:t xml:space="preserve"> en</w:t>
      </w:r>
      <w:r w:rsidRPr="684DF313">
        <w:rPr>
          <w:rFonts w:ascii="Verdana" w:hAnsi="Verdana"/>
          <w:sz w:val="18"/>
          <w:szCs w:val="18"/>
        </w:rPr>
        <w:t xml:space="preserve"> proportionaliteit</w:t>
      </w:r>
      <w:r>
        <w:rPr>
          <w:rFonts w:ascii="Verdana" w:hAnsi="Verdana"/>
          <w:sz w:val="18"/>
          <w:szCs w:val="18"/>
        </w:rPr>
        <w:t xml:space="preserve"> vereisen</w:t>
      </w:r>
      <w:r w:rsidRPr="684DF313">
        <w:rPr>
          <w:rFonts w:ascii="Verdana" w:hAnsi="Verdana"/>
          <w:sz w:val="18"/>
          <w:szCs w:val="18"/>
        </w:rPr>
        <w:t xml:space="preserve"> dan nu het geval is. </w:t>
      </w:r>
      <w:r>
        <w:rPr>
          <w:rFonts w:ascii="Verdana" w:hAnsi="Verdana"/>
          <w:sz w:val="18"/>
          <w:szCs w:val="18"/>
        </w:rPr>
        <w:t>De voorwaarden voor het nemen van maatregelen die dit voorstel introduceert laten minder</w:t>
      </w:r>
      <w:r w:rsidRPr="684DF313">
        <w:rPr>
          <w:rFonts w:ascii="Verdana" w:hAnsi="Verdana"/>
          <w:sz w:val="18"/>
          <w:szCs w:val="18"/>
        </w:rPr>
        <w:t xml:space="preserve"> ruimte </w:t>
      </w:r>
      <w:r>
        <w:rPr>
          <w:rFonts w:ascii="Verdana" w:hAnsi="Verdana"/>
          <w:sz w:val="18"/>
          <w:szCs w:val="18"/>
        </w:rPr>
        <w:t>voor</w:t>
      </w:r>
      <w:r w:rsidRPr="684DF313">
        <w:rPr>
          <w:rFonts w:ascii="Verdana" w:hAnsi="Verdana"/>
          <w:sz w:val="18"/>
          <w:szCs w:val="18"/>
        </w:rPr>
        <w:t xml:space="preserve"> eigen beoordeling van de lokale situatie in gemeente</w:t>
      </w:r>
      <w:r>
        <w:rPr>
          <w:rFonts w:ascii="Verdana" w:hAnsi="Verdana"/>
          <w:sz w:val="18"/>
          <w:szCs w:val="18"/>
        </w:rPr>
        <w:t>n</w:t>
      </w:r>
      <w:r w:rsidRPr="684DF313">
        <w:rPr>
          <w:rFonts w:ascii="Verdana" w:hAnsi="Verdana"/>
          <w:sz w:val="18"/>
          <w:szCs w:val="18"/>
        </w:rPr>
        <w:t>. De implicaties van deze verordening voor de handhaving door gemeente</w:t>
      </w:r>
      <w:r>
        <w:rPr>
          <w:rFonts w:ascii="Verdana" w:hAnsi="Verdana"/>
          <w:sz w:val="18"/>
          <w:szCs w:val="18"/>
        </w:rPr>
        <w:t>n</w:t>
      </w:r>
      <w:r w:rsidRPr="684DF313">
        <w:rPr>
          <w:rFonts w:ascii="Verdana" w:hAnsi="Verdana"/>
          <w:sz w:val="18"/>
          <w:szCs w:val="18"/>
        </w:rPr>
        <w:t xml:space="preserve"> hangt af van welke maatregel een gemeente zelf kiest op basis van deze verordening. De verordening schrijft niet voor welke maatregelen genomen </w:t>
      </w:r>
      <w:r>
        <w:rPr>
          <w:rFonts w:ascii="Verdana" w:hAnsi="Verdana"/>
          <w:sz w:val="18"/>
          <w:szCs w:val="18"/>
        </w:rPr>
        <w:t>dienen te</w:t>
      </w:r>
      <w:r w:rsidRPr="684DF313">
        <w:rPr>
          <w:rFonts w:ascii="Verdana" w:hAnsi="Verdana"/>
          <w:sz w:val="18"/>
          <w:szCs w:val="18"/>
        </w:rPr>
        <w:t xml:space="preserve"> worden. </w:t>
      </w:r>
      <w:r>
        <w:rPr>
          <w:rFonts w:ascii="Verdana" w:hAnsi="Verdana"/>
          <w:sz w:val="18"/>
          <w:szCs w:val="18"/>
        </w:rPr>
        <w:t>Deze verordening heeft daarmee geen implicaties voor de</w:t>
      </w:r>
      <w:r w:rsidRPr="684DF313">
        <w:rPr>
          <w:rFonts w:ascii="Verdana" w:hAnsi="Verdana"/>
          <w:sz w:val="18"/>
          <w:szCs w:val="18"/>
        </w:rPr>
        <w:t xml:space="preserve"> uitvoerbaarheid van de handhaving. </w:t>
      </w:r>
    </w:p>
    <w:p w:rsidR="005C4961" w:rsidP="00065DEA" w:rsidRDefault="005C4961" w14:paraId="6AD9F2AE" w14:textId="77777777">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p>
    <w:p w:rsidR="005C4961" w:rsidP="009910B0" w:rsidRDefault="005C4961" w14:paraId="0E000353" w14:textId="5293A1ED">
      <w:pPr>
        <w:tabs>
          <w:tab w:val="left" w:pos="0"/>
          <w:tab w:val="left" w:pos="340"/>
          <w:tab w:val="left" w:pos="680"/>
          <w:tab w:val="left" w:pos="1021"/>
          <w:tab w:val="left" w:pos="1361"/>
          <w:tab w:val="left" w:pos="1701"/>
          <w:tab w:val="left" w:pos="3402"/>
        </w:tabs>
        <w:suppressAutoHyphens/>
        <w:spacing w:line="360" w:lineRule="auto"/>
        <w:rPr>
          <w:rFonts w:ascii="Verdana" w:hAnsi="Verdana"/>
          <w:sz w:val="18"/>
          <w:szCs w:val="18"/>
        </w:rPr>
      </w:pPr>
      <w:r w:rsidRPr="009910B0">
        <w:rPr>
          <w:rFonts w:ascii="Verdana" w:hAnsi="Verdana"/>
          <w:sz w:val="18"/>
          <w:szCs w:val="18"/>
        </w:rPr>
        <w:lastRenderedPageBreak/>
        <w:t>Het voorstel introduceert voor lidstaten monitoring- en rapportageverplichtingen in het geval</w:t>
      </w:r>
      <w:r w:rsidRPr="005F4658">
        <w:rPr>
          <w:rFonts w:ascii="Verdana" w:hAnsi="Verdana"/>
          <w:color w:val="000000" w:themeColor="text1"/>
          <w:sz w:val="18"/>
          <w:szCs w:val="18"/>
        </w:rPr>
        <w:t xml:space="preserve"> er statistische informatie verzameld moet worden. Indien deze informatie niet aansluit bij de bestaande nationale monitoringskaders is dit een kostbaar proces en kan dit leiden tot extra uitvoeringskosten voor het CBS.</w:t>
      </w:r>
    </w:p>
    <w:p w:rsidRPr="000A28A7" w:rsidR="00065DEA" w:rsidP="00065DEA" w:rsidRDefault="00065DEA" w14:paraId="72C776E1" w14:textId="77777777">
      <w:pPr>
        <w:suppressAutoHyphens/>
        <w:spacing w:line="360" w:lineRule="auto"/>
        <w:rPr>
          <w:rFonts w:ascii="Verdana" w:hAnsi="Verdana"/>
          <w:b/>
          <w:sz w:val="18"/>
          <w:szCs w:val="18"/>
        </w:rPr>
      </w:pPr>
    </w:p>
    <w:p w:rsidRPr="00214477" w:rsidR="00065DEA" w:rsidP="00214477" w:rsidRDefault="00065DEA" w14:paraId="69287FD6" w14:textId="77777777">
      <w:pPr>
        <w:spacing w:line="360" w:lineRule="auto"/>
        <w:rPr>
          <w:rFonts w:ascii="Verdana" w:hAnsi="Verdana"/>
          <w:b/>
          <w:bCs/>
          <w:sz w:val="18"/>
          <w:szCs w:val="18"/>
        </w:rPr>
      </w:pPr>
      <w:r w:rsidRPr="00D56B7D">
        <w:rPr>
          <w:rFonts w:ascii="Verdana" w:hAnsi="Verdana"/>
          <w:b/>
          <w:bCs/>
          <w:sz w:val="18"/>
          <w:szCs w:val="18"/>
        </w:rPr>
        <w:t>8. Implicaties voor ontwikkelingslanden</w:t>
      </w:r>
    </w:p>
    <w:p w:rsidR="00065DEA" w:rsidP="00065DEA" w:rsidRDefault="00065DEA" w14:paraId="51BD165F" w14:textId="77777777">
      <w:pPr>
        <w:tabs>
          <w:tab w:val="left" w:pos="0"/>
          <w:tab w:val="left" w:pos="340"/>
          <w:tab w:val="left" w:pos="680"/>
          <w:tab w:val="left" w:pos="1021"/>
          <w:tab w:val="left" w:pos="1361"/>
          <w:tab w:val="left" w:pos="1701"/>
          <w:tab w:val="left" w:pos="3402"/>
        </w:tabs>
        <w:suppressAutoHyphens/>
        <w:spacing w:line="360" w:lineRule="auto"/>
        <w:rPr>
          <w:rFonts w:ascii="Verdana" w:hAnsi="Verdana"/>
          <w:sz w:val="18"/>
          <w:szCs w:val="18"/>
        </w:rPr>
      </w:pPr>
      <w:r w:rsidRPr="002D61BD">
        <w:rPr>
          <w:rFonts w:ascii="Verdana" w:hAnsi="Verdana"/>
          <w:sz w:val="18"/>
          <w:szCs w:val="18"/>
        </w:rPr>
        <w:t>Er zijn geen verwachte implicaties voor ontwikkelingslanden, anders dan implicaties voor derde landen in het algemeen</w:t>
      </w:r>
      <w:r>
        <w:rPr>
          <w:rFonts w:ascii="Verdana" w:hAnsi="Verdana"/>
          <w:sz w:val="18"/>
          <w:szCs w:val="18"/>
        </w:rPr>
        <w:t>.</w:t>
      </w:r>
    </w:p>
    <w:bookmarkEnd w:id="0"/>
    <w:bookmarkEnd w:id="1"/>
    <w:p w:rsidRPr="00065DEA" w:rsidR="009A3B1D" w:rsidP="00FD3CE9" w:rsidRDefault="009A3B1D" w14:paraId="495EAF21" w14:textId="447B590F">
      <w:pPr>
        <w:spacing w:line="360" w:lineRule="auto"/>
      </w:pPr>
    </w:p>
    <w:sectPr w:rsidRPr="00065DEA" w:rsidR="009A3B1D" w:rsidSect="00D56B7D">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98DD" w14:textId="77777777" w:rsidR="00A154A6" w:rsidRDefault="00A154A6">
      <w:r>
        <w:separator/>
      </w:r>
    </w:p>
  </w:endnote>
  <w:endnote w:type="continuationSeparator" w:id="0">
    <w:p w14:paraId="4E103079" w14:textId="77777777" w:rsidR="00A154A6" w:rsidRDefault="00A15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A3D0" w14:textId="0AFF2410" w:rsidR="0037596E" w:rsidRDefault="00B30543">
    <w:pPr>
      <w:pStyle w:val="Footer"/>
      <w:framePr w:wrap="around"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79173826" wp14:editId="65EAAEC8">
              <wp:simplePos x="635" y="635"/>
              <wp:positionH relativeFrom="page">
                <wp:align>left</wp:align>
              </wp:positionH>
              <wp:positionV relativeFrom="page">
                <wp:align>bottom</wp:align>
              </wp:positionV>
              <wp:extent cx="1009015" cy="368300"/>
              <wp:effectExtent l="0" t="0" r="635" b="0"/>
              <wp:wrapNone/>
              <wp:docPr id="69006254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793D3B50" w14:textId="3D197482"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173826" id="_x0000_t202" coordsize="21600,21600" o:spt="202" path="m,l,21600r21600,l21600,xe">
              <v:stroke joinstyle="miter"/>
              <v:path gradientshapeok="t" o:connecttype="rect"/>
            </v:shapetype>
            <v:shape id="Tekstvak 2" o:spid="_x0000_s1026" type="#_x0000_t202" alt="Intern gebruik" style="position:absolute;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793D3B50" w14:textId="3D197482"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C41331">
      <w:rPr>
        <w:rStyle w:val="PageNumber"/>
        <w:noProof/>
      </w:rPr>
      <w:t>31</w:t>
    </w:r>
    <w:r w:rsidR="0037596E">
      <w:rPr>
        <w:rStyle w:val="PageNumber"/>
      </w:rPr>
      <w:fldChar w:fldCharType="end"/>
    </w:r>
  </w:p>
  <w:p w14:paraId="01643776" w14:textId="77777777" w:rsidR="0037596E" w:rsidRDefault="003759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B7F7" w14:textId="70FFA5DF" w:rsidR="0037596E" w:rsidRDefault="00B30543">
    <w:pPr>
      <w:pStyle w:val="Footer"/>
      <w:framePr w:wrap="around" w:vAnchor="text" w:hAnchor="margin" w:xAlign="right" w:y="1"/>
      <w:rPr>
        <w:rStyle w:val="PageNumber"/>
      </w:rPr>
    </w:pPr>
    <w:r>
      <w:rPr>
        <w:noProof/>
      </w:rPr>
      <mc:AlternateContent>
        <mc:Choice Requires="wps">
          <w:drawing>
            <wp:anchor distT="0" distB="0" distL="0" distR="0" simplePos="0" relativeHeight="251658242" behindDoc="0" locked="0" layoutInCell="1" allowOverlap="1" wp14:anchorId="1A8B5420" wp14:editId="4A4DEC0E">
              <wp:simplePos x="635" y="635"/>
              <wp:positionH relativeFrom="page">
                <wp:align>left</wp:align>
              </wp:positionH>
              <wp:positionV relativeFrom="page">
                <wp:align>bottom</wp:align>
              </wp:positionV>
              <wp:extent cx="1009015" cy="368300"/>
              <wp:effectExtent l="0" t="0" r="635" b="0"/>
              <wp:wrapNone/>
              <wp:docPr id="90127664"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5A5A94D1" w14:textId="600BECB1"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8B5420" id="_x0000_t202" coordsize="21600,21600" o:spt="202" path="m,l,21600r21600,l21600,xe">
              <v:stroke joinstyle="miter"/>
              <v:path gradientshapeok="t" o:connecttype="rect"/>
            </v:shapetype>
            <v:shape id="Tekstvak 3" o:spid="_x0000_s1027" type="#_x0000_t202" alt="Intern gebruik" style="position:absolute;margin-left:0;margin-top:0;width:79.4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5A5A94D1" w14:textId="600BECB1"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BB6361">
      <w:rPr>
        <w:rStyle w:val="PageNumber"/>
        <w:noProof/>
      </w:rPr>
      <w:t>6</w:t>
    </w:r>
    <w:r w:rsidR="0037596E">
      <w:rPr>
        <w:rStyle w:val="PageNumber"/>
      </w:rPr>
      <w:fldChar w:fldCharType="end"/>
    </w:r>
  </w:p>
  <w:p w14:paraId="6F8B3FD7" w14:textId="77777777" w:rsidR="0037596E" w:rsidRDefault="0037596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9289" w14:textId="66ADCBAA" w:rsidR="00EB0E7B" w:rsidRDefault="00B30543">
    <w:pPr>
      <w:pStyle w:val="Footer"/>
    </w:pPr>
    <w:r>
      <w:rPr>
        <w:noProof/>
      </w:rPr>
      <mc:AlternateContent>
        <mc:Choice Requires="wps">
          <w:drawing>
            <wp:anchor distT="0" distB="0" distL="0" distR="0" simplePos="0" relativeHeight="251658240" behindDoc="0" locked="0" layoutInCell="1" allowOverlap="1" wp14:anchorId="346B1452" wp14:editId="5CF08FC5">
              <wp:simplePos x="635" y="635"/>
              <wp:positionH relativeFrom="page">
                <wp:align>left</wp:align>
              </wp:positionH>
              <wp:positionV relativeFrom="page">
                <wp:align>bottom</wp:align>
              </wp:positionV>
              <wp:extent cx="1009015" cy="368300"/>
              <wp:effectExtent l="0" t="0" r="635" b="0"/>
              <wp:wrapNone/>
              <wp:docPr id="63974133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4EC25540" w14:textId="104D6619"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6B1452" id="_x0000_t202" coordsize="21600,21600" o:spt="202" path="m,l,21600r21600,l21600,xe">
              <v:stroke joinstyle="miter"/>
              <v:path gradientshapeok="t" o:connecttype="rect"/>
            </v:shapetype>
            <v:shape id="Tekstvak 1" o:spid="_x0000_s1028" type="#_x0000_t202" alt="Intern gebruik" style="position:absolute;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4EC25540" w14:textId="104D6619" w:rsidR="00B30543" w:rsidRPr="00B30543" w:rsidRDefault="00B30543" w:rsidP="00B30543">
                    <w:pPr>
                      <w:rPr>
                        <w:rFonts w:ascii="Aptos" w:eastAsia="Aptos" w:hAnsi="Aptos" w:cs="Aptos"/>
                        <w:noProof/>
                        <w:color w:val="000000"/>
                        <w:sz w:val="20"/>
                      </w:rPr>
                    </w:pPr>
                    <w:r w:rsidRPr="00B30543">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C686D" w14:textId="77777777" w:rsidR="00A154A6" w:rsidRDefault="00A154A6">
      <w:r>
        <w:separator/>
      </w:r>
    </w:p>
  </w:footnote>
  <w:footnote w:type="continuationSeparator" w:id="0">
    <w:p w14:paraId="4404249F" w14:textId="77777777" w:rsidR="00A154A6" w:rsidRDefault="00A154A6">
      <w:r>
        <w:continuationSeparator/>
      </w:r>
    </w:p>
  </w:footnote>
  <w:footnote w:id="1">
    <w:p w14:paraId="6543464B" w14:textId="77777777" w:rsidR="005B0D3F" w:rsidRPr="00720436" w:rsidRDefault="005B0D3F" w:rsidP="005B0D3F">
      <w:pPr>
        <w:pStyle w:val="FootnoteText"/>
        <w:rPr>
          <w:rFonts w:ascii="Verdana" w:hAnsi="Verdana"/>
          <w:sz w:val="14"/>
          <w:szCs w:val="14"/>
        </w:rPr>
      </w:pPr>
      <w:r w:rsidRPr="00934E61">
        <w:rPr>
          <w:rStyle w:val="FootnoteReference"/>
          <w:rFonts w:ascii="Verdana" w:hAnsi="Verdana"/>
          <w:szCs w:val="16"/>
        </w:rPr>
        <w:footnoteRef/>
      </w:r>
      <w:r w:rsidRPr="00934E61">
        <w:rPr>
          <w:rFonts w:ascii="Verdana" w:hAnsi="Verdana"/>
          <w:szCs w:val="16"/>
        </w:rPr>
        <w:t xml:space="preserve"> ‘Residentieel vastgoed’.</w:t>
      </w:r>
    </w:p>
  </w:footnote>
  <w:footnote w:id="2">
    <w:p w14:paraId="4E1072C6" w14:textId="77777777" w:rsidR="00065DEA" w:rsidRPr="00934E61" w:rsidRDefault="00065DEA" w:rsidP="00065DEA">
      <w:pPr>
        <w:pStyle w:val="FootnoteText"/>
        <w:rPr>
          <w:rFonts w:ascii="Verdana" w:hAnsi="Verdana"/>
        </w:rPr>
      </w:pPr>
      <w:r w:rsidRPr="00934E61">
        <w:rPr>
          <w:rStyle w:val="FootnoteReference"/>
          <w:rFonts w:ascii="Verdana" w:hAnsi="Verdana"/>
        </w:rPr>
        <w:footnoteRef/>
      </w:r>
      <w:r w:rsidRPr="00934E61">
        <w:rPr>
          <w:rFonts w:ascii="Verdana" w:hAnsi="Verdana"/>
        </w:rPr>
        <w:t xml:space="preserve"> Artikel 2, eerste lid, van de Huisvestingswet 2014</w:t>
      </w:r>
    </w:p>
  </w:footnote>
  <w:footnote w:id="3">
    <w:p w14:paraId="680FF3D0" w14:textId="77777777" w:rsidR="00065DEA" w:rsidRPr="00934E61" w:rsidRDefault="00065DEA" w:rsidP="00065DEA">
      <w:pPr>
        <w:pStyle w:val="FootnoteText"/>
        <w:rPr>
          <w:rFonts w:ascii="Verdana" w:hAnsi="Verdana"/>
        </w:rPr>
      </w:pPr>
      <w:r w:rsidRPr="00934E61">
        <w:rPr>
          <w:rStyle w:val="FootnoteReference"/>
          <w:rFonts w:ascii="Verdana" w:hAnsi="Verdana"/>
        </w:rPr>
        <w:footnoteRef/>
      </w:r>
      <w:r w:rsidRPr="00934E61">
        <w:rPr>
          <w:rFonts w:ascii="Verdana" w:hAnsi="Verdana"/>
        </w:rPr>
        <w:t xml:space="preserve"> Respectievelijk artikel 2, twee lid en artikel 40, eerste lid van de Huisvestingswet 2014</w:t>
      </w:r>
    </w:p>
  </w:footnote>
  <w:footnote w:id="4">
    <w:p w14:paraId="47096341" w14:textId="77777777" w:rsidR="00065DEA" w:rsidRPr="00FA59C4" w:rsidRDefault="00065DEA" w:rsidP="00065DEA">
      <w:pPr>
        <w:pStyle w:val="FootnoteText"/>
        <w:ind w:left="0" w:firstLine="0"/>
        <w:rPr>
          <w:rFonts w:ascii="Verdana" w:hAnsi="Verdana"/>
          <w:sz w:val="14"/>
          <w:szCs w:val="18"/>
        </w:rPr>
      </w:pPr>
      <w:r w:rsidRPr="00934E61">
        <w:rPr>
          <w:rStyle w:val="FootnoteReference"/>
          <w:rFonts w:ascii="Verdana" w:hAnsi="Verdana"/>
        </w:rPr>
        <w:footnoteRef/>
      </w:r>
      <w:r w:rsidRPr="00934E61">
        <w:rPr>
          <w:rFonts w:ascii="Verdana" w:hAnsi="Verdana"/>
        </w:rPr>
        <w:t xml:space="preserve"> De opkoopbescherming is recent geëvalueerd. Op basis van deze evaluatie zal het instrument worden aangepast waarvan het wetgevingsproces in het najaar van 2026 van start zal gaan</w:t>
      </w:r>
    </w:p>
  </w:footnote>
  <w:footnote w:id="5">
    <w:p w14:paraId="4E3195A5" w14:textId="77777777" w:rsidR="00065DEA" w:rsidRPr="00FA59C4" w:rsidRDefault="00065DEA" w:rsidP="00065DEA">
      <w:pPr>
        <w:pStyle w:val="FootnoteText"/>
        <w:rPr>
          <w:rFonts w:ascii="Verdana" w:hAnsi="Verdana"/>
          <w:sz w:val="14"/>
          <w:szCs w:val="18"/>
        </w:rPr>
      </w:pPr>
      <w:r w:rsidRPr="00934E61">
        <w:rPr>
          <w:rStyle w:val="FootnoteReference"/>
          <w:rFonts w:ascii="Verdana" w:hAnsi="Verdana"/>
        </w:rPr>
        <w:footnoteRef/>
      </w:r>
      <w:r w:rsidRPr="00934E61">
        <w:rPr>
          <w:rFonts w:ascii="Verdana" w:hAnsi="Verdana"/>
        </w:rPr>
        <w:t xml:space="preserve"> Kamerstukken 2025-2026, 22112, nr. 4274</w:t>
      </w:r>
    </w:p>
  </w:footnote>
  <w:footnote w:id="6">
    <w:p w14:paraId="27BBD3D0" w14:textId="33FB3015" w:rsidR="007A48B8" w:rsidRPr="00720436" w:rsidRDefault="007A48B8" w:rsidP="00720436">
      <w:pPr>
        <w:pStyle w:val="FootnoteText"/>
        <w:ind w:left="142" w:hanging="142"/>
        <w:rPr>
          <w:rFonts w:ascii="Verdana" w:hAnsi="Verdana"/>
          <w:sz w:val="14"/>
          <w:szCs w:val="14"/>
        </w:rPr>
      </w:pPr>
      <w:r w:rsidRPr="00934E61">
        <w:rPr>
          <w:rStyle w:val="FootnoteReference"/>
          <w:rFonts w:ascii="Verdana" w:hAnsi="Verdana"/>
          <w:szCs w:val="16"/>
        </w:rPr>
        <w:footnoteRef/>
      </w:r>
      <w:r w:rsidRPr="00934E61">
        <w:rPr>
          <w:rFonts w:ascii="Verdana" w:hAnsi="Verdana"/>
          <w:szCs w:val="16"/>
        </w:rPr>
        <w:t xml:space="preserve"> (Verordening (EU) 2024/1028 van het Europees Parlement en de Raad van 11 april 2024 betreffende het verzamelen en delen van</w:t>
      </w:r>
      <w:r w:rsidR="00720436" w:rsidRPr="00934E61">
        <w:rPr>
          <w:rFonts w:ascii="Verdana" w:hAnsi="Verdana"/>
          <w:szCs w:val="16"/>
        </w:rPr>
        <w:t xml:space="preserve"> </w:t>
      </w:r>
      <w:r w:rsidRPr="00934E61">
        <w:rPr>
          <w:rFonts w:ascii="Verdana" w:hAnsi="Verdana"/>
          <w:szCs w:val="16"/>
        </w:rPr>
        <w:t xml:space="preserve">gegevens met betrekking tot diensten voor </w:t>
      </w:r>
      <w:proofErr w:type="spellStart"/>
      <w:r w:rsidRPr="00934E61">
        <w:rPr>
          <w:rFonts w:ascii="Verdana" w:hAnsi="Verdana"/>
          <w:szCs w:val="16"/>
        </w:rPr>
        <w:t>kortetermijnverhuur</w:t>
      </w:r>
      <w:proofErr w:type="spellEnd"/>
      <w:r w:rsidRPr="00934E61">
        <w:rPr>
          <w:rFonts w:ascii="Verdana" w:hAnsi="Verdana"/>
          <w:szCs w:val="16"/>
        </w:rPr>
        <w:t xml:space="preserve"> van accommodatie).</w:t>
      </w:r>
    </w:p>
  </w:footnote>
  <w:footnote w:id="7">
    <w:p w14:paraId="5F236F80" w14:textId="77777777" w:rsidR="001C7BD5" w:rsidRPr="00934E61" w:rsidRDefault="001C7BD5" w:rsidP="001C7BD5">
      <w:pPr>
        <w:pStyle w:val="FootnoteText"/>
        <w:rPr>
          <w:rFonts w:ascii="Verdana" w:hAnsi="Verdana"/>
          <w:szCs w:val="16"/>
        </w:rPr>
      </w:pPr>
      <w:r w:rsidRPr="00934E61">
        <w:rPr>
          <w:rStyle w:val="FootnoteReference"/>
          <w:rFonts w:ascii="Verdana" w:hAnsi="Verdana"/>
          <w:szCs w:val="16"/>
        </w:rPr>
        <w:footnoteRef/>
      </w:r>
      <w:r w:rsidRPr="00934E61">
        <w:rPr>
          <w:rFonts w:ascii="Verdana" w:hAnsi="Verdana"/>
          <w:szCs w:val="16"/>
        </w:rPr>
        <w:t xml:space="preserve"> </w:t>
      </w:r>
      <w:hyperlink r:id="rId1" w:history="1">
        <w:r w:rsidRPr="00934E61">
          <w:rPr>
            <w:rStyle w:val="Hyperlink"/>
            <w:rFonts w:ascii="Verdana" w:hAnsi="Verdana"/>
            <w:szCs w:val="16"/>
          </w:rPr>
          <w:t>Uitspraak 202102768/1/A3, 202102675/1/A3 en 202102770/1/A3 | Raad van State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8DC0" w14:textId="77777777" w:rsidR="00BC410D" w:rsidRDefault="00BC4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8B01" w14:textId="77777777" w:rsidR="00BC410D" w:rsidRDefault="00BC4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B74A" w14:textId="77777777" w:rsidR="00BC410D" w:rsidRDefault="00BC4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1DA1"/>
    <w:multiLevelType w:val="hybridMultilevel"/>
    <w:tmpl w:val="1DD2758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35A1D27"/>
    <w:multiLevelType w:val="hybridMultilevel"/>
    <w:tmpl w:val="4836C1F2"/>
    <w:lvl w:ilvl="0" w:tplc="FBAEF022">
      <w:start w:val="1"/>
      <w:numFmt w:val="lowerLetter"/>
      <w:lvlText w:val="%1)"/>
      <w:lvlJc w:val="left"/>
      <w:pPr>
        <w:tabs>
          <w:tab w:val="num" w:pos="360"/>
        </w:tabs>
        <w:ind w:left="360" w:hanging="360"/>
      </w:pPr>
      <w:rPr>
        <w:rFonts w:ascii="Verdana" w:eastAsia="Times New Roman" w:hAnsi="Verdana" w:cs="Times New Roman"/>
        <w:color w:val="auto"/>
      </w:rPr>
    </w:lvl>
    <w:lvl w:ilvl="1" w:tplc="04130003">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164A467A"/>
    <w:multiLevelType w:val="hybridMultilevel"/>
    <w:tmpl w:val="6C22C40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223486"/>
    <w:multiLevelType w:val="hybridMultilevel"/>
    <w:tmpl w:val="784C56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9AC614A"/>
    <w:multiLevelType w:val="hybridMultilevel"/>
    <w:tmpl w:val="638A293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FF7594B"/>
    <w:multiLevelType w:val="hybridMultilevel"/>
    <w:tmpl w:val="2C0E8D5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94E04F2"/>
    <w:multiLevelType w:val="multilevel"/>
    <w:tmpl w:val="570CC336"/>
    <w:lvl w:ilvl="0">
      <w:start w:val="1"/>
      <w:numFmt w:val="decimal"/>
      <w:pStyle w:val="Heading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8" w15:restartNumberingAfterBreak="0">
    <w:nsid w:val="586012E4"/>
    <w:multiLevelType w:val="hybridMultilevel"/>
    <w:tmpl w:val="48C64CD0"/>
    <w:lvl w:ilvl="0" w:tplc="5904560A">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78FF33D9"/>
    <w:multiLevelType w:val="hybridMultilevel"/>
    <w:tmpl w:val="5818194E"/>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num w:numId="1" w16cid:durableId="1154834667">
    <w:abstractNumId w:val="7"/>
  </w:num>
  <w:num w:numId="2" w16cid:durableId="458649953">
    <w:abstractNumId w:val="3"/>
  </w:num>
  <w:num w:numId="3" w16cid:durableId="1367410250">
    <w:abstractNumId w:val="1"/>
  </w:num>
  <w:num w:numId="4" w16cid:durableId="1244876541">
    <w:abstractNumId w:val="0"/>
  </w:num>
  <w:num w:numId="5" w16cid:durableId="1793547866">
    <w:abstractNumId w:val="5"/>
  </w:num>
  <w:num w:numId="6" w16cid:durableId="84083502">
    <w:abstractNumId w:val="6"/>
  </w:num>
  <w:num w:numId="7" w16cid:durableId="770128307">
    <w:abstractNumId w:val="2"/>
  </w:num>
  <w:num w:numId="8" w16cid:durableId="1332566407">
    <w:abstractNumId w:val="10"/>
  </w:num>
  <w:num w:numId="9" w16cid:durableId="1486773835">
    <w:abstractNumId w:val="11"/>
  </w:num>
  <w:num w:numId="10" w16cid:durableId="1943685062">
    <w:abstractNumId w:val="9"/>
  </w:num>
  <w:num w:numId="11" w16cid:durableId="151416069">
    <w:abstractNumId w:val="8"/>
  </w:num>
  <w:num w:numId="12" w16cid:durableId="114288956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38CD"/>
    <w:rsid w:val="00007492"/>
    <w:rsid w:val="00007720"/>
    <w:rsid w:val="00015D77"/>
    <w:rsid w:val="00017316"/>
    <w:rsid w:val="00017FF1"/>
    <w:rsid w:val="00021406"/>
    <w:rsid w:val="00022335"/>
    <w:rsid w:val="000250E9"/>
    <w:rsid w:val="000308F0"/>
    <w:rsid w:val="00035EB9"/>
    <w:rsid w:val="00040586"/>
    <w:rsid w:val="000405AF"/>
    <w:rsid w:val="00041294"/>
    <w:rsid w:val="000412F0"/>
    <w:rsid w:val="000420B5"/>
    <w:rsid w:val="000464CE"/>
    <w:rsid w:val="000477EF"/>
    <w:rsid w:val="00047817"/>
    <w:rsid w:val="000478C2"/>
    <w:rsid w:val="00047C4B"/>
    <w:rsid w:val="00050B81"/>
    <w:rsid w:val="00051756"/>
    <w:rsid w:val="00053217"/>
    <w:rsid w:val="0005716C"/>
    <w:rsid w:val="0006055E"/>
    <w:rsid w:val="000615F5"/>
    <w:rsid w:val="00063EC0"/>
    <w:rsid w:val="00064D23"/>
    <w:rsid w:val="00065A40"/>
    <w:rsid w:val="00065DEA"/>
    <w:rsid w:val="00070503"/>
    <w:rsid w:val="00070A07"/>
    <w:rsid w:val="00071794"/>
    <w:rsid w:val="00072BDD"/>
    <w:rsid w:val="00076FC6"/>
    <w:rsid w:val="00077097"/>
    <w:rsid w:val="000773A2"/>
    <w:rsid w:val="00080563"/>
    <w:rsid w:val="000825DC"/>
    <w:rsid w:val="0008615E"/>
    <w:rsid w:val="00086FEE"/>
    <w:rsid w:val="00090961"/>
    <w:rsid w:val="00091853"/>
    <w:rsid w:val="0009364E"/>
    <w:rsid w:val="00094DBB"/>
    <w:rsid w:val="000A28A7"/>
    <w:rsid w:val="000B1EFE"/>
    <w:rsid w:val="000B5B42"/>
    <w:rsid w:val="000B5B49"/>
    <w:rsid w:val="000B7E4F"/>
    <w:rsid w:val="000C0026"/>
    <w:rsid w:val="000C1401"/>
    <w:rsid w:val="000C4244"/>
    <w:rsid w:val="000C447E"/>
    <w:rsid w:val="000C627E"/>
    <w:rsid w:val="000D2255"/>
    <w:rsid w:val="000D2E97"/>
    <w:rsid w:val="000D3F93"/>
    <w:rsid w:val="000D4EC2"/>
    <w:rsid w:val="000D79DA"/>
    <w:rsid w:val="000E1F75"/>
    <w:rsid w:val="000E4C7F"/>
    <w:rsid w:val="000F2325"/>
    <w:rsid w:val="000F34DC"/>
    <w:rsid w:val="000F62F6"/>
    <w:rsid w:val="001038F3"/>
    <w:rsid w:val="001046F3"/>
    <w:rsid w:val="001050E4"/>
    <w:rsid w:val="0010609F"/>
    <w:rsid w:val="00110787"/>
    <w:rsid w:val="0011120C"/>
    <w:rsid w:val="00113589"/>
    <w:rsid w:val="001203E7"/>
    <w:rsid w:val="00121366"/>
    <w:rsid w:val="00122451"/>
    <w:rsid w:val="00123A58"/>
    <w:rsid w:val="00124683"/>
    <w:rsid w:val="00124C0B"/>
    <w:rsid w:val="001260F0"/>
    <w:rsid w:val="0013047F"/>
    <w:rsid w:val="00132020"/>
    <w:rsid w:val="00132689"/>
    <w:rsid w:val="00133C46"/>
    <w:rsid w:val="00142545"/>
    <w:rsid w:val="00142B62"/>
    <w:rsid w:val="00154FCD"/>
    <w:rsid w:val="001639AF"/>
    <w:rsid w:val="00164AA0"/>
    <w:rsid w:val="00172364"/>
    <w:rsid w:val="001733BE"/>
    <w:rsid w:val="0017603F"/>
    <w:rsid w:val="001770E3"/>
    <w:rsid w:val="00181D59"/>
    <w:rsid w:val="0018227F"/>
    <w:rsid w:val="001848B8"/>
    <w:rsid w:val="0018540C"/>
    <w:rsid w:val="00191090"/>
    <w:rsid w:val="00192B3F"/>
    <w:rsid w:val="00193F94"/>
    <w:rsid w:val="00194E45"/>
    <w:rsid w:val="001A36A2"/>
    <w:rsid w:val="001A6AF0"/>
    <w:rsid w:val="001A72A7"/>
    <w:rsid w:val="001B29F8"/>
    <w:rsid w:val="001C26BC"/>
    <w:rsid w:val="001C26CA"/>
    <w:rsid w:val="001C53CB"/>
    <w:rsid w:val="001C64A6"/>
    <w:rsid w:val="001C7BD5"/>
    <w:rsid w:val="001D180C"/>
    <w:rsid w:val="001D3D91"/>
    <w:rsid w:val="001E1711"/>
    <w:rsid w:val="001E23C1"/>
    <w:rsid w:val="001E30D9"/>
    <w:rsid w:val="001E3E3A"/>
    <w:rsid w:val="001E7161"/>
    <w:rsid w:val="001E7FC2"/>
    <w:rsid w:val="001F1104"/>
    <w:rsid w:val="0020089E"/>
    <w:rsid w:val="00203FAE"/>
    <w:rsid w:val="0020404E"/>
    <w:rsid w:val="00204A85"/>
    <w:rsid w:val="00205FCD"/>
    <w:rsid w:val="00206345"/>
    <w:rsid w:val="002074F8"/>
    <w:rsid w:val="00211D9F"/>
    <w:rsid w:val="00213D52"/>
    <w:rsid w:val="00214477"/>
    <w:rsid w:val="00214630"/>
    <w:rsid w:val="0021593A"/>
    <w:rsid w:val="002166BF"/>
    <w:rsid w:val="00221CE8"/>
    <w:rsid w:val="00222FA2"/>
    <w:rsid w:val="00226196"/>
    <w:rsid w:val="002321CB"/>
    <w:rsid w:val="00232CB2"/>
    <w:rsid w:val="00233D56"/>
    <w:rsid w:val="0023795E"/>
    <w:rsid w:val="00237D41"/>
    <w:rsid w:val="002400DB"/>
    <w:rsid w:val="00240E28"/>
    <w:rsid w:val="00241212"/>
    <w:rsid w:val="00242548"/>
    <w:rsid w:val="0024424C"/>
    <w:rsid w:val="00253A74"/>
    <w:rsid w:val="00253BB4"/>
    <w:rsid w:val="002567D3"/>
    <w:rsid w:val="00257B80"/>
    <w:rsid w:val="0026031C"/>
    <w:rsid w:val="002604E5"/>
    <w:rsid w:val="002631D8"/>
    <w:rsid w:val="00264C0C"/>
    <w:rsid w:val="002715A9"/>
    <w:rsid w:val="0027194A"/>
    <w:rsid w:val="00271A4C"/>
    <w:rsid w:val="00274E34"/>
    <w:rsid w:val="00275F56"/>
    <w:rsid w:val="00282AEA"/>
    <w:rsid w:val="00282FAD"/>
    <w:rsid w:val="002831D0"/>
    <w:rsid w:val="00285EDD"/>
    <w:rsid w:val="0028728F"/>
    <w:rsid w:val="0028745B"/>
    <w:rsid w:val="00290544"/>
    <w:rsid w:val="002A022D"/>
    <w:rsid w:val="002A2155"/>
    <w:rsid w:val="002A4892"/>
    <w:rsid w:val="002A563F"/>
    <w:rsid w:val="002A5FD2"/>
    <w:rsid w:val="002A77FE"/>
    <w:rsid w:val="002A7FBB"/>
    <w:rsid w:val="002A7FC4"/>
    <w:rsid w:val="002B0450"/>
    <w:rsid w:val="002B154F"/>
    <w:rsid w:val="002B2659"/>
    <w:rsid w:val="002B4ACD"/>
    <w:rsid w:val="002B59DE"/>
    <w:rsid w:val="002B7387"/>
    <w:rsid w:val="002B76EC"/>
    <w:rsid w:val="002C047F"/>
    <w:rsid w:val="002C3954"/>
    <w:rsid w:val="002C5573"/>
    <w:rsid w:val="002C5CF0"/>
    <w:rsid w:val="002D0844"/>
    <w:rsid w:val="002D1ACF"/>
    <w:rsid w:val="002D5785"/>
    <w:rsid w:val="002D61BD"/>
    <w:rsid w:val="002E151E"/>
    <w:rsid w:val="002E3BAF"/>
    <w:rsid w:val="002F03ED"/>
    <w:rsid w:val="002F2E18"/>
    <w:rsid w:val="002F79ED"/>
    <w:rsid w:val="00302C21"/>
    <w:rsid w:val="003045E5"/>
    <w:rsid w:val="00306AC9"/>
    <w:rsid w:val="00312A32"/>
    <w:rsid w:val="00312C5D"/>
    <w:rsid w:val="0031366B"/>
    <w:rsid w:val="003136EC"/>
    <w:rsid w:val="00320279"/>
    <w:rsid w:val="00320AA6"/>
    <w:rsid w:val="003242B3"/>
    <w:rsid w:val="00325774"/>
    <w:rsid w:val="0032712E"/>
    <w:rsid w:val="00327671"/>
    <w:rsid w:val="0033454B"/>
    <w:rsid w:val="00336055"/>
    <w:rsid w:val="003433CD"/>
    <w:rsid w:val="00343BE4"/>
    <w:rsid w:val="0034668A"/>
    <w:rsid w:val="003467CB"/>
    <w:rsid w:val="00350243"/>
    <w:rsid w:val="0035177E"/>
    <w:rsid w:val="00351AD4"/>
    <w:rsid w:val="00351BA2"/>
    <w:rsid w:val="003549E8"/>
    <w:rsid w:val="00355463"/>
    <w:rsid w:val="00364476"/>
    <w:rsid w:val="00366CDF"/>
    <w:rsid w:val="00372AB4"/>
    <w:rsid w:val="003752B9"/>
    <w:rsid w:val="0037596E"/>
    <w:rsid w:val="003801A2"/>
    <w:rsid w:val="0038433C"/>
    <w:rsid w:val="00387307"/>
    <w:rsid w:val="003909A3"/>
    <w:rsid w:val="003910AB"/>
    <w:rsid w:val="00394C66"/>
    <w:rsid w:val="00395111"/>
    <w:rsid w:val="003958CE"/>
    <w:rsid w:val="00395CA0"/>
    <w:rsid w:val="00396518"/>
    <w:rsid w:val="00397D78"/>
    <w:rsid w:val="003A135B"/>
    <w:rsid w:val="003A2700"/>
    <w:rsid w:val="003A2E4E"/>
    <w:rsid w:val="003A43E9"/>
    <w:rsid w:val="003A7AD9"/>
    <w:rsid w:val="003B0D1B"/>
    <w:rsid w:val="003B176E"/>
    <w:rsid w:val="003B4982"/>
    <w:rsid w:val="003B540C"/>
    <w:rsid w:val="003C0C6D"/>
    <w:rsid w:val="003C244D"/>
    <w:rsid w:val="003C2FEC"/>
    <w:rsid w:val="003C4587"/>
    <w:rsid w:val="003C6A12"/>
    <w:rsid w:val="003E5E3A"/>
    <w:rsid w:val="003E6F63"/>
    <w:rsid w:val="003F15F3"/>
    <w:rsid w:val="003F4920"/>
    <w:rsid w:val="003F744A"/>
    <w:rsid w:val="004023C1"/>
    <w:rsid w:val="00405CC8"/>
    <w:rsid w:val="004102D6"/>
    <w:rsid w:val="00410D10"/>
    <w:rsid w:val="00412EE6"/>
    <w:rsid w:val="00415618"/>
    <w:rsid w:val="00416E39"/>
    <w:rsid w:val="0041781D"/>
    <w:rsid w:val="0042358F"/>
    <w:rsid w:val="004245A2"/>
    <w:rsid w:val="00426832"/>
    <w:rsid w:val="00434A7A"/>
    <w:rsid w:val="00436494"/>
    <w:rsid w:val="00441826"/>
    <w:rsid w:val="00441B6A"/>
    <w:rsid w:val="00442B48"/>
    <w:rsid w:val="00442CF7"/>
    <w:rsid w:val="0044403C"/>
    <w:rsid w:val="004442AE"/>
    <w:rsid w:val="0044725B"/>
    <w:rsid w:val="00447F6E"/>
    <w:rsid w:val="00450DB5"/>
    <w:rsid w:val="00450FFF"/>
    <w:rsid w:val="004533BE"/>
    <w:rsid w:val="00462BB2"/>
    <w:rsid w:val="00462CFD"/>
    <w:rsid w:val="00465310"/>
    <w:rsid w:val="004655C5"/>
    <w:rsid w:val="00466F5F"/>
    <w:rsid w:val="00470602"/>
    <w:rsid w:val="00470F2D"/>
    <w:rsid w:val="00474CE8"/>
    <w:rsid w:val="00475C97"/>
    <w:rsid w:val="00483C06"/>
    <w:rsid w:val="00484579"/>
    <w:rsid w:val="00485987"/>
    <w:rsid w:val="00485FEA"/>
    <w:rsid w:val="004A14B2"/>
    <w:rsid w:val="004A587D"/>
    <w:rsid w:val="004A6276"/>
    <w:rsid w:val="004A6641"/>
    <w:rsid w:val="004A683B"/>
    <w:rsid w:val="004A7E1B"/>
    <w:rsid w:val="004B6424"/>
    <w:rsid w:val="004B72A1"/>
    <w:rsid w:val="004C6F32"/>
    <w:rsid w:val="004C74E5"/>
    <w:rsid w:val="004D59BD"/>
    <w:rsid w:val="004D61CE"/>
    <w:rsid w:val="004E4D81"/>
    <w:rsid w:val="004F12C9"/>
    <w:rsid w:val="004F5650"/>
    <w:rsid w:val="00500063"/>
    <w:rsid w:val="005004DF"/>
    <w:rsid w:val="00504939"/>
    <w:rsid w:val="0050664F"/>
    <w:rsid w:val="005073F8"/>
    <w:rsid w:val="0051155B"/>
    <w:rsid w:val="00514B8D"/>
    <w:rsid w:val="005176AD"/>
    <w:rsid w:val="0052202E"/>
    <w:rsid w:val="00523046"/>
    <w:rsid w:val="00523E27"/>
    <w:rsid w:val="00524BA9"/>
    <w:rsid w:val="005253AB"/>
    <w:rsid w:val="00525EF6"/>
    <w:rsid w:val="00526DD7"/>
    <w:rsid w:val="00527EED"/>
    <w:rsid w:val="0053321E"/>
    <w:rsid w:val="00533C22"/>
    <w:rsid w:val="00534E54"/>
    <w:rsid w:val="005358A4"/>
    <w:rsid w:val="00537131"/>
    <w:rsid w:val="00540611"/>
    <w:rsid w:val="005413DE"/>
    <w:rsid w:val="00543E94"/>
    <w:rsid w:val="005471E9"/>
    <w:rsid w:val="005474AF"/>
    <w:rsid w:val="00551621"/>
    <w:rsid w:val="005519D4"/>
    <w:rsid w:val="0055484E"/>
    <w:rsid w:val="00555A88"/>
    <w:rsid w:val="00556F34"/>
    <w:rsid w:val="005570BA"/>
    <w:rsid w:val="00564C2D"/>
    <w:rsid w:val="0056694F"/>
    <w:rsid w:val="0056772A"/>
    <w:rsid w:val="00575327"/>
    <w:rsid w:val="00575FAA"/>
    <w:rsid w:val="005760E2"/>
    <w:rsid w:val="00576364"/>
    <w:rsid w:val="00576742"/>
    <w:rsid w:val="00577889"/>
    <w:rsid w:val="0058166D"/>
    <w:rsid w:val="005818DA"/>
    <w:rsid w:val="00581A6D"/>
    <w:rsid w:val="00596020"/>
    <w:rsid w:val="005A0EC0"/>
    <w:rsid w:val="005A29AE"/>
    <w:rsid w:val="005A2A53"/>
    <w:rsid w:val="005A32FF"/>
    <w:rsid w:val="005A39F9"/>
    <w:rsid w:val="005B0D3F"/>
    <w:rsid w:val="005B0D8E"/>
    <w:rsid w:val="005B3D67"/>
    <w:rsid w:val="005C21DF"/>
    <w:rsid w:val="005C2505"/>
    <w:rsid w:val="005C4961"/>
    <w:rsid w:val="005C4EB6"/>
    <w:rsid w:val="005C4FBE"/>
    <w:rsid w:val="005C5AF3"/>
    <w:rsid w:val="005C6340"/>
    <w:rsid w:val="005C6F35"/>
    <w:rsid w:val="005D2749"/>
    <w:rsid w:val="005D2D08"/>
    <w:rsid w:val="005D34F2"/>
    <w:rsid w:val="005D47F0"/>
    <w:rsid w:val="005D4DB0"/>
    <w:rsid w:val="005D7C23"/>
    <w:rsid w:val="005E21FC"/>
    <w:rsid w:val="005E40C3"/>
    <w:rsid w:val="005E5D73"/>
    <w:rsid w:val="005F0A4B"/>
    <w:rsid w:val="005F2151"/>
    <w:rsid w:val="005F4658"/>
    <w:rsid w:val="005F5D53"/>
    <w:rsid w:val="005F7448"/>
    <w:rsid w:val="005F7FBD"/>
    <w:rsid w:val="006010D5"/>
    <w:rsid w:val="00601543"/>
    <w:rsid w:val="00602F36"/>
    <w:rsid w:val="00603C4D"/>
    <w:rsid w:val="00607791"/>
    <w:rsid w:val="0061279A"/>
    <w:rsid w:val="00613595"/>
    <w:rsid w:val="006165F1"/>
    <w:rsid w:val="006168F2"/>
    <w:rsid w:val="00617505"/>
    <w:rsid w:val="0062494E"/>
    <w:rsid w:val="006262FE"/>
    <w:rsid w:val="00631B4D"/>
    <w:rsid w:val="00631DAF"/>
    <w:rsid w:val="00632F8B"/>
    <w:rsid w:val="0063363C"/>
    <w:rsid w:val="00633D25"/>
    <w:rsid w:val="00633FD2"/>
    <w:rsid w:val="00635B81"/>
    <w:rsid w:val="006376B4"/>
    <w:rsid w:val="00644391"/>
    <w:rsid w:val="00644799"/>
    <w:rsid w:val="00646366"/>
    <w:rsid w:val="00647790"/>
    <w:rsid w:val="006477DE"/>
    <w:rsid w:val="006510F0"/>
    <w:rsid w:val="00652431"/>
    <w:rsid w:val="006526F2"/>
    <w:rsid w:val="006604EA"/>
    <w:rsid w:val="00663744"/>
    <w:rsid w:val="00670E23"/>
    <w:rsid w:val="00671DAF"/>
    <w:rsid w:val="00672B4A"/>
    <w:rsid w:val="00677382"/>
    <w:rsid w:val="00677ADD"/>
    <w:rsid w:val="00677BB3"/>
    <w:rsid w:val="00677D05"/>
    <w:rsid w:val="00677FEC"/>
    <w:rsid w:val="006864B7"/>
    <w:rsid w:val="00687108"/>
    <w:rsid w:val="0069095F"/>
    <w:rsid w:val="0069097B"/>
    <w:rsid w:val="0069181B"/>
    <w:rsid w:val="00691BF7"/>
    <w:rsid w:val="00691ED8"/>
    <w:rsid w:val="00692037"/>
    <w:rsid w:val="0069223F"/>
    <w:rsid w:val="006A1142"/>
    <w:rsid w:val="006A30DC"/>
    <w:rsid w:val="006B205F"/>
    <w:rsid w:val="006B26E5"/>
    <w:rsid w:val="006B3470"/>
    <w:rsid w:val="006B54B3"/>
    <w:rsid w:val="006C6524"/>
    <w:rsid w:val="006D1D47"/>
    <w:rsid w:val="006E34EC"/>
    <w:rsid w:val="006E4256"/>
    <w:rsid w:val="006E5CA5"/>
    <w:rsid w:val="006F0455"/>
    <w:rsid w:val="006F69CF"/>
    <w:rsid w:val="006F6F67"/>
    <w:rsid w:val="00701758"/>
    <w:rsid w:val="00702B95"/>
    <w:rsid w:val="00704351"/>
    <w:rsid w:val="00705A19"/>
    <w:rsid w:val="00705F5D"/>
    <w:rsid w:val="00707C49"/>
    <w:rsid w:val="0071092B"/>
    <w:rsid w:val="00712C4A"/>
    <w:rsid w:val="007176F4"/>
    <w:rsid w:val="00720436"/>
    <w:rsid w:val="007215BE"/>
    <w:rsid w:val="007275A5"/>
    <w:rsid w:val="007319D1"/>
    <w:rsid w:val="00733D57"/>
    <w:rsid w:val="007348DB"/>
    <w:rsid w:val="007352AA"/>
    <w:rsid w:val="00735FCC"/>
    <w:rsid w:val="007413C8"/>
    <w:rsid w:val="00741B39"/>
    <w:rsid w:val="00741D24"/>
    <w:rsid w:val="00743B1E"/>
    <w:rsid w:val="007441B5"/>
    <w:rsid w:val="00746E6B"/>
    <w:rsid w:val="0075043E"/>
    <w:rsid w:val="00751687"/>
    <w:rsid w:val="00752364"/>
    <w:rsid w:val="00752E16"/>
    <w:rsid w:val="00753F0E"/>
    <w:rsid w:val="00754CFF"/>
    <w:rsid w:val="00757062"/>
    <w:rsid w:val="00757EB1"/>
    <w:rsid w:val="0076109C"/>
    <w:rsid w:val="007613C5"/>
    <w:rsid w:val="007636A1"/>
    <w:rsid w:val="0076572D"/>
    <w:rsid w:val="00771C79"/>
    <w:rsid w:val="00774717"/>
    <w:rsid w:val="00780782"/>
    <w:rsid w:val="00782706"/>
    <w:rsid w:val="007833A7"/>
    <w:rsid w:val="00784CAA"/>
    <w:rsid w:val="00790C6F"/>
    <w:rsid w:val="00794827"/>
    <w:rsid w:val="0079585E"/>
    <w:rsid w:val="007A12E7"/>
    <w:rsid w:val="007A2E2F"/>
    <w:rsid w:val="007A48B8"/>
    <w:rsid w:val="007A5B93"/>
    <w:rsid w:val="007A65C4"/>
    <w:rsid w:val="007A6B85"/>
    <w:rsid w:val="007A72F9"/>
    <w:rsid w:val="007B010A"/>
    <w:rsid w:val="007B421D"/>
    <w:rsid w:val="007B4313"/>
    <w:rsid w:val="007B444A"/>
    <w:rsid w:val="007B5F5E"/>
    <w:rsid w:val="007B61AE"/>
    <w:rsid w:val="007B66D0"/>
    <w:rsid w:val="007B7709"/>
    <w:rsid w:val="007B7D36"/>
    <w:rsid w:val="007C2D2E"/>
    <w:rsid w:val="007C2F06"/>
    <w:rsid w:val="007C4939"/>
    <w:rsid w:val="007C575F"/>
    <w:rsid w:val="007D256D"/>
    <w:rsid w:val="007D4981"/>
    <w:rsid w:val="007D54AC"/>
    <w:rsid w:val="007E0CD8"/>
    <w:rsid w:val="007E1DBF"/>
    <w:rsid w:val="007E5A2F"/>
    <w:rsid w:val="007F0426"/>
    <w:rsid w:val="007F1732"/>
    <w:rsid w:val="007F55D7"/>
    <w:rsid w:val="007F66B8"/>
    <w:rsid w:val="00802914"/>
    <w:rsid w:val="008039AE"/>
    <w:rsid w:val="0080658D"/>
    <w:rsid w:val="008104E2"/>
    <w:rsid w:val="00812FA9"/>
    <w:rsid w:val="008144FA"/>
    <w:rsid w:val="00823569"/>
    <w:rsid w:val="00824CDB"/>
    <w:rsid w:val="00825DFF"/>
    <w:rsid w:val="00826615"/>
    <w:rsid w:val="0083164E"/>
    <w:rsid w:val="00834E1F"/>
    <w:rsid w:val="00842E6D"/>
    <w:rsid w:val="00843B9A"/>
    <w:rsid w:val="0084454F"/>
    <w:rsid w:val="0084710C"/>
    <w:rsid w:val="0084764F"/>
    <w:rsid w:val="00851A06"/>
    <w:rsid w:val="00851B28"/>
    <w:rsid w:val="00852EDA"/>
    <w:rsid w:val="0085307D"/>
    <w:rsid w:val="00856804"/>
    <w:rsid w:val="00856846"/>
    <w:rsid w:val="00863874"/>
    <w:rsid w:val="0086603C"/>
    <w:rsid w:val="00871AD0"/>
    <w:rsid w:val="008721E4"/>
    <w:rsid w:val="00874DF6"/>
    <w:rsid w:val="008779BD"/>
    <w:rsid w:val="00880CBF"/>
    <w:rsid w:val="0088457E"/>
    <w:rsid w:val="00885922"/>
    <w:rsid w:val="00890EF2"/>
    <w:rsid w:val="0089345E"/>
    <w:rsid w:val="00894854"/>
    <w:rsid w:val="00895D90"/>
    <w:rsid w:val="008970AE"/>
    <w:rsid w:val="008A1717"/>
    <w:rsid w:val="008A2B13"/>
    <w:rsid w:val="008A31A4"/>
    <w:rsid w:val="008A72AD"/>
    <w:rsid w:val="008A7BA8"/>
    <w:rsid w:val="008B2FEA"/>
    <w:rsid w:val="008B3AAD"/>
    <w:rsid w:val="008B72C0"/>
    <w:rsid w:val="008C1E1C"/>
    <w:rsid w:val="008C2083"/>
    <w:rsid w:val="008C238A"/>
    <w:rsid w:val="008C4F2E"/>
    <w:rsid w:val="008C78AE"/>
    <w:rsid w:val="008D324A"/>
    <w:rsid w:val="008D3C1C"/>
    <w:rsid w:val="008D49AC"/>
    <w:rsid w:val="008D737C"/>
    <w:rsid w:val="008D753F"/>
    <w:rsid w:val="008E07BE"/>
    <w:rsid w:val="008E11A3"/>
    <w:rsid w:val="008E1384"/>
    <w:rsid w:val="008E2078"/>
    <w:rsid w:val="008E20CC"/>
    <w:rsid w:val="008E2D7A"/>
    <w:rsid w:val="008E2FC7"/>
    <w:rsid w:val="008E3734"/>
    <w:rsid w:val="008E4DC5"/>
    <w:rsid w:val="008E65F8"/>
    <w:rsid w:val="008E7C96"/>
    <w:rsid w:val="008F7BC5"/>
    <w:rsid w:val="0090089A"/>
    <w:rsid w:val="0090353C"/>
    <w:rsid w:val="00906157"/>
    <w:rsid w:val="00907431"/>
    <w:rsid w:val="0091359C"/>
    <w:rsid w:val="009140FA"/>
    <w:rsid w:val="0091593C"/>
    <w:rsid w:val="0091665B"/>
    <w:rsid w:val="009169E8"/>
    <w:rsid w:val="00922A3D"/>
    <w:rsid w:val="00923422"/>
    <w:rsid w:val="00925000"/>
    <w:rsid w:val="00926DDC"/>
    <w:rsid w:val="00927372"/>
    <w:rsid w:val="00934E61"/>
    <w:rsid w:val="009402CC"/>
    <w:rsid w:val="0094072D"/>
    <w:rsid w:val="00941B82"/>
    <w:rsid w:val="00943BB8"/>
    <w:rsid w:val="00944F3B"/>
    <w:rsid w:val="00947F2D"/>
    <w:rsid w:val="009517E0"/>
    <w:rsid w:val="009522CD"/>
    <w:rsid w:val="00952E5C"/>
    <w:rsid w:val="0095574F"/>
    <w:rsid w:val="009577A3"/>
    <w:rsid w:val="00960DF6"/>
    <w:rsid w:val="00961E23"/>
    <w:rsid w:val="009646C2"/>
    <w:rsid w:val="0096642D"/>
    <w:rsid w:val="00971FCE"/>
    <w:rsid w:val="00973B99"/>
    <w:rsid w:val="0097614E"/>
    <w:rsid w:val="00981640"/>
    <w:rsid w:val="00981F10"/>
    <w:rsid w:val="00985414"/>
    <w:rsid w:val="00987799"/>
    <w:rsid w:val="00987B6F"/>
    <w:rsid w:val="00990555"/>
    <w:rsid w:val="0099096A"/>
    <w:rsid w:val="009910B0"/>
    <w:rsid w:val="00995A5E"/>
    <w:rsid w:val="00995FBD"/>
    <w:rsid w:val="00995FF8"/>
    <w:rsid w:val="0099779B"/>
    <w:rsid w:val="00997FA2"/>
    <w:rsid w:val="009A0144"/>
    <w:rsid w:val="009A32EA"/>
    <w:rsid w:val="009A3B1D"/>
    <w:rsid w:val="009A6D4B"/>
    <w:rsid w:val="009B0176"/>
    <w:rsid w:val="009B0682"/>
    <w:rsid w:val="009B3157"/>
    <w:rsid w:val="009B4147"/>
    <w:rsid w:val="009B4D0D"/>
    <w:rsid w:val="009B4D39"/>
    <w:rsid w:val="009B4EFD"/>
    <w:rsid w:val="009B5C87"/>
    <w:rsid w:val="009B60D8"/>
    <w:rsid w:val="009B6937"/>
    <w:rsid w:val="009B7BB0"/>
    <w:rsid w:val="009C1723"/>
    <w:rsid w:val="009C6827"/>
    <w:rsid w:val="009D0354"/>
    <w:rsid w:val="009D51BC"/>
    <w:rsid w:val="009D5A21"/>
    <w:rsid w:val="009D5C50"/>
    <w:rsid w:val="009D7E53"/>
    <w:rsid w:val="009D7F3A"/>
    <w:rsid w:val="009E0A83"/>
    <w:rsid w:val="009E10FA"/>
    <w:rsid w:val="009E12B8"/>
    <w:rsid w:val="009E279F"/>
    <w:rsid w:val="009E63CF"/>
    <w:rsid w:val="009F3B2F"/>
    <w:rsid w:val="009F3F25"/>
    <w:rsid w:val="009F4AF8"/>
    <w:rsid w:val="009F5917"/>
    <w:rsid w:val="009F5978"/>
    <w:rsid w:val="009F6CF4"/>
    <w:rsid w:val="00A015F7"/>
    <w:rsid w:val="00A0359A"/>
    <w:rsid w:val="00A039C6"/>
    <w:rsid w:val="00A061A7"/>
    <w:rsid w:val="00A154A6"/>
    <w:rsid w:val="00A15B58"/>
    <w:rsid w:val="00A16831"/>
    <w:rsid w:val="00A21B0D"/>
    <w:rsid w:val="00A22827"/>
    <w:rsid w:val="00A23FD0"/>
    <w:rsid w:val="00A26251"/>
    <w:rsid w:val="00A26643"/>
    <w:rsid w:val="00A31D70"/>
    <w:rsid w:val="00A35A58"/>
    <w:rsid w:val="00A36B97"/>
    <w:rsid w:val="00A37DF1"/>
    <w:rsid w:val="00A40397"/>
    <w:rsid w:val="00A42E7B"/>
    <w:rsid w:val="00A449B0"/>
    <w:rsid w:val="00A462B9"/>
    <w:rsid w:val="00A46EDB"/>
    <w:rsid w:val="00A47F43"/>
    <w:rsid w:val="00A5027E"/>
    <w:rsid w:val="00A515E7"/>
    <w:rsid w:val="00A51C9D"/>
    <w:rsid w:val="00A52944"/>
    <w:rsid w:val="00A63504"/>
    <w:rsid w:val="00A6469B"/>
    <w:rsid w:val="00A70069"/>
    <w:rsid w:val="00A76818"/>
    <w:rsid w:val="00A77EBA"/>
    <w:rsid w:val="00A8285F"/>
    <w:rsid w:val="00A83CAD"/>
    <w:rsid w:val="00A84CF0"/>
    <w:rsid w:val="00A850DA"/>
    <w:rsid w:val="00A8698A"/>
    <w:rsid w:val="00A92838"/>
    <w:rsid w:val="00A94C59"/>
    <w:rsid w:val="00A95DBD"/>
    <w:rsid w:val="00AA1EF6"/>
    <w:rsid w:val="00AA34A7"/>
    <w:rsid w:val="00AA4B6A"/>
    <w:rsid w:val="00AB06A1"/>
    <w:rsid w:val="00AB2EFA"/>
    <w:rsid w:val="00AB482D"/>
    <w:rsid w:val="00AB6341"/>
    <w:rsid w:val="00AB7986"/>
    <w:rsid w:val="00AD0F3C"/>
    <w:rsid w:val="00AD3AD7"/>
    <w:rsid w:val="00AD5385"/>
    <w:rsid w:val="00AD6D74"/>
    <w:rsid w:val="00AE0522"/>
    <w:rsid w:val="00AE192D"/>
    <w:rsid w:val="00AE5D97"/>
    <w:rsid w:val="00AE6F43"/>
    <w:rsid w:val="00AE7341"/>
    <w:rsid w:val="00AE735B"/>
    <w:rsid w:val="00AE7AEF"/>
    <w:rsid w:val="00AF1AD1"/>
    <w:rsid w:val="00AF29E2"/>
    <w:rsid w:val="00AF45A4"/>
    <w:rsid w:val="00AF6491"/>
    <w:rsid w:val="00AF6976"/>
    <w:rsid w:val="00B02D52"/>
    <w:rsid w:val="00B03496"/>
    <w:rsid w:val="00B06054"/>
    <w:rsid w:val="00B06833"/>
    <w:rsid w:val="00B07270"/>
    <w:rsid w:val="00B07A77"/>
    <w:rsid w:val="00B1019B"/>
    <w:rsid w:val="00B11E7E"/>
    <w:rsid w:val="00B20659"/>
    <w:rsid w:val="00B24C07"/>
    <w:rsid w:val="00B24F7B"/>
    <w:rsid w:val="00B25457"/>
    <w:rsid w:val="00B261D3"/>
    <w:rsid w:val="00B2793A"/>
    <w:rsid w:val="00B27A3E"/>
    <w:rsid w:val="00B27BB0"/>
    <w:rsid w:val="00B2A8F4"/>
    <w:rsid w:val="00B30543"/>
    <w:rsid w:val="00B36C84"/>
    <w:rsid w:val="00B37852"/>
    <w:rsid w:val="00B446EE"/>
    <w:rsid w:val="00B50997"/>
    <w:rsid w:val="00B5153E"/>
    <w:rsid w:val="00B53729"/>
    <w:rsid w:val="00B55E29"/>
    <w:rsid w:val="00B60C72"/>
    <w:rsid w:val="00B60F01"/>
    <w:rsid w:val="00B66725"/>
    <w:rsid w:val="00B66FC7"/>
    <w:rsid w:val="00B67138"/>
    <w:rsid w:val="00B710F7"/>
    <w:rsid w:val="00B71D70"/>
    <w:rsid w:val="00B751FE"/>
    <w:rsid w:val="00B80C79"/>
    <w:rsid w:val="00B82BCE"/>
    <w:rsid w:val="00B8301A"/>
    <w:rsid w:val="00B9558C"/>
    <w:rsid w:val="00BA1D0E"/>
    <w:rsid w:val="00BA2821"/>
    <w:rsid w:val="00BA3E4A"/>
    <w:rsid w:val="00BA46AB"/>
    <w:rsid w:val="00BA4BA5"/>
    <w:rsid w:val="00BB2023"/>
    <w:rsid w:val="00BB6361"/>
    <w:rsid w:val="00BB70CB"/>
    <w:rsid w:val="00BB7D53"/>
    <w:rsid w:val="00BC1321"/>
    <w:rsid w:val="00BC1D17"/>
    <w:rsid w:val="00BC2368"/>
    <w:rsid w:val="00BC2C87"/>
    <w:rsid w:val="00BC3894"/>
    <w:rsid w:val="00BC410D"/>
    <w:rsid w:val="00BC614D"/>
    <w:rsid w:val="00BC67AF"/>
    <w:rsid w:val="00BD5E5D"/>
    <w:rsid w:val="00BD686C"/>
    <w:rsid w:val="00BD7301"/>
    <w:rsid w:val="00BE290B"/>
    <w:rsid w:val="00BE4578"/>
    <w:rsid w:val="00BE5552"/>
    <w:rsid w:val="00BE57CD"/>
    <w:rsid w:val="00BE6B5F"/>
    <w:rsid w:val="00BF21B8"/>
    <w:rsid w:val="00BF2ADE"/>
    <w:rsid w:val="00BF3A6E"/>
    <w:rsid w:val="00BF5C48"/>
    <w:rsid w:val="00C002A9"/>
    <w:rsid w:val="00C06818"/>
    <w:rsid w:val="00C06B33"/>
    <w:rsid w:val="00C12FFF"/>
    <w:rsid w:val="00C1419F"/>
    <w:rsid w:val="00C14663"/>
    <w:rsid w:val="00C1544A"/>
    <w:rsid w:val="00C16179"/>
    <w:rsid w:val="00C22DE8"/>
    <w:rsid w:val="00C2584A"/>
    <w:rsid w:val="00C3158A"/>
    <w:rsid w:val="00C340D2"/>
    <w:rsid w:val="00C35CB1"/>
    <w:rsid w:val="00C35DF6"/>
    <w:rsid w:val="00C36C1E"/>
    <w:rsid w:val="00C36DA5"/>
    <w:rsid w:val="00C373A6"/>
    <w:rsid w:val="00C3772A"/>
    <w:rsid w:val="00C37BEA"/>
    <w:rsid w:val="00C41331"/>
    <w:rsid w:val="00C438A3"/>
    <w:rsid w:val="00C46A13"/>
    <w:rsid w:val="00C51A4D"/>
    <w:rsid w:val="00C56BAC"/>
    <w:rsid w:val="00C571DB"/>
    <w:rsid w:val="00C5793C"/>
    <w:rsid w:val="00C60116"/>
    <w:rsid w:val="00C60DA5"/>
    <w:rsid w:val="00C61E1D"/>
    <w:rsid w:val="00C61E93"/>
    <w:rsid w:val="00C631B0"/>
    <w:rsid w:val="00C64D39"/>
    <w:rsid w:val="00C65157"/>
    <w:rsid w:val="00C6754B"/>
    <w:rsid w:val="00C67D72"/>
    <w:rsid w:val="00C7299E"/>
    <w:rsid w:val="00C745F4"/>
    <w:rsid w:val="00C75386"/>
    <w:rsid w:val="00C75BBA"/>
    <w:rsid w:val="00C80CFF"/>
    <w:rsid w:val="00C80F57"/>
    <w:rsid w:val="00C82E7C"/>
    <w:rsid w:val="00C84416"/>
    <w:rsid w:val="00C84E12"/>
    <w:rsid w:val="00C853F9"/>
    <w:rsid w:val="00C85B5D"/>
    <w:rsid w:val="00C93418"/>
    <w:rsid w:val="00C956F6"/>
    <w:rsid w:val="00C95B3A"/>
    <w:rsid w:val="00C95D4F"/>
    <w:rsid w:val="00C96822"/>
    <w:rsid w:val="00C97EF2"/>
    <w:rsid w:val="00CA11C0"/>
    <w:rsid w:val="00CA1639"/>
    <w:rsid w:val="00CA49DA"/>
    <w:rsid w:val="00CA5BBE"/>
    <w:rsid w:val="00CB0807"/>
    <w:rsid w:val="00CB42BA"/>
    <w:rsid w:val="00CB4D58"/>
    <w:rsid w:val="00CB5FE6"/>
    <w:rsid w:val="00CB6903"/>
    <w:rsid w:val="00CB7FF8"/>
    <w:rsid w:val="00CC200B"/>
    <w:rsid w:val="00CC228C"/>
    <w:rsid w:val="00CC2A07"/>
    <w:rsid w:val="00CC5A4D"/>
    <w:rsid w:val="00CC6E31"/>
    <w:rsid w:val="00CC78E2"/>
    <w:rsid w:val="00CD22F2"/>
    <w:rsid w:val="00CE0977"/>
    <w:rsid w:val="00CE380D"/>
    <w:rsid w:val="00CE4027"/>
    <w:rsid w:val="00CE524A"/>
    <w:rsid w:val="00CE6928"/>
    <w:rsid w:val="00CF142B"/>
    <w:rsid w:val="00CF2500"/>
    <w:rsid w:val="00CF2DD8"/>
    <w:rsid w:val="00CF3473"/>
    <w:rsid w:val="00CF4814"/>
    <w:rsid w:val="00CF49C3"/>
    <w:rsid w:val="00D005ED"/>
    <w:rsid w:val="00D00E49"/>
    <w:rsid w:val="00D0209C"/>
    <w:rsid w:val="00D1039A"/>
    <w:rsid w:val="00D14B50"/>
    <w:rsid w:val="00D15F64"/>
    <w:rsid w:val="00D2065F"/>
    <w:rsid w:val="00D2068A"/>
    <w:rsid w:val="00D212B0"/>
    <w:rsid w:val="00D22985"/>
    <w:rsid w:val="00D22B3F"/>
    <w:rsid w:val="00D22ED8"/>
    <w:rsid w:val="00D25011"/>
    <w:rsid w:val="00D30B43"/>
    <w:rsid w:val="00D30C67"/>
    <w:rsid w:val="00D3231D"/>
    <w:rsid w:val="00D3244A"/>
    <w:rsid w:val="00D328EB"/>
    <w:rsid w:val="00D34A8A"/>
    <w:rsid w:val="00D3651E"/>
    <w:rsid w:val="00D37E72"/>
    <w:rsid w:val="00D4234C"/>
    <w:rsid w:val="00D428CB"/>
    <w:rsid w:val="00D45387"/>
    <w:rsid w:val="00D45CBA"/>
    <w:rsid w:val="00D46458"/>
    <w:rsid w:val="00D53356"/>
    <w:rsid w:val="00D53EDC"/>
    <w:rsid w:val="00D56B7D"/>
    <w:rsid w:val="00D57977"/>
    <w:rsid w:val="00D625C1"/>
    <w:rsid w:val="00D6431D"/>
    <w:rsid w:val="00D739FC"/>
    <w:rsid w:val="00D77F30"/>
    <w:rsid w:val="00D804AB"/>
    <w:rsid w:val="00D829DA"/>
    <w:rsid w:val="00D849D1"/>
    <w:rsid w:val="00D85808"/>
    <w:rsid w:val="00D85B06"/>
    <w:rsid w:val="00D91BA9"/>
    <w:rsid w:val="00D92A80"/>
    <w:rsid w:val="00D94967"/>
    <w:rsid w:val="00DA19A2"/>
    <w:rsid w:val="00DA1EA8"/>
    <w:rsid w:val="00DA3B51"/>
    <w:rsid w:val="00DA402A"/>
    <w:rsid w:val="00DA4A84"/>
    <w:rsid w:val="00DA534A"/>
    <w:rsid w:val="00DA7E84"/>
    <w:rsid w:val="00DB01C2"/>
    <w:rsid w:val="00DB1585"/>
    <w:rsid w:val="00DB2A28"/>
    <w:rsid w:val="00DB49A7"/>
    <w:rsid w:val="00DB4B6B"/>
    <w:rsid w:val="00DB741F"/>
    <w:rsid w:val="00DB74EE"/>
    <w:rsid w:val="00DC5730"/>
    <w:rsid w:val="00DD038F"/>
    <w:rsid w:val="00DD045F"/>
    <w:rsid w:val="00DD1C19"/>
    <w:rsid w:val="00DD220C"/>
    <w:rsid w:val="00DD2250"/>
    <w:rsid w:val="00DD29F2"/>
    <w:rsid w:val="00DD2E8E"/>
    <w:rsid w:val="00DD4098"/>
    <w:rsid w:val="00DD4125"/>
    <w:rsid w:val="00DD52FE"/>
    <w:rsid w:val="00DD6CC5"/>
    <w:rsid w:val="00DD7B06"/>
    <w:rsid w:val="00DE0321"/>
    <w:rsid w:val="00DE14E6"/>
    <w:rsid w:val="00DE259F"/>
    <w:rsid w:val="00DE4077"/>
    <w:rsid w:val="00DE5874"/>
    <w:rsid w:val="00DF1983"/>
    <w:rsid w:val="00DF388A"/>
    <w:rsid w:val="00DF3F4C"/>
    <w:rsid w:val="00DF3FEF"/>
    <w:rsid w:val="00DF72E0"/>
    <w:rsid w:val="00E0438B"/>
    <w:rsid w:val="00E05635"/>
    <w:rsid w:val="00E13402"/>
    <w:rsid w:val="00E14189"/>
    <w:rsid w:val="00E1436A"/>
    <w:rsid w:val="00E1786E"/>
    <w:rsid w:val="00E17BA8"/>
    <w:rsid w:val="00E234FE"/>
    <w:rsid w:val="00E24AA8"/>
    <w:rsid w:val="00E26089"/>
    <w:rsid w:val="00E279F4"/>
    <w:rsid w:val="00E31BD1"/>
    <w:rsid w:val="00E329DF"/>
    <w:rsid w:val="00E3507D"/>
    <w:rsid w:val="00E35301"/>
    <w:rsid w:val="00E41CAD"/>
    <w:rsid w:val="00E424A5"/>
    <w:rsid w:val="00E47C1B"/>
    <w:rsid w:val="00E503FB"/>
    <w:rsid w:val="00E505FA"/>
    <w:rsid w:val="00E539A8"/>
    <w:rsid w:val="00E57B7E"/>
    <w:rsid w:val="00E57E23"/>
    <w:rsid w:val="00E610CC"/>
    <w:rsid w:val="00E6299A"/>
    <w:rsid w:val="00E66CEF"/>
    <w:rsid w:val="00E703BE"/>
    <w:rsid w:val="00E714F1"/>
    <w:rsid w:val="00E74A9F"/>
    <w:rsid w:val="00E75B5B"/>
    <w:rsid w:val="00E77901"/>
    <w:rsid w:val="00E82A93"/>
    <w:rsid w:val="00E82EE3"/>
    <w:rsid w:val="00E91D47"/>
    <w:rsid w:val="00E93E66"/>
    <w:rsid w:val="00E957D5"/>
    <w:rsid w:val="00EA15E0"/>
    <w:rsid w:val="00EA2CC9"/>
    <w:rsid w:val="00EA5F9F"/>
    <w:rsid w:val="00EA6756"/>
    <w:rsid w:val="00EA68FC"/>
    <w:rsid w:val="00EA6CB9"/>
    <w:rsid w:val="00EA7E3A"/>
    <w:rsid w:val="00EB09B1"/>
    <w:rsid w:val="00EB0E7B"/>
    <w:rsid w:val="00EB392C"/>
    <w:rsid w:val="00EB42F8"/>
    <w:rsid w:val="00EB54FE"/>
    <w:rsid w:val="00EB578D"/>
    <w:rsid w:val="00EC02C0"/>
    <w:rsid w:val="00EC4695"/>
    <w:rsid w:val="00EC5251"/>
    <w:rsid w:val="00ED5BAE"/>
    <w:rsid w:val="00ED5FF7"/>
    <w:rsid w:val="00ED7724"/>
    <w:rsid w:val="00EE300E"/>
    <w:rsid w:val="00EF06D3"/>
    <w:rsid w:val="00EF140E"/>
    <w:rsid w:val="00F00BFF"/>
    <w:rsid w:val="00F06E4E"/>
    <w:rsid w:val="00F07404"/>
    <w:rsid w:val="00F1269D"/>
    <w:rsid w:val="00F130D8"/>
    <w:rsid w:val="00F134AF"/>
    <w:rsid w:val="00F13E78"/>
    <w:rsid w:val="00F2100A"/>
    <w:rsid w:val="00F24205"/>
    <w:rsid w:val="00F30F64"/>
    <w:rsid w:val="00F312CE"/>
    <w:rsid w:val="00F32B94"/>
    <w:rsid w:val="00F36CDC"/>
    <w:rsid w:val="00F42502"/>
    <w:rsid w:val="00F431C3"/>
    <w:rsid w:val="00F509DC"/>
    <w:rsid w:val="00F51156"/>
    <w:rsid w:val="00F53198"/>
    <w:rsid w:val="00F54064"/>
    <w:rsid w:val="00F55378"/>
    <w:rsid w:val="00F57C8E"/>
    <w:rsid w:val="00F61421"/>
    <w:rsid w:val="00F63148"/>
    <w:rsid w:val="00F6379A"/>
    <w:rsid w:val="00F64557"/>
    <w:rsid w:val="00F646C5"/>
    <w:rsid w:val="00F723E4"/>
    <w:rsid w:val="00F72667"/>
    <w:rsid w:val="00F72E98"/>
    <w:rsid w:val="00F74E07"/>
    <w:rsid w:val="00F74E74"/>
    <w:rsid w:val="00F75654"/>
    <w:rsid w:val="00F75B0C"/>
    <w:rsid w:val="00F75D72"/>
    <w:rsid w:val="00F8544F"/>
    <w:rsid w:val="00F86A33"/>
    <w:rsid w:val="00F873C4"/>
    <w:rsid w:val="00F878CF"/>
    <w:rsid w:val="00F905FC"/>
    <w:rsid w:val="00F915E3"/>
    <w:rsid w:val="00F91731"/>
    <w:rsid w:val="00F94230"/>
    <w:rsid w:val="00FA0601"/>
    <w:rsid w:val="00FA0CF9"/>
    <w:rsid w:val="00FA13C0"/>
    <w:rsid w:val="00FA20CD"/>
    <w:rsid w:val="00FA5063"/>
    <w:rsid w:val="00FB0D99"/>
    <w:rsid w:val="00FB4E8B"/>
    <w:rsid w:val="00FC0995"/>
    <w:rsid w:val="00FC100A"/>
    <w:rsid w:val="00FC4EB0"/>
    <w:rsid w:val="00FC7FAA"/>
    <w:rsid w:val="00FD28CC"/>
    <w:rsid w:val="00FD3CE9"/>
    <w:rsid w:val="00FD4025"/>
    <w:rsid w:val="00FE4067"/>
    <w:rsid w:val="00FE62A4"/>
    <w:rsid w:val="00FF24B7"/>
    <w:rsid w:val="00FF591F"/>
    <w:rsid w:val="00FF6406"/>
    <w:rsid w:val="0174E27E"/>
    <w:rsid w:val="01CED816"/>
    <w:rsid w:val="05B2B6A2"/>
    <w:rsid w:val="0754199E"/>
    <w:rsid w:val="0A201FDE"/>
    <w:rsid w:val="0C1350F5"/>
    <w:rsid w:val="0D47E123"/>
    <w:rsid w:val="0D5723BC"/>
    <w:rsid w:val="0EC844F5"/>
    <w:rsid w:val="0F224958"/>
    <w:rsid w:val="0FA05E60"/>
    <w:rsid w:val="0FBA46EF"/>
    <w:rsid w:val="0FF36E64"/>
    <w:rsid w:val="1018A12D"/>
    <w:rsid w:val="119D4D02"/>
    <w:rsid w:val="15A1D527"/>
    <w:rsid w:val="18209150"/>
    <w:rsid w:val="187D4443"/>
    <w:rsid w:val="1AFAFFDC"/>
    <w:rsid w:val="1B18FD9A"/>
    <w:rsid w:val="1D03AAAE"/>
    <w:rsid w:val="21E3046B"/>
    <w:rsid w:val="2238CD9A"/>
    <w:rsid w:val="2584D97D"/>
    <w:rsid w:val="266A94DB"/>
    <w:rsid w:val="277CEA20"/>
    <w:rsid w:val="277F8D4C"/>
    <w:rsid w:val="2811DAE7"/>
    <w:rsid w:val="2FC0F98A"/>
    <w:rsid w:val="33FBD1AE"/>
    <w:rsid w:val="34979880"/>
    <w:rsid w:val="371D67E2"/>
    <w:rsid w:val="3854F840"/>
    <w:rsid w:val="3A322923"/>
    <w:rsid w:val="3DEF98A7"/>
    <w:rsid w:val="3E24450D"/>
    <w:rsid w:val="3F525682"/>
    <w:rsid w:val="3F61991B"/>
    <w:rsid w:val="4069EA7D"/>
    <w:rsid w:val="40C29D6E"/>
    <w:rsid w:val="43C57D4A"/>
    <w:rsid w:val="45344591"/>
    <w:rsid w:val="46D14F7A"/>
    <w:rsid w:val="47584800"/>
    <w:rsid w:val="47772741"/>
    <w:rsid w:val="4A8B4AA3"/>
    <w:rsid w:val="4C13EBE2"/>
    <w:rsid w:val="4CE3960A"/>
    <w:rsid w:val="4CEFA9D5"/>
    <w:rsid w:val="4D2CF1A2"/>
    <w:rsid w:val="4E179527"/>
    <w:rsid w:val="504B343E"/>
    <w:rsid w:val="50AEB05F"/>
    <w:rsid w:val="51285002"/>
    <w:rsid w:val="516DE259"/>
    <w:rsid w:val="53199763"/>
    <w:rsid w:val="5735DFBD"/>
    <w:rsid w:val="579B580F"/>
    <w:rsid w:val="5C45D50C"/>
    <w:rsid w:val="5CE02CD0"/>
    <w:rsid w:val="5D6EAE35"/>
    <w:rsid w:val="5E9F335C"/>
    <w:rsid w:val="5EC70747"/>
    <w:rsid w:val="5F7F6C90"/>
    <w:rsid w:val="61B0A1F6"/>
    <w:rsid w:val="61C24E40"/>
    <w:rsid w:val="628410EB"/>
    <w:rsid w:val="64B1353C"/>
    <w:rsid w:val="653CDDEF"/>
    <w:rsid w:val="66209400"/>
    <w:rsid w:val="6CE2533C"/>
    <w:rsid w:val="70881F31"/>
    <w:rsid w:val="72C25C48"/>
    <w:rsid w:val="73673148"/>
    <w:rsid w:val="74A298BF"/>
    <w:rsid w:val="74DEECD1"/>
    <w:rsid w:val="7554A514"/>
    <w:rsid w:val="789A1ADD"/>
    <w:rsid w:val="79E4163B"/>
    <w:rsid w:val="7A21F580"/>
    <w:rsid w:val="7D41FC10"/>
    <w:rsid w:val="7DE0D1B9"/>
    <w:rsid w:val="7EA127A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DCEAC"/>
  <w15:chartTrackingRefBased/>
  <w15:docId w15:val="{ADFA89E7-ED1C-448A-A829-8D8F66F41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link w:val="Heading1Char"/>
    <w:qFormat/>
    <w:pPr>
      <w:keepNext/>
      <w:numPr>
        <w:numId w:val="1"/>
      </w:numPr>
      <w:tabs>
        <w:tab w:val="left" w:pos="0"/>
      </w:tabs>
      <w:spacing w:before="240" w:after="60"/>
      <w:outlineLvl w:val="0"/>
    </w:pPr>
    <w:rPr>
      <w:b/>
      <w:kern w:val="28"/>
      <w:sz w:val="27"/>
    </w:rPr>
  </w:style>
  <w:style w:type="paragraph" w:styleId="Heading2">
    <w:name w:val="heading 2"/>
    <w:basedOn w:val="Heading1"/>
    <w:next w:val="Normal"/>
    <w:link w:val="Heading2Char"/>
    <w:qFormat/>
    <w:rsid w:val="00D30C67"/>
    <w:pPr>
      <w:numPr>
        <w:numId w:val="0"/>
      </w:numPr>
      <w:tabs>
        <w:tab w:val="num" w:pos="576"/>
      </w:tabs>
      <w:ind w:left="576" w:hanging="576"/>
      <w:outlineLvl w:val="1"/>
    </w:pPr>
    <w:rPr>
      <w:sz w:val="22"/>
    </w:rPr>
  </w:style>
  <w:style w:type="paragraph" w:styleId="Heading3">
    <w:name w:val="heading 3"/>
    <w:basedOn w:val="Heading2"/>
    <w:next w:val="Normal"/>
    <w:link w:val="Heading3Char"/>
    <w:qFormat/>
    <w:rsid w:val="00D30C67"/>
    <w:pPr>
      <w:tabs>
        <w:tab w:val="clear" w:pos="576"/>
        <w:tab w:val="num" w:pos="720"/>
      </w:tabs>
      <w:ind w:left="0" w:hanging="1021"/>
      <w:outlineLvl w:val="2"/>
    </w:pPr>
  </w:style>
  <w:style w:type="paragraph" w:styleId="Heading4">
    <w:name w:val="heading 4"/>
    <w:basedOn w:val="Heading3"/>
    <w:next w:val="Normal"/>
    <w:link w:val="Heading4Char"/>
    <w:qFormat/>
    <w:rsid w:val="00D30C67"/>
    <w:pPr>
      <w:tabs>
        <w:tab w:val="clear" w:pos="720"/>
        <w:tab w:val="left" w:pos="1021"/>
      </w:tabs>
      <w:outlineLvl w:val="3"/>
    </w:pPr>
  </w:style>
  <w:style w:type="paragraph" w:styleId="Heading5">
    <w:name w:val="heading 5"/>
    <w:basedOn w:val="Heading4"/>
    <w:next w:val="Normal"/>
    <w:link w:val="Heading5Char"/>
    <w:qFormat/>
    <w:rsid w:val="00D30C67"/>
    <w:pPr>
      <w:tabs>
        <w:tab w:val="clear" w:pos="1021"/>
        <w:tab w:val="num" w:pos="1008"/>
      </w:tabs>
      <w:outlineLvl w:val="4"/>
    </w:pPr>
  </w:style>
  <w:style w:type="paragraph" w:styleId="Heading6">
    <w:name w:val="heading 6"/>
    <w:basedOn w:val="Normal"/>
    <w:next w:val="Normal"/>
    <w:link w:val="Heading6Char"/>
    <w:qFormat/>
    <w:rsid w:val="00D30C67"/>
    <w:pPr>
      <w:keepNext/>
      <w:tabs>
        <w:tab w:val="num" w:pos="1276"/>
      </w:tabs>
      <w:spacing w:before="240" w:after="60"/>
      <w:ind w:left="1276" w:hanging="1276"/>
      <w:outlineLvl w:val="5"/>
    </w:pPr>
    <w:rPr>
      <w:b/>
    </w:rPr>
  </w:style>
  <w:style w:type="paragraph" w:styleId="Heading7">
    <w:name w:val="heading 7"/>
    <w:basedOn w:val="Normal"/>
    <w:next w:val="Normal"/>
    <w:link w:val="Heading7Char"/>
    <w:qFormat/>
    <w:rsid w:val="00D30C67"/>
    <w:pPr>
      <w:keepNext/>
      <w:tabs>
        <w:tab w:val="num" w:pos="1276"/>
      </w:tabs>
      <w:spacing w:before="240" w:after="60"/>
      <w:ind w:left="1276" w:hanging="1276"/>
      <w:outlineLvl w:val="6"/>
    </w:pPr>
    <w:rPr>
      <w:b/>
    </w:rPr>
  </w:style>
  <w:style w:type="paragraph" w:styleId="Heading8">
    <w:name w:val="heading 8"/>
    <w:basedOn w:val="Normal"/>
    <w:next w:val="Normal"/>
    <w:link w:val="Heading8Char"/>
    <w:qFormat/>
    <w:rsid w:val="00D30C67"/>
    <w:pPr>
      <w:tabs>
        <w:tab w:val="left" w:pos="1021"/>
        <w:tab w:val="num" w:pos="1440"/>
      </w:tabs>
      <w:spacing w:before="240" w:after="60"/>
      <w:ind w:left="1021" w:hanging="1021"/>
      <w:outlineLvl w:val="7"/>
    </w:pPr>
    <w:rPr>
      <w:b/>
      <w:sz w:val="27"/>
    </w:rPr>
  </w:style>
  <w:style w:type="paragraph" w:styleId="Heading9">
    <w:name w:val="heading 9"/>
    <w:basedOn w:val="Normal"/>
    <w:next w:val="Normal"/>
    <w:link w:val="Heading9Char"/>
    <w:qFormat/>
    <w:rsid w:val="00D30C67"/>
    <w:pPr>
      <w:tabs>
        <w:tab w:val="left" w:pos="0"/>
        <w:tab w:val="num" w:pos="1584"/>
      </w:tabs>
      <w:spacing w:before="240" w:after="60"/>
      <w:ind w:hanging="1021"/>
      <w:outlineLvl w:val="8"/>
    </w:pPr>
    <w:rPr>
      <w:b/>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reekpunten">
    <w:name w:val="Spreekpunten"/>
    <w:basedOn w:val="Normal"/>
    <w:pPr>
      <w:numPr>
        <w:numId w:val="2"/>
      </w:numPr>
      <w:spacing w:line="360" w:lineRule="auto"/>
    </w:pPr>
    <w:rPr>
      <w:bCs/>
      <w:sz w:val="28"/>
      <w:lang w:val="en-GB" w:eastAsia="nl-NL"/>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rPr>
      <w:sz w:val="22"/>
      <w:lang w:val="nl-NL" w:eastAsia="zh-CN" w:bidi="ar-SA"/>
    </w:rPr>
  </w:style>
  <w:style w:type="paragraph" w:styleId="FootnoteText">
    <w:name w:val="footnote text"/>
    <w:basedOn w:val="Normal"/>
    <w:link w:val="FootnoteTextChar"/>
    <w:pPr>
      <w:spacing w:line="240" w:lineRule="atLeast"/>
      <w:ind w:left="1298" w:hanging="1298"/>
    </w:pPr>
    <w:rPr>
      <w:sz w:val="16"/>
    </w:rPr>
  </w:style>
  <w:style w:type="character" w:styleId="FootnoteReference">
    <w:name w:val="footnote reference"/>
    <w:semiHidden/>
    <w:rPr>
      <w:vertAlign w:val="superscript"/>
    </w:rPr>
  </w:style>
  <w:style w:type="paragraph" w:styleId="BodyText">
    <w:name w:val="Body Text"/>
    <w:basedOn w:val="Normal"/>
    <w:pPr>
      <w:spacing w:line="280" w:lineRule="exact"/>
      <w:jc w:val="both"/>
    </w:pPr>
    <w:rPr>
      <w:snapToGrid w:val="0"/>
      <w:lang w:val="en-US" w:eastAsia="en-US"/>
    </w:rPr>
  </w:style>
  <w:style w:type="paragraph" w:styleId="BodyText2">
    <w:name w:val="Body Text 2"/>
    <w:basedOn w:val="Normal"/>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character" w:styleId="Strong">
    <w:name w:val="Strong"/>
    <w:qFormat/>
    <w:rPr>
      <w:b/>
      <w:bCs/>
    </w:rPr>
  </w:style>
  <w:style w:type="paragraph" w:styleId="DocumentMap">
    <w:name w:val="Document Map"/>
    <w:basedOn w:val="Normal"/>
    <w:semiHidden/>
    <w:pPr>
      <w:shd w:val="clear" w:color="auto" w:fill="000080"/>
    </w:pPr>
    <w:rPr>
      <w:rFonts w:ascii="Tahoma" w:hAnsi="Tahoma" w:cs="Tahoma"/>
      <w:sz w:val="20"/>
    </w:rPr>
  </w:style>
  <w:style w:type="character" w:styleId="FollowedHyperlink">
    <w:name w:val="FollowedHyperlink"/>
    <w:rPr>
      <w:color w:val="800080"/>
      <w:u w:val="single"/>
    </w:rPr>
  </w:style>
  <w:style w:type="paragraph" w:styleId="ListParagraph">
    <w:name w:val="List Paragraph"/>
    <w:basedOn w:val="Normal"/>
    <w:uiPriority w:val="34"/>
    <w:qFormat/>
    <w:rsid w:val="00F74E07"/>
    <w:pPr>
      <w:ind w:left="720"/>
    </w:pPr>
  </w:style>
  <w:style w:type="character" w:customStyle="1" w:styleId="Heading2Char">
    <w:name w:val="Heading 2 Char"/>
    <w:link w:val="Heading2"/>
    <w:rsid w:val="00D30C67"/>
    <w:rPr>
      <w:b/>
      <w:kern w:val="28"/>
      <w:sz w:val="22"/>
      <w:lang w:eastAsia="zh-CN"/>
    </w:rPr>
  </w:style>
  <w:style w:type="character" w:customStyle="1" w:styleId="Heading3Char">
    <w:name w:val="Heading 3 Char"/>
    <w:link w:val="Heading3"/>
    <w:rsid w:val="00D30C67"/>
    <w:rPr>
      <w:b/>
      <w:kern w:val="28"/>
      <w:sz w:val="22"/>
      <w:lang w:eastAsia="zh-CN"/>
    </w:rPr>
  </w:style>
  <w:style w:type="character" w:customStyle="1" w:styleId="Heading4Char">
    <w:name w:val="Heading 4 Char"/>
    <w:link w:val="Heading4"/>
    <w:rsid w:val="00D30C67"/>
    <w:rPr>
      <w:b/>
      <w:kern w:val="28"/>
      <w:sz w:val="22"/>
      <w:lang w:eastAsia="zh-CN"/>
    </w:rPr>
  </w:style>
  <w:style w:type="character" w:customStyle="1" w:styleId="Heading5Char">
    <w:name w:val="Heading 5 Char"/>
    <w:link w:val="Heading5"/>
    <w:rsid w:val="00D30C67"/>
    <w:rPr>
      <w:b/>
      <w:kern w:val="28"/>
      <w:sz w:val="22"/>
      <w:lang w:eastAsia="zh-CN"/>
    </w:rPr>
  </w:style>
  <w:style w:type="character" w:customStyle="1" w:styleId="Heading6Char">
    <w:name w:val="Heading 6 Char"/>
    <w:link w:val="Heading6"/>
    <w:rsid w:val="00D30C67"/>
    <w:rPr>
      <w:b/>
      <w:sz w:val="22"/>
      <w:lang w:eastAsia="zh-CN"/>
    </w:rPr>
  </w:style>
  <w:style w:type="character" w:customStyle="1" w:styleId="Heading7Char">
    <w:name w:val="Heading 7 Char"/>
    <w:link w:val="Heading7"/>
    <w:rsid w:val="00D30C67"/>
    <w:rPr>
      <w:b/>
      <w:sz w:val="22"/>
      <w:lang w:eastAsia="zh-CN"/>
    </w:rPr>
  </w:style>
  <w:style w:type="character" w:customStyle="1" w:styleId="Heading8Char">
    <w:name w:val="Heading 8 Char"/>
    <w:link w:val="Heading8"/>
    <w:rsid w:val="00D30C67"/>
    <w:rPr>
      <w:b/>
      <w:sz w:val="27"/>
      <w:lang w:eastAsia="zh-CN"/>
    </w:rPr>
  </w:style>
  <w:style w:type="character" w:customStyle="1" w:styleId="Heading9Char">
    <w:name w:val="Heading 9 Char"/>
    <w:link w:val="Heading9"/>
    <w:rsid w:val="00D30C67"/>
    <w:rPr>
      <w:b/>
      <w:sz w:val="24"/>
      <w:lang w:val="fr-FR" w:eastAsia="zh-CN"/>
    </w:rPr>
  </w:style>
  <w:style w:type="character" w:customStyle="1" w:styleId="Heading1Char">
    <w:name w:val="Heading 1 Char"/>
    <w:link w:val="Heading1"/>
    <w:locked/>
    <w:rsid w:val="00D30C67"/>
    <w:rPr>
      <w:b/>
      <w:kern w:val="28"/>
      <w:sz w:val="27"/>
      <w:lang w:eastAsia="zh-CN"/>
    </w:rPr>
  </w:style>
  <w:style w:type="paragraph" w:styleId="PlainText">
    <w:name w:val="Plain Text"/>
    <w:basedOn w:val="Normal"/>
    <w:link w:val="PlainTextChar"/>
    <w:uiPriority w:val="99"/>
    <w:unhideWhenUsed/>
    <w:rsid w:val="002715A9"/>
    <w:pPr>
      <w:spacing w:line="240" w:lineRule="auto"/>
    </w:pPr>
    <w:rPr>
      <w:rFonts w:ascii="Calibri" w:eastAsia="Calibri" w:hAnsi="Calibri"/>
      <w:szCs w:val="21"/>
      <w:lang w:eastAsia="en-US"/>
    </w:rPr>
  </w:style>
  <w:style w:type="character" w:customStyle="1" w:styleId="PlainTextChar">
    <w:name w:val="Plain Text Char"/>
    <w:link w:val="PlainText"/>
    <w:uiPriority w:val="99"/>
    <w:rsid w:val="002715A9"/>
    <w:rPr>
      <w:rFonts w:ascii="Calibri" w:eastAsia="Calibri" w:hAnsi="Calibri"/>
      <w:sz w:val="22"/>
      <w:szCs w:val="21"/>
      <w:lang w:eastAsia="en-US"/>
    </w:rPr>
  </w:style>
  <w:style w:type="character" w:customStyle="1" w:styleId="CommentTextChar">
    <w:name w:val="Comment Text Char"/>
    <w:link w:val="CommentText"/>
    <w:semiHidden/>
    <w:rsid w:val="00DD4125"/>
    <w:rPr>
      <w:lang w:eastAsia="zh-CN"/>
    </w:rPr>
  </w:style>
  <w:style w:type="table" w:styleId="TableGrid">
    <w:name w:val="Table Grid"/>
    <w:basedOn w:val="TableNormal"/>
    <w:uiPriority w:val="59"/>
    <w:rsid w:val="004B6424"/>
    <w:rPr>
      <w:rFonts w:ascii="Cambria" w:hAnsi="Cambria"/>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4B6424"/>
    <w:rPr>
      <w:sz w:val="16"/>
      <w:lang w:eastAsia="zh-CN"/>
    </w:rPr>
  </w:style>
  <w:style w:type="character" w:customStyle="1" w:styleId="apple-style-span">
    <w:name w:val="apple-style-span"/>
    <w:rsid w:val="004B6424"/>
  </w:style>
  <w:style w:type="paragraph" w:customStyle="1" w:styleId="c01pointnumerotealtn">
    <w:name w:val="c01pointnumerotealtn"/>
    <w:basedOn w:val="Normal"/>
    <w:rsid w:val="004B6424"/>
    <w:pPr>
      <w:spacing w:before="100" w:beforeAutospacing="1" w:after="240" w:line="240" w:lineRule="auto"/>
      <w:ind w:left="567" w:hanging="539"/>
      <w:jc w:val="both"/>
    </w:pPr>
    <w:rPr>
      <w:rFonts w:eastAsia="Times New Roman"/>
      <w:sz w:val="24"/>
      <w:szCs w:val="24"/>
      <w:lang w:eastAsia="nl-NL"/>
    </w:rPr>
  </w:style>
  <w:style w:type="character" w:styleId="Emphasis">
    <w:name w:val="Emphasis"/>
    <w:uiPriority w:val="20"/>
    <w:qFormat/>
    <w:rsid w:val="004B6424"/>
    <w:rPr>
      <w:i/>
      <w:iCs/>
    </w:rPr>
  </w:style>
  <w:style w:type="character" w:styleId="UnresolvedMention">
    <w:name w:val="Unresolved Mention"/>
    <w:basedOn w:val="DefaultParagraphFont"/>
    <w:uiPriority w:val="99"/>
    <w:semiHidden/>
    <w:unhideWhenUsed/>
    <w:rsid w:val="00EB578D"/>
    <w:rPr>
      <w:color w:val="605E5C"/>
      <w:shd w:val="clear" w:color="auto" w:fill="E1DFDD"/>
    </w:rPr>
  </w:style>
  <w:style w:type="paragraph" w:styleId="Revision">
    <w:name w:val="Revision"/>
    <w:hidden/>
    <w:uiPriority w:val="99"/>
    <w:semiHidden/>
    <w:rsid w:val="00794827"/>
    <w:rPr>
      <w:sz w:val="22"/>
      <w:lang w:eastAsia="zh-CN"/>
    </w:rPr>
  </w:style>
  <w:style w:type="paragraph" w:styleId="NoSpacing">
    <w:name w:val="No Spacing"/>
    <w:link w:val="NoSpacingChar"/>
    <w:uiPriority w:val="1"/>
    <w:qFormat/>
    <w:rsid w:val="00A94C59"/>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94C59"/>
    <w:rPr>
      <w:rFonts w:asciiTheme="minorHAnsi" w:eastAsiaTheme="minorEastAsia" w:hAnsiTheme="minorHAnsi" w:cstheme="minorBidi"/>
      <w:sz w:val="22"/>
      <w:szCs w:val="22"/>
      <w:lang w:val="en-US" w:eastAsia="en-US"/>
    </w:rPr>
  </w:style>
  <w:style w:type="paragraph" w:styleId="NormalWeb">
    <w:name w:val="Normal (Web)"/>
    <w:basedOn w:val="Normal"/>
    <w:rsid w:val="003F15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2653">
      <w:bodyDiv w:val="1"/>
      <w:marLeft w:val="0"/>
      <w:marRight w:val="0"/>
      <w:marTop w:val="0"/>
      <w:marBottom w:val="0"/>
      <w:divBdr>
        <w:top w:val="none" w:sz="0" w:space="0" w:color="auto"/>
        <w:left w:val="none" w:sz="0" w:space="0" w:color="auto"/>
        <w:bottom w:val="none" w:sz="0" w:space="0" w:color="auto"/>
        <w:right w:val="none" w:sz="0" w:space="0" w:color="auto"/>
      </w:divBdr>
    </w:div>
    <w:div w:id="91509659">
      <w:bodyDiv w:val="1"/>
      <w:marLeft w:val="0"/>
      <w:marRight w:val="0"/>
      <w:marTop w:val="0"/>
      <w:marBottom w:val="0"/>
      <w:divBdr>
        <w:top w:val="none" w:sz="0" w:space="0" w:color="auto"/>
        <w:left w:val="none" w:sz="0" w:space="0" w:color="auto"/>
        <w:bottom w:val="none" w:sz="0" w:space="0" w:color="auto"/>
        <w:right w:val="none" w:sz="0" w:space="0" w:color="auto"/>
      </w:divBdr>
    </w:div>
    <w:div w:id="99032676">
      <w:bodyDiv w:val="1"/>
      <w:marLeft w:val="0"/>
      <w:marRight w:val="0"/>
      <w:marTop w:val="0"/>
      <w:marBottom w:val="0"/>
      <w:divBdr>
        <w:top w:val="none" w:sz="0" w:space="0" w:color="auto"/>
        <w:left w:val="none" w:sz="0" w:space="0" w:color="auto"/>
        <w:bottom w:val="none" w:sz="0" w:space="0" w:color="auto"/>
        <w:right w:val="none" w:sz="0" w:space="0" w:color="auto"/>
      </w:divBdr>
    </w:div>
    <w:div w:id="108746084">
      <w:bodyDiv w:val="1"/>
      <w:marLeft w:val="0"/>
      <w:marRight w:val="0"/>
      <w:marTop w:val="0"/>
      <w:marBottom w:val="0"/>
      <w:divBdr>
        <w:top w:val="none" w:sz="0" w:space="0" w:color="auto"/>
        <w:left w:val="none" w:sz="0" w:space="0" w:color="auto"/>
        <w:bottom w:val="none" w:sz="0" w:space="0" w:color="auto"/>
        <w:right w:val="none" w:sz="0" w:space="0" w:color="auto"/>
      </w:divBdr>
    </w:div>
    <w:div w:id="140655309">
      <w:bodyDiv w:val="1"/>
      <w:marLeft w:val="0"/>
      <w:marRight w:val="0"/>
      <w:marTop w:val="0"/>
      <w:marBottom w:val="0"/>
      <w:divBdr>
        <w:top w:val="none" w:sz="0" w:space="0" w:color="auto"/>
        <w:left w:val="none" w:sz="0" w:space="0" w:color="auto"/>
        <w:bottom w:val="none" w:sz="0" w:space="0" w:color="auto"/>
        <w:right w:val="none" w:sz="0" w:space="0" w:color="auto"/>
      </w:divBdr>
    </w:div>
    <w:div w:id="157304750">
      <w:bodyDiv w:val="1"/>
      <w:marLeft w:val="0"/>
      <w:marRight w:val="0"/>
      <w:marTop w:val="0"/>
      <w:marBottom w:val="0"/>
      <w:divBdr>
        <w:top w:val="none" w:sz="0" w:space="0" w:color="auto"/>
        <w:left w:val="none" w:sz="0" w:space="0" w:color="auto"/>
        <w:bottom w:val="none" w:sz="0" w:space="0" w:color="auto"/>
        <w:right w:val="none" w:sz="0" w:space="0" w:color="auto"/>
      </w:divBdr>
    </w:div>
    <w:div w:id="167211751">
      <w:bodyDiv w:val="1"/>
      <w:marLeft w:val="0"/>
      <w:marRight w:val="0"/>
      <w:marTop w:val="0"/>
      <w:marBottom w:val="0"/>
      <w:divBdr>
        <w:top w:val="none" w:sz="0" w:space="0" w:color="auto"/>
        <w:left w:val="none" w:sz="0" w:space="0" w:color="auto"/>
        <w:bottom w:val="none" w:sz="0" w:space="0" w:color="auto"/>
        <w:right w:val="none" w:sz="0" w:space="0" w:color="auto"/>
      </w:divBdr>
    </w:div>
    <w:div w:id="169372068">
      <w:bodyDiv w:val="1"/>
      <w:marLeft w:val="0"/>
      <w:marRight w:val="0"/>
      <w:marTop w:val="0"/>
      <w:marBottom w:val="0"/>
      <w:divBdr>
        <w:top w:val="none" w:sz="0" w:space="0" w:color="auto"/>
        <w:left w:val="none" w:sz="0" w:space="0" w:color="auto"/>
        <w:bottom w:val="none" w:sz="0" w:space="0" w:color="auto"/>
        <w:right w:val="none" w:sz="0" w:space="0" w:color="auto"/>
      </w:divBdr>
    </w:div>
    <w:div w:id="201403595">
      <w:bodyDiv w:val="1"/>
      <w:marLeft w:val="0"/>
      <w:marRight w:val="0"/>
      <w:marTop w:val="0"/>
      <w:marBottom w:val="0"/>
      <w:divBdr>
        <w:top w:val="none" w:sz="0" w:space="0" w:color="auto"/>
        <w:left w:val="none" w:sz="0" w:space="0" w:color="auto"/>
        <w:bottom w:val="none" w:sz="0" w:space="0" w:color="auto"/>
        <w:right w:val="none" w:sz="0" w:space="0" w:color="auto"/>
      </w:divBdr>
    </w:div>
    <w:div w:id="204491228">
      <w:bodyDiv w:val="1"/>
      <w:marLeft w:val="0"/>
      <w:marRight w:val="0"/>
      <w:marTop w:val="0"/>
      <w:marBottom w:val="0"/>
      <w:divBdr>
        <w:top w:val="none" w:sz="0" w:space="0" w:color="auto"/>
        <w:left w:val="none" w:sz="0" w:space="0" w:color="auto"/>
        <w:bottom w:val="none" w:sz="0" w:space="0" w:color="auto"/>
        <w:right w:val="none" w:sz="0" w:space="0" w:color="auto"/>
      </w:divBdr>
    </w:div>
    <w:div w:id="218590495">
      <w:bodyDiv w:val="1"/>
      <w:marLeft w:val="0"/>
      <w:marRight w:val="0"/>
      <w:marTop w:val="0"/>
      <w:marBottom w:val="0"/>
      <w:divBdr>
        <w:top w:val="none" w:sz="0" w:space="0" w:color="auto"/>
        <w:left w:val="none" w:sz="0" w:space="0" w:color="auto"/>
        <w:bottom w:val="none" w:sz="0" w:space="0" w:color="auto"/>
        <w:right w:val="none" w:sz="0" w:space="0" w:color="auto"/>
      </w:divBdr>
    </w:div>
    <w:div w:id="229728075">
      <w:bodyDiv w:val="1"/>
      <w:marLeft w:val="0"/>
      <w:marRight w:val="0"/>
      <w:marTop w:val="0"/>
      <w:marBottom w:val="0"/>
      <w:divBdr>
        <w:top w:val="none" w:sz="0" w:space="0" w:color="auto"/>
        <w:left w:val="none" w:sz="0" w:space="0" w:color="auto"/>
        <w:bottom w:val="none" w:sz="0" w:space="0" w:color="auto"/>
        <w:right w:val="none" w:sz="0" w:space="0" w:color="auto"/>
      </w:divBdr>
    </w:div>
    <w:div w:id="240141496">
      <w:bodyDiv w:val="1"/>
      <w:marLeft w:val="0"/>
      <w:marRight w:val="0"/>
      <w:marTop w:val="0"/>
      <w:marBottom w:val="0"/>
      <w:divBdr>
        <w:top w:val="none" w:sz="0" w:space="0" w:color="auto"/>
        <w:left w:val="none" w:sz="0" w:space="0" w:color="auto"/>
        <w:bottom w:val="none" w:sz="0" w:space="0" w:color="auto"/>
        <w:right w:val="none" w:sz="0" w:space="0" w:color="auto"/>
      </w:divBdr>
    </w:div>
    <w:div w:id="257105143">
      <w:bodyDiv w:val="1"/>
      <w:marLeft w:val="0"/>
      <w:marRight w:val="0"/>
      <w:marTop w:val="0"/>
      <w:marBottom w:val="0"/>
      <w:divBdr>
        <w:top w:val="none" w:sz="0" w:space="0" w:color="auto"/>
        <w:left w:val="none" w:sz="0" w:space="0" w:color="auto"/>
        <w:bottom w:val="none" w:sz="0" w:space="0" w:color="auto"/>
        <w:right w:val="none" w:sz="0" w:space="0" w:color="auto"/>
      </w:divBdr>
    </w:div>
    <w:div w:id="304549594">
      <w:bodyDiv w:val="1"/>
      <w:marLeft w:val="0"/>
      <w:marRight w:val="0"/>
      <w:marTop w:val="0"/>
      <w:marBottom w:val="0"/>
      <w:divBdr>
        <w:top w:val="none" w:sz="0" w:space="0" w:color="auto"/>
        <w:left w:val="none" w:sz="0" w:space="0" w:color="auto"/>
        <w:bottom w:val="none" w:sz="0" w:space="0" w:color="auto"/>
        <w:right w:val="none" w:sz="0" w:space="0" w:color="auto"/>
      </w:divBdr>
    </w:div>
    <w:div w:id="316804945">
      <w:bodyDiv w:val="1"/>
      <w:marLeft w:val="0"/>
      <w:marRight w:val="0"/>
      <w:marTop w:val="0"/>
      <w:marBottom w:val="0"/>
      <w:divBdr>
        <w:top w:val="none" w:sz="0" w:space="0" w:color="auto"/>
        <w:left w:val="none" w:sz="0" w:space="0" w:color="auto"/>
        <w:bottom w:val="none" w:sz="0" w:space="0" w:color="auto"/>
        <w:right w:val="none" w:sz="0" w:space="0" w:color="auto"/>
      </w:divBdr>
    </w:div>
    <w:div w:id="367921387">
      <w:bodyDiv w:val="1"/>
      <w:marLeft w:val="0"/>
      <w:marRight w:val="0"/>
      <w:marTop w:val="0"/>
      <w:marBottom w:val="0"/>
      <w:divBdr>
        <w:top w:val="none" w:sz="0" w:space="0" w:color="auto"/>
        <w:left w:val="none" w:sz="0" w:space="0" w:color="auto"/>
        <w:bottom w:val="none" w:sz="0" w:space="0" w:color="auto"/>
        <w:right w:val="none" w:sz="0" w:space="0" w:color="auto"/>
      </w:divBdr>
    </w:div>
    <w:div w:id="380204604">
      <w:bodyDiv w:val="1"/>
      <w:marLeft w:val="0"/>
      <w:marRight w:val="0"/>
      <w:marTop w:val="0"/>
      <w:marBottom w:val="0"/>
      <w:divBdr>
        <w:top w:val="none" w:sz="0" w:space="0" w:color="auto"/>
        <w:left w:val="none" w:sz="0" w:space="0" w:color="auto"/>
        <w:bottom w:val="none" w:sz="0" w:space="0" w:color="auto"/>
        <w:right w:val="none" w:sz="0" w:space="0" w:color="auto"/>
      </w:divBdr>
    </w:div>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481384943">
      <w:bodyDiv w:val="1"/>
      <w:marLeft w:val="0"/>
      <w:marRight w:val="0"/>
      <w:marTop w:val="0"/>
      <w:marBottom w:val="0"/>
      <w:divBdr>
        <w:top w:val="none" w:sz="0" w:space="0" w:color="auto"/>
        <w:left w:val="none" w:sz="0" w:space="0" w:color="auto"/>
        <w:bottom w:val="none" w:sz="0" w:space="0" w:color="auto"/>
        <w:right w:val="none" w:sz="0" w:space="0" w:color="auto"/>
      </w:divBdr>
    </w:div>
    <w:div w:id="498887136">
      <w:bodyDiv w:val="1"/>
      <w:marLeft w:val="0"/>
      <w:marRight w:val="0"/>
      <w:marTop w:val="0"/>
      <w:marBottom w:val="0"/>
      <w:divBdr>
        <w:top w:val="none" w:sz="0" w:space="0" w:color="auto"/>
        <w:left w:val="none" w:sz="0" w:space="0" w:color="auto"/>
        <w:bottom w:val="none" w:sz="0" w:space="0" w:color="auto"/>
        <w:right w:val="none" w:sz="0" w:space="0" w:color="auto"/>
      </w:divBdr>
    </w:div>
    <w:div w:id="511990466">
      <w:bodyDiv w:val="1"/>
      <w:marLeft w:val="0"/>
      <w:marRight w:val="0"/>
      <w:marTop w:val="0"/>
      <w:marBottom w:val="0"/>
      <w:divBdr>
        <w:top w:val="none" w:sz="0" w:space="0" w:color="auto"/>
        <w:left w:val="none" w:sz="0" w:space="0" w:color="auto"/>
        <w:bottom w:val="none" w:sz="0" w:space="0" w:color="auto"/>
        <w:right w:val="none" w:sz="0" w:space="0" w:color="auto"/>
      </w:divBdr>
    </w:div>
    <w:div w:id="514266938">
      <w:bodyDiv w:val="1"/>
      <w:marLeft w:val="0"/>
      <w:marRight w:val="0"/>
      <w:marTop w:val="0"/>
      <w:marBottom w:val="0"/>
      <w:divBdr>
        <w:top w:val="none" w:sz="0" w:space="0" w:color="auto"/>
        <w:left w:val="none" w:sz="0" w:space="0" w:color="auto"/>
        <w:bottom w:val="none" w:sz="0" w:space="0" w:color="auto"/>
        <w:right w:val="none" w:sz="0" w:space="0" w:color="auto"/>
      </w:divBdr>
    </w:div>
    <w:div w:id="530265031">
      <w:bodyDiv w:val="1"/>
      <w:marLeft w:val="0"/>
      <w:marRight w:val="0"/>
      <w:marTop w:val="0"/>
      <w:marBottom w:val="0"/>
      <w:divBdr>
        <w:top w:val="none" w:sz="0" w:space="0" w:color="auto"/>
        <w:left w:val="none" w:sz="0" w:space="0" w:color="auto"/>
        <w:bottom w:val="none" w:sz="0" w:space="0" w:color="auto"/>
        <w:right w:val="none" w:sz="0" w:space="0" w:color="auto"/>
      </w:divBdr>
    </w:div>
    <w:div w:id="537015547">
      <w:bodyDiv w:val="1"/>
      <w:marLeft w:val="0"/>
      <w:marRight w:val="0"/>
      <w:marTop w:val="0"/>
      <w:marBottom w:val="0"/>
      <w:divBdr>
        <w:top w:val="none" w:sz="0" w:space="0" w:color="auto"/>
        <w:left w:val="none" w:sz="0" w:space="0" w:color="auto"/>
        <w:bottom w:val="none" w:sz="0" w:space="0" w:color="auto"/>
        <w:right w:val="none" w:sz="0" w:space="0" w:color="auto"/>
      </w:divBdr>
    </w:div>
    <w:div w:id="556353870">
      <w:bodyDiv w:val="1"/>
      <w:marLeft w:val="0"/>
      <w:marRight w:val="0"/>
      <w:marTop w:val="0"/>
      <w:marBottom w:val="0"/>
      <w:divBdr>
        <w:top w:val="none" w:sz="0" w:space="0" w:color="auto"/>
        <w:left w:val="none" w:sz="0" w:space="0" w:color="auto"/>
        <w:bottom w:val="none" w:sz="0" w:space="0" w:color="auto"/>
        <w:right w:val="none" w:sz="0" w:space="0" w:color="auto"/>
      </w:divBdr>
    </w:div>
    <w:div w:id="577902293">
      <w:bodyDiv w:val="1"/>
      <w:marLeft w:val="0"/>
      <w:marRight w:val="0"/>
      <w:marTop w:val="0"/>
      <w:marBottom w:val="0"/>
      <w:divBdr>
        <w:top w:val="none" w:sz="0" w:space="0" w:color="auto"/>
        <w:left w:val="none" w:sz="0" w:space="0" w:color="auto"/>
        <w:bottom w:val="none" w:sz="0" w:space="0" w:color="auto"/>
        <w:right w:val="none" w:sz="0" w:space="0" w:color="auto"/>
      </w:divBdr>
      <w:divsChild>
        <w:div w:id="486046663">
          <w:marLeft w:val="0"/>
          <w:marRight w:val="0"/>
          <w:marTop w:val="0"/>
          <w:marBottom w:val="0"/>
          <w:divBdr>
            <w:top w:val="none" w:sz="0" w:space="0" w:color="auto"/>
            <w:left w:val="none" w:sz="0" w:space="0" w:color="auto"/>
            <w:bottom w:val="none" w:sz="0" w:space="0" w:color="auto"/>
            <w:right w:val="none" w:sz="0" w:space="0" w:color="auto"/>
          </w:divBdr>
        </w:div>
        <w:div w:id="557134816">
          <w:marLeft w:val="0"/>
          <w:marRight w:val="0"/>
          <w:marTop w:val="0"/>
          <w:marBottom w:val="0"/>
          <w:divBdr>
            <w:top w:val="none" w:sz="0" w:space="0" w:color="auto"/>
            <w:left w:val="none" w:sz="0" w:space="0" w:color="auto"/>
            <w:bottom w:val="none" w:sz="0" w:space="0" w:color="auto"/>
            <w:right w:val="none" w:sz="0" w:space="0" w:color="auto"/>
          </w:divBdr>
        </w:div>
        <w:div w:id="624123279">
          <w:marLeft w:val="0"/>
          <w:marRight w:val="0"/>
          <w:marTop w:val="0"/>
          <w:marBottom w:val="0"/>
          <w:divBdr>
            <w:top w:val="none" w:sz="0" w:space="0" w:color="auto"/>
            <w:left w:val="none" w:sz="0" w:space="0" w:color="auto"/>
            <w:bottom w:val="none" w:sz="0" w:space="0" w:color="auto"/>
            <w:right w:val="none" w:sz="0" w:space="0" w:color="auto"/>
          </w:divBdr>
        </w:div>
        <w:div w:id="755782579">
          <w:marLeft w:val="0"/>
          <w:marRight w:val="0"/>
          <w:marTop w:val="0"/>
          <w:marBottom w:val="0"/>
          <w:divBdr>
            <w:top w:val="none" w:sz="0" w:space="0" w:color="auto"/>
            <w:left w:val="none" w:sz="0" w:space="0" w:color="auto"/>
            <w:bottom w:val="none" w:sz="0" w:space="0" w:color="auto"/>
            <w:right w:val="none" w:sz="0" w:space="0" w:color="auto"/>
          </w:divBdr>
        </w:div>
        <w:div w:id="1556816979">
          <w:marLeft w:val="0"/>
          <w:marRight w:val="0"/>
          <w:marTop w:val="0"/>
          <w:marBottom w:val="0"/>
          <w:divBdr>
            <w:top w:val="none" w:sz="0" w:space="0" w:color="auto"/>
            <w:left w:val="none" w:sz="0" w:space="0" w:color="auto"/>
            <w:bottom w:val="none" w:sz="0" w:space="0" w:color="auto"/>
            <w:right w:val="none" w:sz="0" w:space="0" w:color="auto"/>
          </w:divBdr>
        </w:div>
      </w:divsChild>
    </w:div>
    <w:div w:id="598686822">
      <w:bodyDiv w:val="1"/>
      <w:marLeft w:val="0"/>
      <w:marRight w:val="0"/>
      <w:marTop w:val="0"/>
      <w:marBottom w:val="0"/>
      <w:divBdr>
        <w:top w:val="none" w:sz="0" w:space="0" w:color="auto"/>
        <w:left w:val="none" w:sz="0" w:space="0" w:color="auto"/>
        <w:bottom w:val="none" w:sz="0" w:space="0" w:color="auto"/>
        <w:right w:val="none" w:sz="0" w:space="0" w:color="auto"/>
      </w:divBdr>
    </w:div>
    <w:div w:id="608440518">
      <w:bodyDiv w:val="1"/>
      <w:marLeft w:val="0"/>
      <w:marRight w:val="0"/>
      <w:marTop w:val="0"/>
      <w:marBottom w:val="0"/>
      <w:divBdr>
        <w:top w:val="none" w:sz="0" w:space="0" w:color="auto"/>
        <w:left w:val="none" w:sz="0" w:space="0" w:color="auto"/>
        <w:bottom w:val="none" w:sz="0" w:space="0" w:color="auto"/>
        <w:right w:val="none" w:sz="0" w:space="0" w:color="auto"/>
      </w:divBdr>
    </w:div>
    <w:div w:id="613024815">
      <w:bodyDiv w:val="1"/>
      <w:marLeft w:val="0"/>
      <w:marRight w:val="0"/>
      <w:marTop w:val="0"/>
      <w:marBottom w:val="0"/>
      <w:divBdr>
        <w:top w:val="none" w:sz="0" w:space="0" w:color="auto"/>
        <w:left w:val="none" w:sz="0" w:space="0" w:color="auto"/>
        <w:bottom w:val="none" w:sz="0" w:space="0" w:color="auto"/>
        <w:right w:val="none" w:sz="0" w:space="0" w:color="auto"/>
      </w:divBdr>
    </w:div>
    <w:div w:id="630987343">
      <w:bodyDiv w:val="1"/>
      <w:marLeft w:val="0"/>
      <w:marRight w:val="0"/>
      <w:marTop w:val="0"/>
      <w:marBottom w:val="0"/>
      <w:divBdr>
        <w:top w:val="none" w:sz="0" w:space="0" w:color="auto"/>
        <w:left w:val="none" w:sz="0" w:space="0" w:color="auto"/>
        <w:bottom w:val="none" w:sz="0" w:space="0" w:color="auto"/>
        <w:right w:val="none" w:sz="0" w:space="0" w:color="auto"/>
      </w:divBdr>
    </w:div>
    <w:div w:id="634022591">
      <w:bodyDiv w:val="1"/>
      <w:marLeft w:val="0"/>
      <w:marRight w:val="0"/>
      <w:marTop w:val="0"/>
      <w:marBottom w:val="0"/>
      <w:divBdr>
        <w:top w:val="none" w:sz="0" w:space="0" w:color="auto"/>
        <w:left w:val="none" w:sz="0" w:space="0" w:color="auto"/>
        <w:bottom w:val="none" w:sz="0" w:space="0" w:color="auto"/>
        <w:right w:val="none" w:sz="0" w:space="0" w:color="auto"/>
      </w:divBdr>
    </w:div>
    <w:div w:id="640697778">
      <w:bodyDiv w:val="1"/>
      <w:marLeft w:val="0"/>
      <w:marRight w:val="0"/>
      <w:marTop w:val="0"/>
      <w:marBottom w:val="0"/>
      <w:divBdr>
        <w:top w:val="none" w:sz="0" w:space="0" w:color="auto"/>
        <w:left w:val="none" w:sz="0" w:space="0" w:color="auto"/>
        <w:bottom w:val="none" w:sz="0" w:space="0" w:color="auto"/>
        <w:right w:val="none" w:sz="0" w:space="0" w:color="auto"/>
      </w:divBdr>
    </w:div>
    <w:div w:id="655842072">
      <w:bodyDiv w:val="1"/>
      <w:marLeft w:val="0"/>
      <w:marRight w:val="0"/>
      <w:marTop w:val="0"/>
      <w:marBottom w:val="0"/>
      <w:divBdr>
        <w:top w:val="none" w:sz="0" w:space="0" w:color="auto"/>
        <w:left w:val="none" w:sz="0" w:space="0" w:color="auto"/>
        <w:bottom w:val="none" w:sz="0" w:space="0" w:color="auto"/>
        <w:right w:val="none" w:sz="0" w:space="0" w:color="auto"/>
      </w:divBdr>
    </w:div>
    <w:div w:id="660159580">
      <w:bodyDiv w:val="1"/>
      <w:marLeft w:val="0"/>
      <w:marRight w:val="0"/>
      <w:marTop w:val="0"/>
      <w:marBottom w:val="0"/>
      <w:divBdr>
        <w:top w:val="none" w:sz="0" w:space="0" w:color="auto"/>
        <w:left w:val="none" w:sz="0" w:space="0" w:color="auto"/>
        <w:bottom w:val="none" w:sz="0" w:space="0" w:color="auto"/>
        <w:right w:val="none" w:sz="0" w:space="0" w:color="auto"/>
      </w:divBdr>
    </w:div>
    <w:div w:id="717125341">
      <w:bodyDiv w:val="1"/>
      <w:marLeft w:val="0"/>
      <w:marRight w:val="0"/>
      <w:marTop w:val="0"/>
      <w:marBottom w:val="0"/>
      <w:divBdr>
        <w:top w:val="none" w:sz="0" w:space="0" w:color="auto"/>
        <w:left w:val="none" w:sz="0" w:space="0" w:color="auto"/>
        <w:bottom w:val="none" w:sz="0" w:space="0" w:color="auto"/>
        <w:right w:val="none" w:sz="0" w:space="0" w:color="auto"/>
      </w:divBdr>
    </w:div>
    <w:div w:id="758020850">
      <w:bodyDiv w:val="1"/>
      <w:marLeft w:val="0"/>
      <w:marRight w:val="0"/>
      <w:marTop w:val="0"/>
      <w:marBottom w:val="0"/>
      <w:divBdr>
        <w:top w:val="none" w:sz="0" w:space="0" w:color="auto"/>
        <w:left w:val="none" w:sz="0" w:space="0" w:color="auto"/>
        <w:bottom w:val="none" w:sz="0" w:space="0" w:color="auto"/>
        <w:right w:val="none" w:sz="0" w:space="0" w:color="auto"/>
      </w:divBdr>
    </w:div>
    <w:div w:id="771128109">
      <w:bodyDiv w:val="1"/>
      <w:marLeft w:val="0"/>
      <w:marRight w:val="0"/>
      <w:marTop w:val="0"/>
      <w:marBottom w:val="0"/>
      <w:divBdr>
        <w:top w:val="none" w:sz="0" w:space="0" w:color="auto"/>
        <w:left w:val="none" w:sz="0" w:space="0" w:color="auto"/>
        <w:bottom w:val="none" w:sz="0" w:space="0" w:color="auto"/>
        <w:right w:val="none" w:sz="0" w:space="0" w:color="auto"/>
      </w:divBdr>
    </w:div>
    <w:div w:id="801388291">
      <w:bodyDiv w:val="1"/>
      <w:marLeft w:val="0"/>
      <w:marRight w:val="0"/>
      <w:marTop w:val="0"/>
      <w:marBottom w:val="0"/>
      <w:divBdr>
        <w:top w:val="none" w:sz="0" w:space="0" w:color="auto"/>
        <w:left w:val="none" w:sz="0" w:space="0" w:color="auto"/>
        <w:bottom w:val="none" w:sz="0" w:space="0" w:color="auto"/>
        <w:right w:val="none" w:sz="0" w:space="0" w:color="auto"/>
      </w:divBdr>
    </w:div>
    <w:div w:id="807239582">
      <w:bodyDiv w:val="1"/>
      <w:marLeft w:val="0"/>
      <w:marRight w:val="0"/>
      <w:marTop w:val="0"/>
      <w:marBottom w:val="0"/>
      <w:divBdr>
        <w:top w:val="none" w:sz="0" w:space="0" w:color="auto"/>
        <w:left w:val="none" w:sz="0" w:space="0" w:color="auto"/>
        <w:bottom w:val="none" w:sz="0" w:space="0" w:color="auto"/>
        <w:right w:val="none" w:sz="0" w:space="0" w:color="auto"/>
      </w:divBdr>
    </w:div>
    <w:div w:id="840001584">
      <w:bodyDiv w:val="1"/>
      <w:marLeft w:val="0"/>
      <w:marRight w:val="0"/>
      <w:marTop w:val="0"/>
      <w:marBottom w:val="0"/>
      <w:divBdr>
        <w:top w:val="none" w:sz="0" w:space="0" w:color="auto"/>
        <w:left w:val="none" w:sz="0" w:space="0" w:color="auto"/>
        <w:bottom w:val="none" w:sz="0" w:space="0" w:color="auto"/>
        <w:right w:val="none" w:sz="0" w:space="0" w:color="auto"/>
      </w:divBdr>
    </w:div>
    <w:div w:id="872423763">
      <w:bodyDiv w:val="1"/>
      <w:marLeft w:val="0"/>
      <w:marRight w:val="0"/>
      <w:marTop w:val="0"/>
      <w:marBottom w:val="0"/>
      <w:divBdr>
        <w:top w:val="none" w:sz="0" w:space="0" w:color="auto"/>
        <w:left w:val="none" w:sz="0" w:space="0" w:color="auto"/>
        <w:bottom w:val="none" w:sz="0" w:space="0" w:color="auto"/>
        <w:right w:val="none" w:sz="0" w:space="0" w:color="auto"/>
      </w:divBdr>
    </w:div>
    <w:div w:id="939022916">
      <w:bodyDiv w:val="1"/>
      <w:marLeft w:val="0"/>
      <w:marRight w:val="0"/>
      <w:marTop w:val="0"/>
      <w:marBottom w:val="0"/>
      <w:divBdr>
        <w:top w:val="none" w:sz="0" w:space="0" w:color="auto"/>
        <w:left w:val="none" w:sz="0" w:space="0" w:color="auto"/>
        <w:bottom w:val="none" w:sz="0" w:space="0" w:color="auto"/>
        <w:right w:val="none" w:sz="0" w:space="0" w:color="auto"/>
      </w:divBdr>
    </w:div>
    <w:div w:id="970479790">
      <w:bodyDiv w:val="1"/>
      <w:marLeft w:val="0"/>
      <w:marRight w:val="0"/>
      <w:marTop w:val="0"/>
      <w:marBottom w:val="0"/>
      <w:divBdr>
        <w:top w:val="none" w:sz="0" w:space="0" w:color="auto"/>
        <w:left w:val="none" w:sz="0" w:space="0" w:color="auto"/>
        <w:bottom w:val="none" w:sz="0" w:space="0" w:color="auto"/>
        <w:right w:val="none" w:sz="0" w:space="0" w:color="auto"/>
      </w:divBdr>
    </w:div>
    <w:div w:id="991059022">
      <w:bodyDiv w:val="1"/>
      <w:marLeft w:val="0"/>
      <w:marRight w:val="0"/>
      <w:marTop w:val="0"/>
      <w:marBottom w:val="0"/>
      <w:divBdr>
        <w:top w:val="none" w:sz="0" w:space="0" w:color="auto"/>
        <w:left w:val="none" w:sz="0" w:space="0" w:color="auto"/>
        <w:bottom w:val="none" w:sz="0" w:space="0" w:color="auto"/>
        <w:right w:val="none" w:sz="0" w:space="0" w:color="auto"/>
      </w:divBdr>
      <w:divsChild>
        <w:div w:id="459566785">
          <w:marLeft w:val="0"/>
          <w:marRight w:val="0"/>
          <w:marTop w:val="0"/>
          <w:marBottom w:val="0"/>
          <w:divBdr>
            <w:top w:val="none" w:sz="0" w:space="0" w:color="auto"/>
            <w:left w:val="none" w:sz="0" w:space="0" w:color="auto"/>
            <w:bottom w:val="none" w:sz="0" w:space="0" w:color="auto"/>
            <w:right w:val="none" w:sz="0" w:space="0" w:color="auto"/>
          </w:divBdr>
        </w:div>
        <w:div w:id="750542965">
          <w:marLeft w:val="0"/>
          <w:marRight w:val="0"/>
          <w:marTop w:val="0"/>
          <w:marBottom w:val="0"/>
          <w:divBdr>
            <w:top w:val="none" w:sz="0" w:space="0" w:color="auto"/>
            <w:left w:val="none" w:sz="0" w:space="0" w:color="auto"/>
            <w:bottom w:val="none" w:sz="0" w:space="0" w:color="auto"/>
            <w:right w:val="none" w:sz="0" w:space="0" w:color="auto"/>
          </w:divBdr>
        </w:div>
        <w:div w:id="829903499">
          <w:marLeft w:val="0"/>
          <w:marRight w:val="0"/>
          <w:marTop w:val="0"/>
          <w:marBottom w:val="0"/>
          <w:divBdr>
            <w:top w:val="none" w:sz="0" w:space="0" w:color="auto"/>
            <w:left w:val="none" w:sz="0" w:space="0" w:color="auto"/>
            <w:bottom w:val="none" w:sz="0" w:space="0" w:color="auto"/>
            <w:right w:val="none" w:sz="0" w:space="0" w:color="auto"/>
          </w:divBdr>
        </w:div>
        <w:div w:id="2035688265">
          <w:marLeft w:val="0"/>
          <w:marRight w:val="0"/>
          <w:marTop w:val="0"/>
          <w:marBottom w:val="0"/>
          <w:divBdr>
            <w:top w:val="none" w:sz="0" w:space="0" w:color="auto"/>
            <w:left w:val="none" w:sz="0" w:space="0" w:color="auto"/>
            <w:bottom w:val="none" w:sz="0" w:space="0" w:color="auto"/>
            <w:right w:val="none" w:sz="0" w:space="0" w:color="auto"/>
          </w:divBdr>
        </w:div>
      </w:divsChild>
    </w:div>
    <w:div w:id="1002047996">
      <w:bodyDiv w:val="1"/>
      <w:marLeft w:val="0"/>
      <w:marRight w:val="0"/>
      <w:marTop w:val="0"/>
      <w:marBottom w:val="0"/>
      <w:divBdr>
        <w:top w:val="none" w:sz="0" w:space="0" w:color="auto"/>
        <w:left w:val="none" w:sz="0" w:space="0" w:color="auto"/>
        <w:bottom w:val="none" w:sz="0" w:space="0" w:color="auto"/>
        <w:right w:val="none" w:sz="0" w:space="0" w:color="auto"/>
      </w:divBdr>
    </w:div>
    <w:div w:id="1010914120">
      <w:bodyDiv w:val="1"/>
      <w:marLeft w:val="0"/>
      <w:marRight w:val="0"/>
      <w:marTop w:val="0"/>
      <w:marBottom w:val="0"/>
      <w:divBdr>
        <w:top w:val="none" w:sz="0" w:space="0" w:color="auto"/>
        <w:left w:val="none" w:sz="0" w:space="0" w:color="auto"/>
        <w:bottom w:val="none" w:sz="0" w:space="0" w:color="auto"/>
        <w:right w:val="none" w:sz="0" w:space="0" w:color="auto"/>
      </w:divBdr>
    </w:div>
    <w:div w:id="1022899453">
      <w:bodyDiv w:val="1"/>
      <w:marLeft w:val="0"/>
      <w:marRight w:val="0"/>
      <w:marTop w:val="0"/>
      <w:marBottom w:val="0"/>
      <w:divBdr>
        <w:top w:val="none" w:sz="0" w:space="0" w:color="auto"/>
        <w:left w:val="none" w:sz="0" w:space="0" w:color="auto"/>
        <w:bottom w:val="none" w:sz="0" w:space="0" w:color="auto"/>
        <w:right w:val="none" w:sz="0" w:space="0" w:color="auto"/>
      </w:divBdr>
    </w:div>
    <w:div w:id="1036350540">
      <w:bodyDiv w:val="1"/>
      <w:marLeft w:val="0"/>
      <w:marRight w:val="0"/>
      <w:marTop w:val="0"/>
      <w:marBottom w:val="0"/>
      <w:divBdr>
        <w:top w:val="none" w:sz="0" w:space="0" w:color="auto"/>
        <w:left w:val="none" w:sz="0" w:space="0" w:color="auto"/>
        <w:bottom w:val="none" w:sz="0" w:space="0" w:color="auto"/>
        <w:right w:val="none" w:sz="0" w:space="0" w:color="auto"/>
      </w:divBdr>
    </w:div>
    <w:div w:id="1037969201">
      <w:bodyDiv w:val="1"/>
      <w:marLeft w:val="0"/>
      <w:marRight w:val="0"/>
      <w:marTop w:val="0"/>
      <w:marBottom w:val="0"/>
      <w:divBdr>
        <w:top w:val="none" w:sz="0" w:space="0" w:color="auto"/>
        <w:left w:val="none" w:sz="0" w:space="0" w:color="auto"/>
        <w:bottom w:val="none" w:sz="0" w:space="0" w:color="auto"/>
        <w:right w:val="none" w:sz="0" w:space="0" w:color="auto"/>
      </w:divBdr>
    </w:div>
    <w:div w:id="1077021333">
      <w:bodyDiv w:val="1"/>
      <w:marLeft w:val="0"/>
      <w:marRight w:val="0"/>
      <w:marTop w:val="0"/>
      <w:marBottom w:val="0"/>
      <w:divBdr>
        <w:top w:val="none" w:sz="0" w:space="0" w:color="auto"/>
        <w:left w:val="none" w:sz="0" w:space="0" w:color="auto"/>
        <w:bottom w:val="none" w:sz="0" w:space="0" w:color="auto"/>
        <w:right w:val="none" w:sz="0" w:space="0" w:color="auto"/>
      </w:divBdr>
    </w:div>
    <w:div w:id="1114639317">
      <w:bodyDiv w:val="1"/>
      <w:marLeft w:val="0"/>
      <w:marRight w:val="0"/>
      <w:marTop w:val="0"/>
      <w:marBottom w:val="0"/>
      <w:divBdr>
        <w:top w:val="none" w:sz="0" w:space="0" w:color="auto"/>
        <w:left w:val="none" w:sz="0" w:space="0" w:color="auto"/>
        <w:bottom w:val="none" w:sz="0" w:space="0" w:color="auto"/>
        <w:right w:val="none" w:sz="0" w:space="0" w:color="auto"/>
      </w:divBdr>
    </w:div>
    <w:div w:id="1158884088">
      <w:bodyDiv w:val="1"/>
      <w:marLeft w:val="0"/>
      <w:marRight w:val="0"/>
      <w:marTop w:val="0"/>
      <w:marBottom w:val="0"/>
      <w:divBdr>
        <w:top w:val="none" w:sz="0" w:space="0" w:color="auto"/>
        <w:left w:val="none" w:sz="0" w:space="0" w:color="auto"/>
        <w:bottom w:val="none" w:sz="0" w:space="0" w:color="auto"/>
        <w:right w:val="none" w:sz="0" w:space="0" w:color="auto"/>
      </w:divBdr>
    </w:div>
    <w:div w:id="1183085491">
      <w:bodyDiv w:val="1"/>
      <w:marLeft w:val="0"/>
      <w:marRight w:val="0"/>
      <w:marTop w:val="0"/>
      <w:marBottom w:val="0"/>
      <w:divBdr>
        <w:top w:val="none" w:sz="0" w:space="0" w:color="auto"/>
        <w:left w:val="none" w:sz="0" w:space="0" w:color="auto"/>
        <w:bottom w:val="none" w:sz="0" w:space="0" w:color="auto"/>
        <w:right w:val="none" w:sz="0" w:space="0" w:color="auto"/>
      </w:divBdr>
    </w:div>
    <w:div w:id="1186677501">
      <w:bodyDiv w:val="1"/>
      <w:marLeft w:val="0"/>
      <w:marRight w:val="0"/>
      <w:marTop w:val="0"/>
      <w:marBottom w:val="0"/>
      <w:divBdr>
        <w:top w:val="none" w:sz="0" w:space="0" w:color="auto"/>
        <w:left w:val="none" w:sz="0" w:space="0" w:color="auto"/>
        <w:bottom w:val="none" w:sz="0" w:space="0" w:color="auto"/>
        <w:right w:val="none" w:sz="0" w:space="0" w:color="auto"/>
      </w:divBdr>
    </w:div>
    <w:div w:id="1200975162">
      <w:bodyDiv w:val="1"/>
      <w:marLeft w:val="0"/>
      <w:marRight w:val="0"/>
      <w:marTop w:val="0"/>
      <w:marBottom w:val="0"/>
      <w:divBdr>
        <w:top w:val="none" w:sz="0" w:space="0" w:color="auto"/>
        <w:left w:val="none" w:sz="0" w:space="0" w:color="auto"/>
        <w:bottom w:val="none" w:sz="0" w:space="0" w:color="auto"/>
        <w:right w:val="none" w:sz="0" w:space="0" w:color="auto"/>
      </w:divBdr>
    </w:div>
    <w:div w:id="1215970684">
      <w:bodyDiv w:val="1"/>
      <w:marLeft w:val="0"/>
      <w:marRight w:val="0"/>
      <w:marTop w:val="0"/>
      <w:marBottom w:val="0"/>
      <w:divBdr>
        <w:top w:val="none" w:sz="0" w:space="0" w:color="auto"/>
        <w:left w:val="none" w:sz="0" w:space="0" w:color="auto"/>
        <w:bottom w:val="none" w:sz="0" w:space="0" w:color="auto"/>
        <w:right w:val="none" w:sz="0" w:space="0" w:color="auto"/>
      </w:divBdr>
    </w:div>
    <w:div w:id="1234002427">
      <w:bodyDiv w:val="1"/>
      <w:marLeft w:val="0"/>
      <w:marRight w:val="0"/>
      <w:marTop w:val="0"/>
      <w:marBottom w:val="0"/>
      <w:divBdr>
        <w:top w:val="none" w:sz="0" w:space="0" w:color="auto"/>
        <w:left w:val="none" w:sz="0" w:space="0" w:color="auto"/>
        <w:bottom w:val="none" w:sz="0" w:space="0" w:color="auto"/>
        <w:right w:val="none" w:sz="0" w:space="0" w:color="auto"/>
      </w:divBdr>
    </w:div>
    <w:div w:id="1245839759">
      <w:bodyDiv w:val="1"/>
      <w:marLeft w:val="0"/>
      <w:marRight w:val="0"/>
      <w:marTop w:val="0"/>
      <w:marBottom w:val="0"/>
      <w:divBdr>
        <w:top w:val="none" w:sz="0" w:space="0" w:color="auto"/>
        <w:left w:val="none" w:sz="0" w:space="0" w:color="auto"/>
        <w:bottom w:val="none" w:sz="0" w:space="0" w:color="auto"/>
        <w:right w:val="none" w:sz="0" w:space="0" w:color="auto"/>
      </w:divBdr>
    </w:div>
    <w:div w:id="1260022325">
      <w:bodyDiv w:val="1"/>
      <w:marLeft w:val="0"/>
      <w:marRight w:val="0"/>
      <w:marTop w:val="0"/>
      <w:marBottom w:val="0"/>
      <w:divBdr>
        <w:top w:val="none" w:sz="0" w:space="0" w:color="auto"/>
        <w:left w:val="none" w:sz="0" w:space="0" w:color="auto"/>
        <w:bottom w:val="none" w:sz="0" w:space="0" w:color="auto"/>
        <w:right w:val="none" w:sz="0" w:space="0" w:color="auto"/>
      </w:divBdr>
    </w:div>
    <w:div w:id="1310817312">
      <w:bodyDiv w:val="1"/>
      <w:marLeft w:val="0"/>
      <w:marRight w:val="0"/>
      <w:marTop w:val="0"/>
      <w:marBottom w:val="0"/>
      <w:divBdr>
        <w:top w:val="none" w:sz="0" w:space="0" w:color="auto"/>
        <w:left w:val="none" w:sz="0" w:space="0" w:color="auto"/>
        <w:bottom w:val="none" w:sz="0" w:space="0" w:color="auto"/>
        <w:right w:val="none" w:sz="0" w:space="0" w:color="auto"/>
      </w:divBdr>
    </w:div>
    <w:div w:id="1326203841">
      <w:bodyDiv w:val="1"/>
      <w:marLeft w:val="0"/>
      <w:marRight w:val="0"/>
      <w:marTop w:val="0"/>
      <w:marBottom w:val="0"/>
      <w:divBdr>
        <w:top w:val="none" w:sz="0" w:space="0" w:color="auto"/>
        <w:left w:val="none" w:sz="0" w:space="0" w:color="auto"/>
        <w:bottom w:val="none" w:sz="0" w:space="0" w:color="auto"/>
        <w:right w:val="none" w:sz="0" w:space="0" w:color="auto"/>
      </w:divBdr>
    </w:div>
    <w:div w:id="1384209777">
      <w:bodyDiv w:val="1"/>
      <w:marLeft w:val="0"/>
      <w:marRight w:val="0"/>
      <w:marTop w:val="0"/>
      <w:marBottom w:val="0"/>
      <w:divBdr>
        <w:top w:val="none" w:sz="0" w:space="0" w:color="auto"/>
        <w:left w:val="none" w:sz="0" w:space="0" w:color="auto"/>
        <w:bottom w:val="none" w:sz="0" w:space="0" w:color="auto"/>
        <w:right w:val="none" w:sz="0" w:space="0" w:color="auto"/>
      </w:divBdr>
      <w:divsChild>
        <w:div w:id="571695606">
          <w:marLeft w:val="0"/>
          <w:marRight w:val="0"/>
          <w:marTop w:val="0"/>
          <w:marBottom w:val="0"/>
          <w:divBdr>
            <w:top w:val="none" w:sz="0" w:space="0" w:color="auto"/>
            <w:left w:val="none" w:sz="0" w:space="0" w:color="auto"/>
            <w:bottom w:val="none" w:sz="0" w:space="0" w:color="auto"/>
            <w:right w:val="none" w:sz="0" w:space="0" w:color="auto"/>
          </w:divBdr>
          <w:divsChild>
            <w:div w:id="871235795">
              <w:marLeft w:val="0"/>
              <w:marRight w:val="0"/>
              <w:marTop w:val="0"/>
              <w:marBottom w:val="0"/>
              <w:divBdr>
                <w:top w:val="none" w:sz="0" w:space="0" w:color="auto"/>
                <w:left w:val="none" w:sz="0" w:space="0" w:color="auto"/>
                <w:bottom w:val="none" w:sz="0" w:space="0" w:color="auto"/>
                <w:right w:val="none" w:sz="0" w:space="0" w:color="auto"/>
              </w:divBdr>
              <w:divsChild>
                <w:div w:id="1966739488">
                  <w:marLeft w:val="0"/>
                  <w:marRight w:val="0"/>
                  <w:marTop w:val="0"/>
                  <w:marBottom w:val="0"/>
                  <w:divBdr>
                    <w:top w:val="none" w:sz="0" w:space="0" w:color="auto"/>
                    <w:left w:val="none" w:sz="0" w:space="0" w:color="auto"/>
                    <w:bottom w:val="none" w:sz="0" w:space="0" w:color="auto"/>
                    <w:right w:val="none" w:sz="0" w:space="0" w:color="auto"/>
                  </w:divBdr>
                  <w:divsChild>
                    <w:div w:id="1927375449">
                      <w:marLeft w:val="0"/>
                      <w:marRight w:val="0"/>
                      <w:marTop w:val="0"/>
                      <w:marBottom w:val="0"/>
                      <w:divBdr>
                        <w:top w:val="none" w:sz="0" w:space="0" w:color="auto"/>
                        <w:left w:val="none" w:sz="0" w:space="0" w:color="auto"/>
                        <w:bottom w:val="none" w:sz="0" w:space="0" w:color="auto"/>
                        <w:right w:val="none" w:sz="0" w:space="0" w:color="auto"/>
                      </w:divBdr>
                      <w:divsChild>
                        <w:div w:id="14239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505982">
      <w:bodyDiv w:val="1"/>
      <w:marLeft w:val="0"/>
      <w:marRight w:val="0"/>
      <w:marTop w:val="0"/>
      <w:marBottom w:val="0"/>
      <w:divBdr>
        <w:top w:val="none" w:sz="0" w:space="0" w:color="auto"/>
        <w:left w:val="none" w:sz="0" w:space="0" w:color="auto"/>
        <w:bottom w:val="none" w:sz="0" w:space="0" w:color="auto"/>
        <w:right w:val="none" w:sz="0" w:space="0" w:color="auto"/>
      </w:divBdr>
    </w:div>
    <w:div w:id="1431581443">
      <w:bodyDiv w:val="1"/>
      <w:marLeft w:val="0"/>
      <w:marRight w:val="0"/>
      <w:marTop w:val="0"/>
      <w:marBottom w:val="0"/>
      <w:divBdr>
        <w:top w:val="none" w:sz="0" w:space="0" w:color="auto"/>
        <w:left w:val="none" w:sz="0" w:space="0" w:color="auto"/>
        <w:bottom w:val="none" w:sz="0" w:space="0" w:color="auto"/>
        <w:right w:val="none" w:sz="0" w:space="0" w:color="auto"/>
      </w:divBdr>
    </w:div>
    <w:div w:id="1483423826">
      <w:bodyDiv w:val="1"/>
      <w:marLeft w:val="0"/>
      <w:marRight w:val="0"/>
      <w:marTop w:val="0"/>
      <w:marBottom w:val="0"/>
      <w:divBdr>
        <w:top w:val="none" w:sz="0" w:space="0" w:color="auto"/>
        <w:left w:val="none" w:sz="0" w:space="0" w:color="auto"/>
        <w:bottom w:val="none" w:sz="0" w:space="0" w:color="auto"/>
        <w:right w:val="none" w:sz="0" w:space="0" w:color="auto"/>
      </w:divBdr>
    </w:div>
    <w:div w:id="1484546586">
      <w:bodyDiv w:val="1"/>
      <w:marLeft w:val="0"/>
      <w:marRight w:val="0"/>
      <w:marTop w:val="0"/>
      <w:marBottom w:val="0"/>
      <w:divBdr>
        <w:top w:val="none" w:sz="0" w:space="0" w:color="auto"/>
        <w:left w:val="none" w:sz="0" w:space="0" w:color="auto"/>
        <w:bottom w:val="none" w:sz="0" w:space="0" w:color="auto"/>
        <w:right w:val="none" w:sz="0" w:space="0" w:color="auto"/>
      </w:divBdr>
    </w:div>
    <w:div w:id="1511141493">
      <w:bodyDiv w:val="1"/>
      <w:marLeft w:val="0"/>
      <w:marRight w:val="0"/>
      <w:marTop w:val="0"/>
      <w:marBottom w:val="0"/>
      <w:divBdr>
        <w:top w:val="none" w:sz="0" w:space="0" w:color="auto"/>
        <w:left w:val="none" w:sz="0" w:space="0" w:color="auto"/>
        <w:bottom w:val="none" w:sz="0" w:space="0" w:color="auto"/>
        <w:right w:val="none" w:sz="0" w:space="0" w:color="auto"/>
      </w:divBdr>
    </w:div>
    <w:div w:id="1541550116">
      <w:bodyDiv w:val="1"/>
      <w:marLeft w:val="0"/>
      <w:marRight w:val="0"/>
      <w:marTop w:val="0"/>
      <w:marBottom w:val="0"/>
      <w:divBdr>
        <w:top w:val="none" w:sz="0" w:space="0" w:color="auto"/>
        <w:left w:val="none" w:sz="0" w:space="0" w:color="auto"/>
        <w:bottom w:val="none" w:sz="0" w:space="0" w:color="auto"/>
        <w:right w:val="none" w:sz="0" w:space="0" w:color="auto"/>
      </w:divBdr>
    </w:div>
    <w:div w:id="1584488857">
      <w:bodyDiv w:val="1"/>
      <w:marLeft w:val="0"/>
      <w:marRight w:val="0"/>
      <w:marTop w:val="0"/>
      <w:marBottom w:val="0"/>
      <w:divBdr>
        <w:top w:val="none" w:sz="0" w:space="0" w:color="auto"/>
        <w:left w:val="none" w:sz="0" w:space="0" w:color="auto"/>
        <w:bottom w:val="none" w:sz="0" w:space="0" w:color="auto"/>
        <w:right w:val="none" w:sz="0" w:space="0" w:color="auto"/>
      </w:divBdr>
    </w:div>
    <w:div w:id="1612593280">
      <w:bodyDiv w:val="1"/>
      <w:marLeft w:val="0"/>
      <w:marRight w:val="0"/>
      <w:marTop w:val="0"/>
      <w:marBottom w:val="0"/>
      <w:divBdr>
        <w:top w:val="none" w:sz="0" w:space="0" w:color="auto"/>
        <w:left w:val="none" w:sz="0" w:space="0" w:color="auto"/>
        <w:bottom w:val="none" w:sz="0" w:space="0" w:color="auto"/>
        <w:right w:val="none" w:sz="0" w:space="0" w:color="auto"/>
      </w:divBdr>
    </w:div>
    <w:div w:id="1644429659">
      <w:bodyDiv w:val="1"/>
      <w:marLeft w:val="0"/>
      <w:marRight w:val="0"/>
      <w:marTop w:val="0"/>
      <w:marBottom w:val="0"/>
      <w:divBdr>
        <w:top w:val="none" w:sz="0" w:space="0" w:color="auto"/>
        <w:left w:val="none" w:sz="0" w:space="0" w:color="auto"/>
        <w:bottom w:val="none" w:sz="0" w:space="0" w:color="auto"/>
        <w:right w:val="none" w:sz="0" w:space="0" w:color="auto"/>
      </w:divBdr>
    </w:div>
    <w:div w:id="1673294203">
      <w:bodyDiv w:val="1"/>
      <w:marLeft w:val="0"/>
      <w:marRight w:val="0"/>
      <w:marTop w:val="0"/>
      <w:marBottom w:val="0"/>
      <w:divBdr>
        <w:top w:val="none" w:sz="0" w:space="0" w:color="auto"/>
        <w:left w:val="none" w:sz="0" w:space="0" w:color="auto"/>
        <w:bottom w:val="none" w:sz="0" w:space="0" w:color="auto"/>
        <w:right w:val="none" w:sz="0" w:space="0" w:color="auto"/>
      </w:divBdr>
    </w:div>
    <w:div w:id="1706827206">
      <w:bodyDiv w:val="1"/>
      <w:marLeft w:val="0"/>
      <w:marRight w:val="0"/>
      <w:marTop w:val="0"/>
      <w:marBottom w:val="0"/>
      <w:divBdr>
        <w:top w:val="none" w:sz="0" w:space="0" w:color="auto"/>
        <w:left w:val="none" w:sz="0" w:space="0" w:color="auto"/>
        <w:bottom w:val="none" w:sz="0" w:space="0" w:color="auto"/>
        <w:right w:val="none" w:sz="0" w:space="0" w:color="auto"/>
      </w:divBdr>
    </w:div>
    <w:div w:id="1719358837">
      <w:bodyDiv w:val="1"/>
      <w:marLeft w:val="0"/>
      <w:marRight w:val="0"/>
      <w:marTop w:val="0"/>
      <w:marBottom w:val="0"/>
      <w:divBdr>
        <w:top w:val="none" w:sz="0" w:space="0" w:color="auto"/>
        <w:left w:val="none" w:sz="0" w:space="0" w:color="auto"/>
        <w:bottom w:val="none" w:sz="0" w:space="0" w:color="auto"/>
        <w:right w:val="none" w:sz="0" w:space="0" w:color="auto"/>
      </w:divBdr>
    </w:div>
    <w:div w:id="1750612123">
      <w:bodyDiv w:val="1"/>
      <w:marLeft w:val="0"/>
      <w:marRight w:val="0"/>
      <w:marTop w:val="0"/>
      <w:marBottom w:val="0"/>
      <w:divBdr>
        <w:top w:val="none" w:sz="0" w:space="0" w:color="auto"/>
        <w:left w:val="none" w:sz="0" w:space="0" w:color="auto"/>
        <w:bottom w:val="none" w:sz="0" w:space="0" w:color="auto"/>
        <w:right w:val="none" w:sz="0" w:space="0" w:color="auto"/>
      </w:divBdr>
    </w:div>
    <w:div w:id="1754551689">
      <w:bodyDiv w:val="1"/>
      <w:marLeft w:val="0"/>
      <w:marRight w:val="0"/>
      <w:marTop w:val="0"/>
      <w:marBottom w:val="0"/>
      <w:divBdr>
        <w:top w:val="none" w:sz="0" w:space="0" w:color="auto"/>
        <w:left w:val="none" w:sz="0" w:space="0" w:color="auto"/>
        <w:bottom w:val="none" w:sz="0" w:space="0" w:color="auto"/>
        <w:right w:val="none" w:sz="0" w:space="0" w:color="auto"/>
      </w:divBdr>
    </w:div>
    <w:div w:id="1777290912">
      <w:bodyDiv w:val="1"/>
      <w:marLeft w:val="0"/>
      <w:marRight w:val="0"/>
      <w:marTop w:val="0"/>
      <w:marBottom w:val="0"/>
      <w:divBdr>
        <w:top w:val="none" w:sz="0" w:space="0" w:color="auto"/>
        <w:left w:val="none" w:sz="0" w:space="0" w:color="auto"/>
        <w:bottom w:val="none" w:sz="0" w:space="0" w:color="auto"/>
        <w:right w:val="none" w:sz="0" w:space="0" w:color="auto"/>
      </w:divBdr>
    </w:div>
    <w:div w:id="1812022195">
      <w:bodyDiv w:val="1"/>
      <w:marLeft w:val="0"/>
      <w:marRight w:val="0"/>
      <w:marTop w:val="0"/>
      <w:marBottom w:val="0"/>
      <w:divBdr>
        <w:top w:val="none" w:sz="0" w:space="0" w:color="auto"/>
        <w:left w:val="none" w:sz="0" w:space="0" w:color="auto"/>
        <w:bottom w:val="none" w:sz="0" w:space="0" w:color="auto"/>
        <w:right w:val="none" w:sz="0" w:space="0" w:color="auto"/>
      </w:divBdr>
    </w:div>
    <w:div w:id="1829207217">
      <w:bodyDiv w:val="1"/>
      <w:marLeft w:val="0"/>
      <w:marRight w:val="0"/>
      <w:marTop w:val="0"/>
      <w:marBottom w:val="0"/>
      <w:divBdr>
        <w:top w:val="none" w:sz="0" w:space="0" w:color="auto"/>
        <w:left w:val="none" w:sz="0" w:space="0" w:color="auto"/>
        <w:bottom w:val="none" w:sz="0" w:space="0" w:color="auto"/>
        <w:right w:val="none" w:sz="0" w:space="0" w:color="auto"/>
      </w:divBdr>
    </w:div>
    <w:div w:id="1862547223">
      <w:bodyDiv w:val="1"/>
      <w:marLeft w:val="0"/>
      <w:marRight w:val="0"/>
      <w:marTop w:val="0"/>
      <w:marBottom w:val="0"/>
      <w:divBdr>
        <w:top w:val="none" w:sz="0" w:space="0" w:color="auto"/>
        <w:left w:val="none" w:sz="0" w:space="0" w:color="auto"/>
        <w:bottom w:val="none" w:sz="0" w:space="0" w:color="auto"/>
        <w:right w:val="none" w:sz="0" w:space="0" w:color="auto"/>
      </w:divBdr>
    </w:div>
    <w:div w:id="1900244869">
      <w:bodyDiv w:val="1"/>
      <w:marLeft w:val="0"/>
      <w:marRight w:val="0"/>
      <w:marTop w:val="0"/>
      <w:marBottom w:val="0"/>
      <w:divBdr>
        <w:top w:val="none" w:sz="0" w:space="0" w:color="auto"/>
        <w:left w:val="none" w:sz="0" w:space="0" w:color="auto"/>
        <w:bottom w:val="none" w:sz="0" w:space="0" w:color="auto"/>
        <w:right w:val="none" w:sz="0" w:space="0" w:color="auto"/>
      </w:divBdr>
    </w:div>
    <w:div w:id="1900818082">
      <w:bodyDiv w:val="1"/>
      <w:marLeft w:val="0"/>
      <w:marRight w:val="0"/>
      <w:marTop w:val="0"/>
      <w:marBottom w:val="0"/>
      <w:divBdr>
        <w:top w:val="none" w:sz="0" w:space="0" w:color="auto"/>
        <w:left w:val="none" w:sz="0" w:space="0" w:color="auto"/>
        <w:bottom w:val="none" w:sz="0" w:space="0" w:color="auto"/>
        <w:right w:val="none" w:sz="0" w:space="0" w:color="auto"/>
      </w:divBdr>
    </w:div>
    <w:div w:id="1916431956">
      <w:bodyDiv w:val="1"/>
      <w:marLeft w:val="0"/>
      <w:marRight w:val="0"/>
      <w:marTop w:val="0"/>
      <w:marBottom w:val="0"/>
      <w:divBdr>
        <w:top w:val="none" w:sz="0" w:space="0" w:color="auto"/>
        <w:left w:val="none" w:sz="0" w:space="0" w:color="auto"/>
        <w:bottom w:val="none" w:sz="0" w:space="0" w:color="auto"/>
        <w:right w:val="none" w:sz="0" w:space="0" w:color="auto"/>
      </w:divBdr>
    </w:div>
    <w:div w:id="1918394643">
      <w:bodyDiv w:val="1"/>
      <w:marLeft w:val="0"/>
      <w:marRight w:val="0"/>
      <w:marTop w:val="0"/>
      <w:marBottom w:val="0"/>
      <w:divBdr>
        <w:top w:val="none" w:sz="0" w:space="0" w:color="auto"/>
        <w:left w:val="none" w:sz="0" w:space="0" w:color="auto"/>
        <w:bottom w:val="none" w:sz="0" w:space="0" w:color="auto"/>
        <w:right w:val="none" w:sz="0" w:space="0" w:color="auto"/>
      </w:divBdr>
    </w:div>
    <w:div w:id="1961063938">
      <w:bodyDiv w:val="1"/>
      <w:marLeft w:val="0"/>
      <w:marRight w:val="0"/>
      <w:marTop w:val="0"/>
      <w:marBottom w:val="0"/>
      <w:divBdr>
        <w:top w:val="none" w:sz="0" w:space="0" w:color="auto"/>
        <w:left w:val="none" w:sz="0" w:space="0" w:color="auto"/>
        <w:bottom w:val="none" w:sz="0" w:space="0" w:color="auto"/>
        <w:right w:val="none" w:sz="0" w:space="0" w:color="auto"/>
      </w:divBdr>
    </w:div>
    <w:div w:id="1994019595">
      <w:bodyDiv w:val="1"/>
      <w:marLeft w:val="0"/>
      <w:marRight w:val="0"/>
      <w:marTop w:val="0"/>
      <w:marBottom w:val="0"/>
      <w:divBdr>
        <w:top w:val="none" w:sz="0" w:space="0" w:color="auto"/>
        <w:left w:val="none" w:sz="0" w:space="0" w:color="auto"/>
        <w:bottom w:val="none" w:sz="0" w:space="0" w:color="auto"/>
        <w:right w:val="none" w:sz="0" w:space="0" w:color="auto"/>
      </w:divBdr>
    </w:div>
    <w:div w:id="2011175544">
      <w:bodyDiv w:val="1"/>
      <w:marLeft w:val="0"/>
      <w:marRight w:val="0"/>
      <w:marTop w:val="0"/>
      <w:marBottom w:val="0"/>
      <w:divBdr>
        <w:top w:val="none" w:sz="0" w:space="0" w:color="auto"/>
        <w:left w:val="none" w:sz="0" w:space="0" w:color="auto"/>
        <w:bottom w:val="none" w:sz="0" w:space="0" w:color="auto"/>
        <w:right w:val="none" w:sz="0" w:space="0" w:color="auto"/>
      </w:divBdr>
    </w:div>
    <w:div w:id="2027635040">
      <w:bodyDiv w:val="1"/>
      <w:marLeft w:val="0"/>
      <w:marRight w:val="0"/>
      <w:marTop w:val="0"/>
      <w:marBottom w:val="0"/>
      <w:divBdr>
        <w:top w:val="none" w:sz="0" w:space="0" w:color="auto"/>
        <w:left w:val="none" w:sz="0" w:space="0" w:color="auto"/>
        <w:bottom w:val="none" w:sz="0" w:space="0" w:color="auto"/>
        <w:right w:val="none" w:sz="0" w:space="0" w:color="auto"/>
      </w:divBdr>
    </w:div>
    <w:div w:id="2065523721">
      <w:bodyDiv w:val="1"/>
      <w:marLeft w:val="0"/>
      <w:marRight w:val="0"/>
      <w:marTop w:val="0"/>
      <w:marBottom w:val="0"/>
      <w:divBdr>
        <w:top w:val="none" w:sz="0" w:space="0" w:color="auto"/>
        <w:left w:val="none" w:sz="0" w:space="0" w:color="auto"/>
        <w:bottom w:val="none" w:sz="0" w:space="0" w:color="auto"/>
        <w:right w:val="none" w:sz="0" w:space="0" w:color="auto"/>
      </w:divBdr>
    </w:div>
    <w:div w:id="2109108588">
      <w:bodyDiv w:val="1"/>
      <w:marLeft w:val="0"/>
      <w:marRight w:val="0"/>
      <w:marTop w:val="0"/>
      <w:marBottom w:val="0"/>
      <w:divBdr>
        <w:top w:val="none" w:sz="0" w:space="0" w:color="auto"/>
        <w:left w:val="none" w:sz="0" w:space="0" w:color="auto"/>
        <w:bottom w:val="none" w:sz="0" w:space="0" w:color="auto"/>
        <w:right w:val="none" w:sz="0" w:space="0" w:color="auto"/>
      </w:divBdr>
    </w:div>
    <w:div w:id="214677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TXT/?uri=COM%3A2026%3A599%3AFIN&amp;qid=1789023722179" TargetMode="Externa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settings" Target="setting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aadvanstate.nl/uitspraken/@137502/202102768-1-a3-202102675-1-a3-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14</ap:Pages>
  <ap:Words>5464</ap:Words>
  <ap:Characters>33535</ap:Characters>
  <ap:DocSecurity>0</ap:DocSecurity>
  <ap:Lines>279</ap:Lines>
  <ap:Paragraphs>77</ap:Paragraphs>
  <ap:ScaleCrop>false</ap:ScaleCrop>
  <ap:HeadingPairs>
    <vt:vector baseType="variant" size="2">
      <vt:variant>
        <vt:lpstr>Titel</vt:lpstr>
      </vt:variant>
      <vt:variant>
        <vt:i4>1</vt:i4>
      </vt:variant>
    </vt:vector>
  </ap:HeadingPairs>
  <ap:TitlesOfParts>
    <vt:vector baseType="lpstr" size="1">
      <vt:lpstr>Toelichting invullen fiche mededeling</vt:lpstr>
    </vt:vector>
  </ap:TitlesOfParts>
  <ap:LinksUpToDate>false</ap:LinksUpToDate>
  <ap:CharactersWithSpaces>38922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2026-10-14T11:17:00.0000000Z</lastPrinted>
  <dcterms:created xsi:type="dcterms:W3CDTF">2026-10-14T11:15:00.0000000Z</dcterms:created>
  <dcterms:modified xsi:type="dcterms:W3CDTF">2026-10-16T10:06:00.0000000Z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0x0101009C7CE436063D44E9BE7DC0259EF7C32F006EB9F9836A634AE58B6169785FD3936F00DE20E2D2575B3F4BB6AABD512EF58E8D</vt:lpwstr>
  </property>
  <property fmtid="{D5CDD505-2E9C-101B-9397-08002B2CF9AE}" pid="4" name="BZ_Forum">
    <vt:lpwstr>3;#EU|4d8f9873-61b3-4ee5-b6f7-0bb00c6df5e8</vt:lpwstr>
  </property>
  <property fmtid="{D5CDD505-2E9C-101B-9397-08002B2CF9AE}" pid="5" name="BZ_Classification">
    <vt:lpwstr>4;#UNCLASSIFIED|d92c6340-bc14-4cb2-a9a6-6deda93c493b</vt:lpwstr>
  </property>
  <property fmtid="{D5CDD505-2E9C-101B-9397-08002B2CF9AE}" pid="6" name="BZ_Country">
    <vt:lpwstr>2;#Not applicable|ec01d90b-9d0f-4785-8785-e1ea615196bf</vt:lpwstr>
  </property>
  <property fmtid="{D5CDD505-2E9C-101B-9397-08002B2CF9AE}" pid="7" name="BZ_Theme">
    <vt:lpwstr>1;#European cooperation (non-EU) general|32cb20cb-36c6-4655-9372-780089c6b4ef</vt:lpwstr>
  </property>
  <property fmtid="{D5CDD505-2E9C-101B-9397-08002B2CF9AE}" pid="8" name="MSIP_Label_6800fede-0e59-47ad-af95-4e63bbdb932d_Enabled">
    <vt:lpwstr>true</vt:lpwstr>
  </property>
  <property fmtid="{D5CDD505-2E9C-101B-9397-08002B2CF9AE}" pid="9" name="MSIP_Label_6800fede-0e59-47ad-af95-4e63bbdb932d_SetDate">
    <vt:lpwstr>2024-01-29T16:22:42Z</vt:lpwstr>
  </property>
  <property fmtid="{D5CDD505-2E9C-101B-9397-08002B2CF9AE}" pid="10" name="MSIP_Label_6800fede-0e59-47ad-af95-4e63bbdb932d_Method">
    <vt:lpwstr>Privileged</vt:lpwstr>
  </property>
  <property fmtid="{D5CDD505-2E9C-101B-9397-08002B2CF9AE}" pid="11" name="MSIP_Label_6800fede-0e59-47ad-af95-4e63bbdb932d_Name">
    <vt:lpwstr>FIN-DGGT-Rijksoverheid</vt:lpwstr>
  </property>
  <property fmtid="{D5CDD505-2E9C-101B-9397-08002B2CF9AE}" pid="12" name="MSIP_Label_6800fede-0e59-47ad-af95-4e63bbdb932d_SiteId">
    <vt:lpwstr>84712536-f524-40a0-913b-5d25ba502732</vt:lpwstr>
  </property>
  <property fmtid="{D5CDD505-2E9C-101B-9397-08002B2CF9AE}" pid="13" name="MSIP_Label_6800fede-0e59-47ad-af95-4e63bbdb932d_ActionId">
    <vt:lpwstr>c96f6bc3-fbc9-4832-a523-bbd466a241af</vt:lpwstr>
  </property>
  <property fmtid="{D5CDD505-2E9C-101B-9397-08002B2CF9AE}" pid="14" name="MSIP_Label_6800fede-0e59-47ad-af95-4e63bbdb932d_ContentBits">
    <vt:lpwstr>0</vt:lpwstr>
  </property>
  <property fmtid="{D5CDD505-2E9C-101B-9397-08002B2CF9AE}" pid="15" name="ClassificationContentMarkingFooterShapeIds">
    <vt:lpwstr>2621ad9b,292184d1,55f3d30</vt:lpwstr>
  </property>
  <property fmtid="{D5CDD505-2E9C-101B-9397-08002B2CF9AE}" pid="16" name="ClassificationContentMarkingFooterFontProps">
    <vt:lpwstr>#000000,10,Aptos</vt:lpwstr>
  </property>
  <property fmtid="{D5CDD505-2E9C-101B-9397-08002B2CF9AE}" pid="17" name="ClassificationContentMarkingFooterText">
    <vt:lpwstr>Intern gebruik</vt:lpwstr>
  </property>
  <property fmtid="{D5CDD505-2E9C-101B-9397-08002B2CF9AE}" pid="18" name="gc2efd3bfea04f7f8169be07009f5536">
    <vt:lpwstr/>
  </property>
  <property fmtid="{D5CDD505-2E9C-101B-9397-08002B2CF9AE}" pid="19" name="BZForumOrganisation">
    <vt:lpwstr>2;#Not applicable|0049e722-bfb1-4a3f-9d08-af7366a9af40</vt:lpwstr>
  </property>
  <property fmtid="{D5CDD505-2E9C-101B-9397-08002B2CF9AE}" pid="20" name="BZTheme">
    <vt:lpwstr>1;#Not applicable|ec01d90b-9d0f-4785-8785-e1ea615196bf</vt:lpwstr>
  </property>
  <property fmtid="{D5CDD505-2E9C-101B-9397-08002B2CF9AE}" pid="21" name="BZDossierResponsibleDepartment">
    <vt:lpwstr/>
  </property>
  <property fmtid="{D5CDD505-2E9C-101B-9397-08002B2CF9AE}" pid="22" name="BZCountryState">
    <vt:lpwstr>3;#Not applicable|ec01d90b-9d0f-4785-8785-e1ea615196bf</vt:lpwstr>
  </property>
  <property fmtid="{D5CDD505-2E9C-101B-9397-08002B2CF9AE}" pid="23" name="BZDossierGovernmentOfficial">
    <vt:lpwstr/>
  </property>
  <property fmtid="{D5CDD505-2E9C-101B-9397-08002B2CF9AE}" pid="24" name="BZDossierProcessLocation">
    <vt:lpwstr/>
  </property>
  <property fmtid="{D5CDD505-2E9C-101B-9397-08002B2CF9AE}" pid="25" name="i42ef48d5fa942a0ad0d60e44f201751">
    <vt:lpwstr/>
  </property>
  <property fmtid="{D5CDD505-2E9C-101B-9397-08002B2CF9AE}" pid="26" name="BZDossierPublishingWOOCategory">
    <vt:lpwstr/>
  </property>
  <property fmtid="{D5CDD505-2E9C-101B-9397-08002B2CF9AE}" pid="27" name="f2fb2a8e39404f1ab554e4e4a49d2918">
    <vt:lpwstr/>
  </property>
  <property fmtid="{D5CDD505-2E9C-101B-9397-08002B2CF9AE}" pid="28" name="BZMarking">
    <vt:lpwstr>5;#NO MARKING|0a4eb9ae-69eb-4d9e-b573-43ab99ef8592</vt:lpwstr>
  </property>
  <property fmtid="{D5CDD505-2E9C-101B-9397-08002B2CF9AE}" pid="29" name="_dlc_DocIdItemGuid">
    <vt:lpwstr>75cdfcd5-1782-4928-a4f1-639c06c4634b</vt:lpwstr>
  </property>
  <property fmtid="{D5CDD505-2E9C-101B-9397-08002B2CF9AE}" pid="30" name="f8e003236e1c4ac2ab9051d5d8789bbb">
    <vt:lpwstr/>
  </property>
  <property fmtid="{D5CDD505-2E9C-101B-9397-08002B2CF9AE}" pid="31" name="BZClassification">
    <vt:lpwstr>4;#UNCLASSIFIED (U)|284e6a62-15ab-4017-be27-a1e965f4e940</vt:lpwstr>
  </property>
  <property fmtid="{D5CDD505-2E9C-101B-9397-08002B2CF9AE}" pid="32" name="p29721a54a5c4bbe9786e930fc91e270">
    <vt:lpwstr/>
  </property>
  <property fmtid="{D5CDD505-2E9C-101B-9397-08002B2CF9AE}" pid="33" name="BZDossierTemplate">
    <vt:lpwstr>ReguliereKamerbrief</vt:lpwstr>
  </property>
  <property fmtid="{D5CDD505-2E9C-101B-9397-08002B2CF9AE}" pid="34" name="e256f556a7b748329ab47889947c7d40">
    <vt:lpwstr/>
  </property>
  <property fmtid="{D5CDD505-2E9C-101B-9397-08002B2CF9AE}" pid="35" name="ed9282a3f18446ec8c17c7829edf82dd">
    <vt:lpwstr/>
  </property>
  <property fmtid="{D5CDD505-2E9C-101B-9397-08002B2CF9AE}" pid="36" name="BZDossierProcessType">
    <vt:lpwstr/>
  </property>
  <property fmtid="{D5CDD505-2E9C-101B-9397-08002B2CF9AE}" pid="37" name="URL">
    <vt:lpwstr>https://247.plaza.buzaservices.nl/subject/PV-RK2026092026/BZ2633012/Fiche 3 - Verordening Betaalbaar Wonen (Affordable Housing Act).docx</vt:lpwstr>
  </property>
  <property fmtid="{D5CDD505-2E9C-101B-9397-08002B2CF9AE}" pid="38" name="BZDossierBudgetManager">
    <vt:lpwstr/>
  </property>
  <property fmtid="{D5CDD505-2E9C-101B-9397-08002B2CF9AE}" pid="39" name="BZDossierSendTo">
    <vt:lpwstr/>
  </property>
</Properties>
</file>