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0837" w:rsidR="00B60837" w:rsidP="00B60837" w:rsidRDefault="00B60837" w14:paraId="08564044" w14:textId="77777777">
      <w:pPr>
        <w:jc w:val="center"/>
        <w:rPr>
          <w:b/>
          <w:bCs/>
        </w:rPr>
      </w:pPr>
    </w:p>
    <w:p w:rsidRPr="00B60837" w:rsidR="00B60837" w:rsidP="00B60837" w:rsidRDefault="00B60837" w14:paraId="7C2ED757" w14:textId="374CA366">
      <w:pPr>
        <w:jc w:val="center"/>
        <w:rPr>
          <w:b/>
          <w:bCs/>
          <w:lang w:val="en-US"/>
        </w:rPr>
      </w:pPr>
      <w:r w:rsidRPr="00B60837">
        <w:rPr>
          <w:b/>
          <w:bCs/>
          <w:lang w:val="en-US"/>
        </w:rPr>
        <w:t>Non-Paper by Estonia, Finland, the Netherlands, Poland</w:t>
      </w:r>
      <w:r>
        <w:rPr>
          <w:b/>
          <w:bCs/>
          <w:lang w:val="en-US"/>
        </w:rPr>
        <w:t>,</w:t>
      </w:r>
      <w:r w:rsidRPr="00B60837">
        <w:rPr>
          <w:b/>
          <w:bCs/>
          <w:lang w:val="en-US"/>
        </w:rPr>
        <w:t xml:space="preserve"> Sweden </w:t>
      </w:r>
      <w:r>
        <w:rPr>
          <w:b/>
          <w:bCs/>
          <w:lang w:val="en-US"/>
        </w:rPr>
        <w:t xml:space="preserve">and Czechia </w:t>
      </w:r>
      <w:r w:rsidRPr="00B60837">
        <w:rPr>
          <w:b/>
          <w:bCs/>
          <w:lang w:val="en-US"/>
        </w:rPr>
        <w:t>on the Cyber Security Act 2</w:t>
      </w:r>
    </w:p>
    <w:p w:rsidRPr="00433E82" w:rsidR="00EE7263" w:rsidP="00433E82" w:rsidRDefault="00EE7263" w14:paraId="74E2603E" w14:textId="2C66BB5E">
      <w:pPr>
        <w:jc w:val="center"/>
        <w:rPr>
          <w:b/>
          <w:i/>
          <w:lang w:val="en-US"/>
        </w:rPr>
      </w:pPr>
      <w:r w:rsidRPr="00433E82">
        <w:rPr>
          <w:b/>
          <w:i/>
          <w:lang w:val="en-US"/>
        </w:rPr>
        <w:t xml:space="preserve">Guiding </w:t>
      </w:r>
      <w:r w:rsidRPr="002A5CBA" w:rsidR="00E73DE3">
        <w:rPr>
          <w:b/>
          <w:bCs/>
          <w:i/>
          <w:iCs/>
          <w:lang w:val="en-US"/>
        </w:rPr>
        <w:t>p</w:t>
      </w:r>
      <w:r w:rsidRPr="002A5CBA">
        <w:rPr>
          <w:b/>
          <w:bCs/>
          <w:i/>
          <w:iCs/>
          <w:lang w:val="en-US"/>
        </w:rPr>
        <w:t>rinciples</w:t>
      </w:r>
      <w:r w:rsidRPr="00433E82">
        <w:rPr>
          <w:b/>
          <w:i/>
          <w:lang w:val="en-US"/>
        </w:rPr>
        <w:t xml:space="preserve"> to make the ICT </w:t>
      </w:r>
      <w:r w:rsidRPr="002A5CBA" w:rsidR="00E73DE3">
        <w:rPr>
          <w:b/>
          <w:bCs/>
          <w:i/>
          <w:iCs/>
          <w:lang w:val="en-US"/>
        </w:rPr>
        <w:t>s</w:t>
      </w:r>
      <w:r w:rsidRPr="002A5CBA">
        <w:rPr>
          <w:b/>
          <w:bCs/>
          <w:i/>
          <w:iCs/>
          <w:lang w:val="en-US"/>
        </w:rPr>
        <w:t xml:space="preserve">upply </w:t>
      </w:r>
      <w:r w:rsidRPr="002A5CBA" w:rsidR="00E73DE3">
        <w:rPr>
          <w:b/>
          <w:bCs/>
          <w:i/>
          <w:iCs/>
          <w:lang w:val="en-US"/>
        </w:rPr>
        <w:t>c</w:t>
      </w:r>
      <w:r w:rsidRPr="002A5CBA">
        <w:rPr>
          <w:b/>
          <w:bCs/>
          <w:i/>
          <w:iCs/>
          <w:lang w:val="en-US"/>
        </w:rPr>
        <w:t xml:space="preserve">hain </w:t>
      </w:r>
      <w:r w:rsidRPr="002A5CBA" w:rsidR="00E73DE3">
        <w:rPr>
          <w:b/>
          <w:bCs/>
          <w:i/>
          <w:iCs/>
          <w:lang w:val="en-US"/>
        </w:rPr>
        <w:t>m</w:t>
      </w:r>
      <w:r w:rsidRPr="002A5CBA">
        <w:rPr>
          <w:b/>
          <w:bCs/>
          <w:i/>
          <w:iCs/>
          <w:lang w:val="en-US"/>
        </w:rPr>
        <w:t xml:space="preserve">echanism </w:t>
      </w:r>
      <w:r w:rsidRPr="002A5CBA" w:rsidR="00E73DE3">
        <w:rPr>
          <w:b/>
          <w:bCs/>
          <w:i/>
          <w:iCs/>
          <w:lang w:val="en-US"/>
        </w:rPr>
        <w:t>work</w:t>
      </w:r>
    </w:p>
    <w:p w:rsidRPr="001E276C" w:rsidR="00211205" w:rsidP="00433E82" w:rsidRDefault="00EE7263" w14:paraId="27A86DDE" w14:textId="2CAD806E">
      <w:pPr>
        <w:jc w:val="both"/>
        <w:rPr>
          <w:lang w:val="en-GB"/>
        </w:rPr>
      </w:pPr>
      <w:r>
        <w:rPr>
          <w:lang w:val="en-GB"/>
        </w:rPr>
        <w:t>We</w:t>
      </w:r>
      <w:r w:rsidR="00EF171B">
        <w:rPr>
          <w:lang w:val="en-GB"/>
        </w:rPr>
        <w:t xml:space="preserve"> </w:t>
      </w:r>
      <w:r>
        <w:rPr>
          <w:lang w:val="en-GB"/>
        </w:rPr>
        <w:t>welcome the</w:t>
      </w:r>
      <w:r w:rsidRPr="00683ABF" w:rsidR="00A46D1E">
        <w:rPr>
          <w:lang w:val="en-GB"/>
        </w:rPr>
        <w:t xml:space="preserve"> Commission</w:t>
      </w:r>
      <w:r>
        <w:rPr>
          <w:lang w:val="en-GB"/>
        </w:rPr>
        <w:t>’s</w:t>
      </w:r>
      <w:r w:rsidRPr="00683ABF" w:rsidR="00A46D1E">
        <w:rPr>
          <w:lang w:val="en-GB"/>
        </w:rPr>
        <w:t xml:space="preserve"> proposal </w:t>
      </w:r>
      <w:r w:rsidRPr="00683ABF" w:rsidR="00517EC0">
        <w:rPr>
          <w:lang w:val="en-GB"/>
        </w:rPr>
        <w:t>t</w:t>
      </w:r>
      <w:r w:rsidRPr="00683ABF" w:rsidR="00A46D1E">
        <w:rPr>
          <w:lang w:val="en-GB"/>
        </w:rPr>
        <w:t>o mitigat</w:t>
      </w:r>
      <w:r w:rsidRPr="00683ABF" w:rsidR="00517EC0">
        <w:rPr>
          <w:lang w:val="en-GB"/>
        </w:rPr>
        <w:t>e</w:t>
      </w:r>
      <w:r w:rsidRPr="00683ABF" w:rsidR="00A46D1E">
        <w:rPr>
          <w:lang w:val="en-GB"/>
        </w:rPr>
        <w:t xml:space="preserve"> cyber</w:t>
      </w:r>
      <w:r w:rsidR="00A55E29">
        <w:rPr>
          <w:lang w:val="en-GB"/>
        </w:rPr>
        <w:t>security</w:t>
      </w:r>
      <w:r w:rsidRPr="00683ABF" w:rsidR="00A46D1E">
        <w:rPr>
          <w:lang w:val="en-GB"/>
        </w:rPr>
        <w:t xml:space="preserve"> risks at EU level. </w:t>
      </w:r>
      <w:r w:rsidRPr="00683ABF" w:rsidR="004554DB">
        <w:rPr>
          <w:lang w:val="en-GB"/>
        </w:rPr>
        <w:t>The Cybersecurity Act</w:t>
      </w:r>
      <w:r>
        <w:rPr>
          <w:lang w:val="en-GB"/>
        </w:rPr>
        <w:t xml:space="preserve"> 2</w:t>
      </w:r>
      <w:r w:rsidRPr="00683ABF" w:rsidR="004554DB">
        <w:rPr>
          <w:lang w:val="en-GB"/>
        </w:rPr>
        <w:t xml:space="preserve">, more specifically the introduction of a new European framework for securing ICT supply chains, directly affects </w:t>
      </w:r>
      <w:r w:rsidR="000229FE">
        <w:rPr>
          <w:lang w:val="en-GB"/>
        </w:rPr>
        <w:t>cyber</w:t>
      </w:r>
      <w:r w:rsidRPr="00683ABF" w:rsidR="004554DB">
        <w:rPr>
          <w:lang w:val="en-GB"/>
        </w:rPr>
        <w:t>security, strategic dependencies</w:t>
      </w:r>
      <w:r w:rsidR="008F4F65">
        <w:rPr>
          <w:lang w:val="en-GB"/>
        </w:rPr>
        <w:t xml:space="preserve"> and</w:t>
      </w:r>
      <w:r w:rsidRPr="00683ABF" w:rsidR="004554DB">
        <w:rPr>
          <w:lang w:val="en-GB"/>
        </w:rPr>
        <w:t xml:space="preserve"> the fun</w:t>
      </w:r>
      <w:r w:rsidR="008F4F65">
        <w:rPr>
          <w:lang w:val="en-GB"/>
        </w:rPr>
        <w:t>c</w:t>
      </w:r>
      <w:r w:rsidRPr="00683ABF" w:rsidR="004554DB">
        <w:rPr>
          <w:lang w:val="en-GB"/>
        </w:rPr>
        <w:t xml:space="preserve">tioning of the internal market. </w:t>
      </w:r>
      <w:r w:rsidR="00AE153C">
        <w:rPr>
          <w:lang w:val="en-US"/>
        </w:rPr>
        <w:t>Having a</w:t>
      </w:r>
      <w:r w:rsidR="00C62A89">
        <w:rPr>
          <w:lang w:val="en-US"/>
        </w:rPr>
        <w:t xml:space="preserve"> </w:t>
      </w:r>
      <w:r w:rsidR="0026093E">
        <w:rPr>
          <w:lang w:val="en-US"/>
        </w:rPr>
        <w:t>risk-based</w:t>
      </w:r>
      <w:r w:rsidR="00357E01">
        <w:rPr>
          <w:lang w:val="en-US"/>
        </w:rPr>
        <w:t xml:space="preserve"> approach </w:t>
      </w:r>
      <w:r w:rsidR="00080983">
        <w:rPr>
          <w:lang w:val="en-US"/>
        </w:rPr>
        <w:t>underpinned</w:t>
      </w:r>
      <w:r w:rsidR="00357E01">
        <w:rPr>
          <w:lang w:val="en-US"/>
        </w:rPr>
        <w:t xml:space="preserve"> by thorough risk analyses is </w:t>
      </w:r>
      <w:r w:rsidR="00294D4F">
        <w:rPr>
          <w:lang w:val="en-US"/>
        </w:rPr>
        <w:t xml:space="preserve">a strong foundation </w:t>
      </w:r>
      <w:r w:rsidR="000229FE">
        <w:rPr>
          <w:lang w:val="en-US"/>
        </w:rPr>
        <w:t>to</w:t>
      </w:r>
      <w:r w:rsidR="00294D4F">
        <w:rPr>
          <w:lang w:val="en-US"/>
        </w:rPr>
        <w:t xml:space="preserve"> </w:t>
      </w:r>
      <w:r w:rsidR="00357E01">
        <w:rPr>
          <w:lang w:val="en-US"/>
        </w:rPr>
        <w:t>enhanc</w:t>
      </w:r>
      <w:r w:rsidR="000229FE">
        <w:rPr>
          <w:lang w:val="en-US"/>
        </w:rPr>
        <w:t>e</w:t>
      </w:r>
      <w:r w:rsidR="00433E82">
        <w:rPr>
          <w:lang w:val="en-US"/>
        </w:rPr>
        <w:t xml:space="preserve"> the</w:t>
      </w:r>
      <w:r w:rsidR="00357E01">
        <w:rPr>
          <w:lang w:val="en-US"/>
        </w:rPr>
        <w:t xml:space="preserve"> </w:t>
      </w:r>
      <w:r w:rsidR="003F53D7">
        <w:rPr>
          <w:lang w:val="en-US"/>
        </w:rPr>
        <w:t>EU</w:t>
      </w:r>
      <w:r w:rsidR="00433E82">
        <w:rPr>
          <w:lang w:val="en-US"/>
        </w:rPr>
        <w:t>’s</w:t>
      </w:r>
      <w:r w:rsidR="003F53D7">
        <w:rPr>
          <w:lang w:val="en-US"/>
        </w:rPr>
        <w:t xml:space="preserve"> </w:t>
      </w:r>
      <w:r w:rsidR="00357E01">
        <w:rPr>
          <w:lang w:val="en-US"/>
        </w:rPr>
        <w:t xml:space="preserve">resilience. We would therefore </w:t>
      </w:r>
      <w:r w:rsidR="00832088">
        <w:rPr>
          <w:lang w:val="en-US"/>
        </w:rPr>
        <w:t xml:space="preserve">like </w:t>
      </w:r>
      <w:r w:rsidR="00357E01">
        <w:rPr>
          <w:lang w:val="en-US"/>
        </w:rPr>
        <w:t>to underline our support for th</w:t>
      </w:r>
      <w:r w:rsidR="000B4C3D">
        <w:rPr>
          <w:lang w:val="en-US"/>
        </w:rPr>
        <w:t>e objectives</w:t>
      </w:r>
      <w:r w:rsidR="00357E01">
        <w:rPr>
          <w:lang w:val="en-US"/>
        </w:rPr>
        <w:t xml:space="preserve"> </w:t>
      </w:r>
      <w:r w:rsidR="000B4C3D">
        <w:rPr>
          <w:lang w:val="en-US"/>
        </w:rPr>
        <w:t xml:space="preserve">of this </w:t>
      </w:r>
      <w:r w:rsidR="00357E01">
        <w:rPr>
          <w:lang w:val="en-US"/>
        </w:rPr>
        <w:t>framework, as it is in ou</w:t>
      </w:r>
      <w:r w:rsidR="00321161">
        <w:rPr>
          <w:lang w:val="en-US"/>
        </w:rPr>
        <w:t>r view</w:t>
      </w:r>
      <w:r w:rsidR="00357E01">
        <w:rPr>
          <w:lang w:val="en-US"/>
        </w:rPr>
        <w:t xml:space="preserve"> the most pragmatic and coherent way to </w:t>
      </w:r>
      <w:r w:rsidR="00294D4F">
        <w:rPr>
          <w:lang w:val="en-US"/>
        </w:rPr>
        <w:t>face the threats</w:t>
      </w:r>
      <w:r>
        <w:rPr>
          <w:lang w:val="en-US"/>
        </w:rPr>
        <w:t xml:space="preserve"> and manage those risks</w:t>
      </w:r>
      <w:r w:rsidR="00294D4F">
        <w:rPr>
          <w:lang w:val="en-US"/>
        </w:rPr>
        <w:t xml:space="preserve"> that affect the </w:t>
      </w:r>
      <w:r w:rsidR="00832088">
        <w:rPr>
          <w:lang w:val="en-US"/>
        </w:rPr>
        <w:t>Union</w:t>
      </w:r>
      <w:r>
        <w:rPr>
          <w:lang w:val="en-US"/>
        </w:rPr>
        <w:t>.</w:t>
      </w:r>
      <w:r w:rsidRPr="003F53D7" w:rsidR="003F53D7">
        <w:rPr>
          <w:kern w:val="0"/>
          <w:lang w:val="en-US"/>
          <w14:ligatures w14:val="none"/>
        </w:rPr>
        <w:t xml:space="preserve"> </w:t>
      </w:r>
      <w:r w:rsidRPr="00D14E5B" w:rsidR="001E276C">
        <w:rPr>
          <w:kern w:val="0"/>
          <w:lang w:val="en-GB"/>
          <w14:ligatures w14:val="none"/>
        </w:rPr>
        <w:t>We also support moving first with a phase out on mobile networks, building on the experience with the 5G Cyber Security Toolbox</w:t>
      </w:r>
      <w:r w:rsidR="00BA1BE6">
        <w:rPr>
          <w:kern w:val="0"/>
          <w:lang w:val="en-GB"/>
          <w14:ligatures w14:val="none"/>
        </w:rPr>
        <w:t xml:space="preserve">. </w:t>
      </w:r>
      <w:r w:rsidR="00A4371E">
        <w:rPr>
          <w:kern w:val="0"/>
          <w:lang w:val="en-GB"/>
          <w14:ligatures w14:val="none"/>
        </w:rPr>
        <w:t>However</w:t>
      </w:r>
      <w:r w:rsidR="00D24C77">
        <w:rPr>
          <w:kern w:val="0"/>
          <w:lang w:val="en-GB"/>
          <w14:ligatures w14:val="none"/>
        </w:rPr>
        <w:t>,</w:t>
      </w:r>
      <w:r w:rsidR="00433E82">
        <w:rPr>
          <w:kern w:val="0"/>
          <w:lang w:val="en-GB"/>
          <w14:ligatures w14:val="none"/>
        </w:rPr>
        <w:t xml:space="preserve"> </w:t>
      </w:r>
      <w:r w:rsidRPr="00D14E5B" w:rsidR="001E276C">
        <w:rPr>
          <w:kern w:val="0"/>
          <w:lang w:val="en-GB"/>
          <w14:ligatures w14:val="none"/>
        </w:rPr>
        <w:t>further risk assessments are needed when it comes to the fixed and satellite networks.</w:t>
      </w:r>
    </w:p>
    <w:p w:rsidRPr="00502595" w:rsidR="00835796" w:rsidP="00433E82" w:rsidRDefault="00835796" w14:paraId="0AAA3379" w14:textId="74EABD21">
      <w:pPr>
        <w:jc w:val="both"/>
        <w:rPr>
          <w:lang w:val="en-GB"/>
        </w:rPr>
      </w:pPr>
      <w:r w:rsidRPr="00502595">
        <w:rPr>
          <w:lang w:val="en-US"/>
        </w:rPr>
        <w:t xml:space="preserve">We would therefore </w:t>
      </w:r>
      <w:r w:rsidR="00EE7263">
        <w:rPr>
          <w:lang w:val="en-US"/>
        </w:rPr>
        <w:t xml:space="preserve">propose the following principles to guide the work </w:t>
      </w:r>
      <w:r w:rsidRPr="00502595">
        <w:rPr>
          <w:lang w:val="en-US"/>
        </w:rPr>
        <w:t xml:space="preserve">to further strengthen the effectiveness and practical implementation of the </w:t>
      </w:r>
      <w:r w:rsidR="00492F27">
        <w:rPr>
          <w:lang w:val="en-US"/>
        </w:rPr>
        <w:t xml:space="preserve">CSA2 </w:t>
      </w:r>
      <w:r w:rsidRPr="00502595">
        <w:rPr>
          <w:lang w:val="en-US"/>
        </w:rPr>
        <w:t>framework.</w:t>
      </w:r>
    </w:p>
    <w:p w:rsidRPr="00670A3D" w:rsidR="00670A3D" w:rsidP="00433E82" w:rsidRDefault="00670A3D" w14:paraId="3D1D8083" w14:textId="6C11BF74">
      <w:pPr>
        <w:pStyle w:val="Lijstalinea"/>
        <w:numPr>
          <w:ilvl w:val="0"/>
          <w:numId w:val="12"/>
        </w:numPr>
        <w:jc w:val="both"/>
        <w:rPr>
          <w:lang w:val="en-US"/>
        </w:rPr>
      </w:pPr>
      <w:r>
        <w:rPr>
          <w:rStyle w:val="Verwijzingopmerking"/>
          <w:sz w:val="22"/>
          <w:szCs w:val="22"/>
          <w:lang w:val="en-GB"/>
        </w:rPr>
        <w:t>T</w:t>
      </w:r>
      <w:r w:rsidRPr="007B3EAF">
        <w:rPr>
          <w:rStyle w:val="Verwijzingopmerking"/>
          <w:sz w:val="22"/>
          <w:szCs w:val="22"/>
          <w:lang w:val="en-GB"/>
        </w:rPr>
        <w:t xml:space="preserve">he framework should contribute </w:t>
      </w:r>
      <w:r w:rsidRPr="000D5043">
        <w:rPr>
          <w:rStyle w:val="Verwijzingopmerking"/>
          <w:b/>
          <w:bCs/>
          <w:sz w:val="22"/>
          <w:szCs w:val="22"/>
          <w:lang w:val="en-GB"/>
        </w:rPr>
        <w:t xml:space="preserve">to reduce strategic dependencies and reliance on </w:t>
      </w:r>
      <w:r w:rsidRPr="000D5043" w:rsidR="00866B82">
        <w:rPr>
          <w:rStyle w:val="Verwijzingopmerking"/>
          <w:b/>
          <w:bCs/>
          <w:sz w:val="22"/>
          <w:szCs w:val="22"/>
          <w:lang w:val="en-GB"/>
        </w:rPr>
        <w:t>high-risk</w:t>
      </w:r>
      <w:r w:rsidRPr="000D5043">
        <w:rPr>
          <w:rStyle w:val="Verwijzingopmerking"/>
          <w:b/>
          <w:bCs/>
          <w:sz w:val="22"/>
          <w:szCs w:val="22"/>
          <w:lang w:val="en-GB"/>
        </w:rPr>
        <w:t xml:space="preserve"> suppliers in critical ICT supply chains</w:t>
      </w:r>
      <w:r w:rsidRPr="007B3EAF">
        <w:rPr>
          <w:rStyle w:val="Verwijzingopmerking"/>
          <w:sz w:val="22"/>
          <w:szCs w:val="22"/>
          <w:lang w:val="en-GB"/>
        </w:rPr>
        <w:t xml:space="preserve"> and strengthening the resilience of </w:t>
      </w:r>
      <w:r w:rsidR="00986B6D">
        <w:rPr>
          <w:rStyle w:val="Verwijzingopmerking"/>
          <w:sz w:val="22"/>
          <w:szCs w:val="22"/>
          <w:lang w:val="en-GB"/>
        </w:rPr>
        <w:t>the Union as a whole</w:t>
      </w:r>
      <w:r>
        <w:rPr>
          <w:rStyle w:val="Verwijzingopmerking"/>
          <w:sz w:val="22"/>
          <w:szCs w:val="22"/>
          <w:lang w:val="en-GB"/>
        </w:rPr>
        <w:t xml:space="preserve">. </w:t>
      </w:r>
      <w:r w:rsidRPr="007B3EAF">
        <w:rPr>
          <w:rStyle w:val="Verwijzingopmerking"/>
          <w:sz w:val="22"/>
          <w:szCs w:val="22"/>
          <w:lang w:val="en-GB"/>
        </w:rPr>
        <w:t>Therefore, we do believe that the designation of high-risk suppliers should</w:t>
      </w:r>
      <w:r w:rsidR="00492F27">
        <w:rPr>
          <w:rStyle w:val="Verwijzingopmerking"/>
          <w:sz w:val="22"/>
          <w:szCs w:val="22"/>
          <w:lang w:val="en-GB"/>
        </w:rPr>
        <w:t xml:space="preserve"> </w:t>
      </w:r>
      <w:r w:rsidRPr="007B3EAF" w:rsidR="00492F27">
        <w:rPr>
          <w:rStyle w:val="Verwijzingopmerking"/>
          <w:sz w:val="22"/>
          <w:szCs w:val="22"/>
          <w:lang w:val="en-GB"/>
        </w:rPr>
        <w:t>be based on objective criteria</w:t>
      </w:r>
      <w:r w:rsidRPr="007B3EAF" w:rsidR="00492F27">
        <w:rPr>
          <w:lang w:val="en-US"/>
        </w:rPr>
        <w:t xml:space="preserve"> </w:t>
      </w:r>
      <w:r w:rsidR="003E3F35">
        <w:rPr>
          <w:lang w:val="en-US"/>
        </w:rPr>
        <w:t>including</w:t>
      </w:r>
      <w:r w:rsidRPr="007B3EAF" w:rsidR="00492F27">
        <w:rPr>
          <w:lang w:val="en-US"/>
        </w:rPr>
        <w:t xml:space="preserve"> relevant security risks arising from ownership structures</w:t>
      </w:r>
      <w:r w:rsidR="00492F27">
        <w:rPr>
          <w:lang w:val="en-US"/>
        </w:rPr>
        <w:t xml:space="preserve"> and </w:t>
      </w:r>
      <w:r w:rsidRPr="007B3EAF" w:rsidR="00492F27">
        <w:rPr>
          <w:lang w:val="en-US"/>
        </w:rPr>
        <w:t>third-country influence.</w:t>
      </w:r>
      <w:r w:rsidRPr="007B3EAF" w:rsidR="00492F27">
        <w:rPr>
          <w:rStyle w:val="Verwijzingopmerking"/>
          <w:sz w:val="22"/>
          <w:szCs w:val="22"/>
          <w:lang w:val="en-GB"/>
        </w:rPr>
        <w:t xml:space="preserve"> </w:t>
      </w:r>
      <w:r w:rsidR="00492F27">
        <w:rPr>
          <w:rStyle w:val="Verwijzingopmerking"/>
          <w:sz w:val="22"/>
          <w:szCs w:val="22"/>
          <w:lang w:val="en-GB"/>
        </w:rPr>
        <w:t>Measures should be</w:t>
      </w:r>
      <w:r w:rsidRPr="007B3EAF">
        <w:rPr>
          <w:rStyle w:val="Verwijzingopmerking"/>
          <w:sz w:val="22"/>
          <w:szCs w:val="22"/>
          <w:lang w:val="en-GB"/>
        </w:rPr>
        <w:t xml:space="preserve"> </w:t>
      </w:r>
      <w:r w:rsidRPr="007B3EAF">
        <w:rPr>
          <w:lang w:val="en-US"/>
        </w:rPr>
        <w:t>evidence-based, proportionate, legally robust and non-discriminatory</w:t>
      </w:r>
      <w:r w:rsidR="00492F27">
        <w:rPr>
          <w:lang w:val="en-US"/>
        </w:rPr>
        <w:t xml:space="preserve">. </w:t>
      </w:r>
      <w:r w:rsidRPr="007B3EAF">
        <w:rPr>
          <w:lang w:val="en-US"/>
        </w:rPr>
        <w:t>This would ensure that</w:t>
      </w:r>
      <w:r>
        <w:rPr>
          <w:lang w:val="en-US"/>
        </w:rPr>
        <w:t xml:space="preserve"> the attention</w:t>
      </w:r>
      <w:r w:rsidRPr="007B3EAF">
        <w:rPr>
          <w:lang w:val="en-US"/>
        </w:rPr>
        <w:t xml:space="preserve"> </w:t>
      </w:r>
      <w:r>
        <w:rPr>
          <w:lang w:val="en-US"/>
        </w:rPr>
        <w:t xml:space="preserve">is </w:t>
      </w:r>
      <w:r w:rsidRPr="007B3EAF">
        <w:rPr>
          <w:lang w:val="en-US"/>
        </w:rPr>
        <w:t xml:space="preserve">concentrated on the areas where risks for security, resilience and strategic dependencies are the greatest. </w:t>
      </w:r>
    </w:p>
    <w:p w:rsidRPr="002F0BA8" w:rsidR="000052C4" w:rsidP="00433E82" w:rsidRDefault="000052C4" w14:paraId="73ED18E4" w14:textId="2372E5AA">
      <w:pPr>
        <w:pStyle w:val="Lijstalinea"/>
        <w:numPr>
          <w:ilvl w:val="0"/>
          <w:numId w:val="12"/>
        </w:numPr>
        <w:jc w:val="both"/>
        <w:rPr>
          <w:lang w:val="en-GB"/>
        </w:rPr>
      </w:pPr>
      <w:r w:rsidRPr="00433E82">
        <w:rPr>
          <w:b/>
          <w:lang w:val="en-US"/>
        </w:rPr>
        <w:t xml:space="preserve">We </w:t>
      </w:r>
      <w:r w:rsidRPr="00433E82" w:rsidR="00750474">
        <w:rPr>
          <w:b/>
          <w:lang w:val="en-US"/>
        </w:rPr>
        <w:t xml:space="preserve">need stronger involvement </w:t>
      </w:r>
      <w:r w:rsidRPr="00433E82">
        <w:rPr>
          <w:b/>
          <w:lang w:val="en-US"/>
        </w:rPr>
        <w:t xml:space="preserve">of </w:t>
      </w:r>
      <w:r w:rsidRPr="00433E82" w:rsidR="00750474">
        <w:rPr>
          <w:b/>
          <w:lang w:val="en-US"/>
        </w:rPr>
        <w:t>the</w:t>
      </w:r>
      <w:r w:rsidRPr="00433E82" w:rsidR="00C62A89">
        <w:rPr>
          <w:b/>
          <w:lang w:val="en-US"/>
        </w:rPr>
        <w:t xml:space="preserve"> </w:t>
      </w:r>
      <w:r w:rsidRPr="00433E82">
        <w:rPr>
          <w:b/>
          <w:lang w:val="en-US"/>
        </w:rPr>
        <w:t>Member States within the framework</w:t>
      </w:r>
      <w:r w:rsidRPr="00433E82" w:rsidR="000D1162">
        <w:rPr>
          <w:b/>
          <w:lang w:val="en-US"/>
        </w:rPr>
        <w:t>.</w:t>
      </w:r>
      <w:r w:rsidR="000D1162">
        <w:rPr>
          <w:lang w:val="en-US"/>
        </w:rPr>
        <w:t xml:space="preserve"> </w:t>
      </w:r>
      <w:r w:rsidRPr="000052C4">
        <w:rPr>
          <w:lang w:val="en-US"/>
        </w:rPr>
        <w:t xml:space="preserve">We believe </w:t>
      </w:r>
      <w:r w:rsidRPr="004011AD">
        <w:rPr>
          <w:lang w:val="en-US"/>
        </w:rPr>
        <w:t xml:space="preserve">that </w:t>
      </w:r>
      <w:r w:rsidRPr="00433E82" w:rsidR="000229FE">
        <w:rPr>
          <w:lang w:val="en-US"/>
        </w:rPr>
        <w:t>including</w:t>
      </w:r>
      <w:r w:rsidRPr="00433E82" w:rsidR="000D1162">
        <w:rPr>
          <w:lang w:val="en-US"/>
        </w:rPr>
        <w:t xml:space="preserve"> </w:t>
      </w:r>
      <w:r w:rsidRPr="00433E82">
        <w:rPr>
          <w:lang w:val="en-US"/>
        </w:rPr>
        <w:t>Member States</w:t>
      </w:r>
      <w:r w:rsidRPr="00B6520D">
        <w:rPr>
          <w:b/>
          <w:bCs/>
          <w:lang w:val="en-US"/>
        </w:rPr>
        <w:t xml:space="preserve"> </w:t>
      </w:r>
      <w:r w:rsidRPr="000052C4">
        <w:rPr>
          <w:lang w:val="en-US"/>
        </w:rPr>
        <w:t xml:space="preserve">will help ensure that national </w:t>
      </w:r>
      <w:r w:rsidR="000229FE">
        <w:rPr>
          <w:lang w:val="en-US"/>
        </w:rPr>
        <w:t xml:space="preserve">expertise, sectoral insights </w:t>
      </w:r>
      <w:r w:rsidRPr="000052C4">
        <w:rPr>
          <w:lang w:val="en-US"/>
        </w:rPr>
        <w:t xml:space="preserve">and </w:t>
      </w:r>
      <w:r w:rsidR="00750474">
        <w:rPr>
          <w:lang w:val="en-US"/>
        </w:rPr>
        <w:t>strategic interests</w:t>
      </w:r>
      <w:r w:rsidRPr="000052C4">
        <w:rPr>
          <w:lang w:val="en-US"/>
        </w:rPr>
        <w:t xml:space="preserve"> are taken into account. Such involvement will also contribute to measures that are feasible and proportionate at national level.</w:t>
      </w:r>
      <w:r w:rsidRPr="000229FE" w:rsidR="000229FE">
        <w:rPr>
          <w:lang w:val="en-US"/>
        </w:rPr>
        <w:t xml:space="preserve"> </w:t>
      </w:r>
      <w:r w:rsidR="000229FE">
        <w:rPr>
          <w:lang w:val="en-US"/>
        </w:rPr>
        <w:t>This could still be clarified further in the text in a balanced way to prevent slowing down the process or increasing the administrative burden for all involved.</w:t>
      </w:r>
    </w:p>
    <w:p w:rsidRPr="002F0BA8" w:rsidR="002F0BA8" w:rsidP="00433E82" w:rsidRDefault="002F0BA8" w14:paraId="78310593" w14:textId="62980A43">
      <w:pPr>
        <w:pStyle w:val="Lijstalinea"/>
        <w:numPr>
          <w:ilvl w:val="0"/>
          <w:numId w:val="12"/>
        </w:numPr>
        <w:jc w:val="both"/>
        <w:rPr>
          <w:lang w:val="en-GB"/>
        </w:rPr>
      </w:pPr>
      <w:r w:rsidRPr="00344821">
        <w:rPr>
          <w:lang w:val="en-GB"/>
        </w:rPr>
        <w:t xml:space="preserve">All the Member States will, because of the dependencies within the supply chain, </w:t>
      </w:r>
      <w:r w:rsidRPr="00B6520D">
        <w:rPr>
          <w:b/>
          <w:bCs/>
          <w:lang w:val="en-GB"/>
        </w:rPr>
        <w:t>benefit from</w:t>
      </w:r>
      <w:r w:rsidR="003F53D7">
        <w:rPr>
          <w:b/>
          <w:bCs/>
          <w:lang w:val="en-GB"/>
        </w:rPr>
        <w:t xml:space="preserve"> harmonised</w:t>
      </w:r>
      <w:r w:rsidR="00791F14">
        <w:rPr>
          <w:b/>
          <w:bCs/>
          <w:lang w:val="en-GB"/>
        </w:rPr>
        <w:t xml:space="preserve"> risk</w:t>
      </w:r>
      <w:r w:rsidRPr="00B6520D">
        <w:rPr>
          <w:b/>
          <w:bCs/>
          <w:lang w:val="en-GB"/>
        </w:rPr>
        <w:t xml:space="preserve"> mitigating measures elaborated at EU level</w:t>
      </w:r>
      <w:r>
        <w:rPr>
          <w:lang w:val="en-GB"/>
        </w:rPr>
        <w:t xml:space="preserve">. </w:t>
      </w:r>
      <w:r w:rsidRPr="00FD6317">
        <w:rPr>
          <w:lang w:val="en-US"/>
        </w:rPr>
        <w:t>This should be done through a thorough assessment of the cybersecurity, economic, operational, geopolitical and diplomatic consequences before implementing acts are adopted. Such assessments should involve Member States, sector experts and relevant stakeholders in order to ensure proportion</w:t>
      </w:r>
      <w:r w:rsidR="00CE7240">
        <w:rPr>
          <w:lang w:val="en-US"/>
        </w:rPr>
        <w:t>ate</w:t>
      </w:r>
      <w:r w:rsidRPr="00FD6317">
        <w:rPr>
          <w:lang w:val="en-US"/>
        </w:rPr>
        <w:t xml:space="preserve"> and feasible outcomes.</w:t>
      </w:r>
    </w:p>
    <w:p w:rsidRPr="00433E82" w:rsidR="00122BF0" w:rsidP="00433E82" w:rsidRDefault="00122BF0" w14:paraId="3B7838A3" w14:textId="7645418C">
      <w:pPr>
        <w:pStyle w:val="Lijstalinea"/>
        <w:numPr>
          <w:ilvl w:val="0"/>
          <w:numId w:val="12"/>
        </w:numPr>
        <w:jc w:val="both"/>
        <w:rPr>
          <w:lang w:val="en-US"/>
        </w:rPr>
      </w:pPr>
      <w:r w:rsidRPr="00BF0AAB">
        <w:rPr>
          <w:lang w:val="en-GB"/>
        </w:rPr>
        <w:t xml:space="preserve">We </w:t>
      </w:r>
      <w:r w:rsidRPr="00BF0AAB" w:rsidR="00835796">
        <w:rPr>
          <w:b/>
          <w:bCs/>
          <w:lang w:val="en-GB"/>
        </w:rPr>
        <w:t xml:space="preserve">support </w:t>
      </w:r>
      <w:r w:rsidRPr="00BF0AAB" w:rsidR="00685504">
        <w:rPr>
          <w:b/>
          <w:bCs/>
          <w:lang w:val="en-GB"/>
        </w:rPr>
        <w:t xml:space="preserve">a </w:t>
      </w:r>
      <w:r w:rsidRPr="00BF0AAB" w:rsidR="00926F2F">
        <w:rPr>
          <w:b/>
          <w:bCs/>
          <w:lang w:val="en-GB"/>
        </w:rPr>
        <w:t>risk-based</w:t>
      </w:r>
      <w:r w:rsidRPr="00BF0AAB">
        <w:rPr>
          <w:b/>
          <w:bCs/>
          <w:lang w:val="en-GB"/>
        </w:rPr>
        <w:t xml:space="preserve"> approach</w:t>
      </w:r>
      <w:r w:rsidRPr="00BF0AAB">
        <w:rPr>
          <w:lang w:val="en-GB"/>
        </w:rPr>
        <w:t xml:space="preserve"> </w:t>
      </w:r>
      <w:r w:rsidRPr="00433E82">
        <w:rPr>
          <w:b/>
          <w:lang w:val="en-GB"/>
        </w:rPr>
        <w:t xml:space="preserve">and welcome the work </w:t>
      </w:r>
      <w:r w:rsidRPr="00433E82" w:rsidR="00926F2F">
        <w:rPr>
          <w:b/>
          <w:lang w:val="en-GB"/>
        </w:rPr>
        <w:t>already</w:t>
      </w:r>
      <w:r w:rsidRPr="00433E82">
        <w:rPr>
          <w:b/>
          <w:lang w:val="en-GB"/>
        </w:rPr>
        <w:t xml:space="preserve"> </w:t>
      </w:r>
      <w:r w:rsidRPr="00433E82" w:rsidR="00835796">
        <w:rPr>
          <w:b/>
          <w:lang w:val="en-GB"/>
        </w:rPr>
        <w:t>carried out within</w:t>
      </w:r>
      <w:r w:rsidRPr="00433E82">
        <w:rPr>
          <w:b/>
          <w:lang w:val="en-GB"/>
        </w:rPr>
        <w:t xml:space="preserve"> the NIS</w:t>
      </w:r>
      <w:r w:rsidRPr="00433E82" w:rsidR="00835796">
        <w:rPr>
          <w:b/>
          <w:lang w:val="en-GB"/>
        </w:rPr>
        <w:t xml:space="preserve"> </w:t>
      </w:r>
      <w:r w:rsidRPr="00433E82">
        <w:rPr>
          <w:b/>
          <w:lang w:val="en-GB"/>
        </w:rPr>
        <w:t>C</w:t>
      </w:r>
      <w:r w:rsidRPr="00433E82" w:rsidR="00835796">
        <w:rPr>
          <w:b/>
          <w:lang w:val="en-GB"/>
        </w:rPr>
        <w:t xml:space="preserve">ooperation </w:t>
      </w:r>
      <w:r w:rsidRPr="00433E82">
        <w:rPr>
          <w:b/>
          <w:lang w:val="en-GB"/>
        </w:rPr>
        <w:t>G</w:t>
      </w:r>
      <w:r w:rsidRPr="00433E82" w:rsidR="00835796">
        <w:rPr>
          <w:b/>
          <w:lang w:val="en-GB"/>
        </w:rPr>
        <w:t>roup</w:t>
      </w:r>
      <w:r w:rsidRPr="00BF0AAB">
        <w:rPr>
          <w:lang w:val="en-GB"/>
        </w:rPr>
        <w:t xml:space="preserve">. </w:t>
      </w:r>
      <w:r w:rsidRPr="00BF0AAB" w:rsidR="00AE153C">
        <w:rPr>
          <w:lang w:val="en-GB"/>
        </w:rPr>
        <w:t xml:space="preserve">However, </w:t>
      </w:r>
      <w:r w:rsidRPr="00BF0AAB">
        <w:rPr>
          <w:lang w:val="en-GB"/>
        </w:rPr>
        <w:t xml:space="preserve">when formulating the </w:t>
      </w:r>
      <w:r w:rsidRPr="00BF0AAB" w:rsidR="00791F14">
        <w:rPr>
          <w:lang w:val="en-GB"/>
        </w:rPr>
        <w:t xml:space="preserve">risk mitigating </w:t>
      </w:r>
      <w:r w:rsidRPr="00BF0AAB">
        <w:rPr>
          <w:lang w:val="en-GB"/>
        </w:rPr>
        <w:t xml:space="preserve">measures, these analyses could benefit from </w:t>
      </w:r>
      <w:r w:rsidRPr="00BF0AAB" w:rsidR="00B772D3">
        <w:rPr>
          <w:lang w:val="en-GB"/>
        </w:rPr>
        <w:t>a</w:t>
      </w:r>
      <w:r w:rsidRPr="00BF0AAB" w:rsidR="00AE153C">
        <w:rPr>
          <w:lang w:val="en-GB"/>
        </w:rPr>
        <w:t>n</w:t>
      </w:r>
      <w:r w:rsidRPr="00BF0AAB" w:rsidR="00B772D3">
        <w:rPr>
          <w:lang w:val="en-GB"/>
        </w:rPr>
        <w:t xml:space="preserve"> additional</w:t>
      </w:r>
      <w:r w:rsidRPr="00BF0AAB" w:rsidR="00AE153C">
        <w:rPr>
          <w:lang w:val="en-GB"/>
        </w:rPr>
        <w:t xml:space="preserve"> specific</w:t>
      </w:r>
      <w:r w:rsidRPr="00BF0AAB" w:rsidR="00B772D3">
        <w:rPr>
          <w:lang w:val="en-GB"/>
        </w:rPr>
        <w:t xml:space="preserve"> analysis that focuses on </w:t>
      </w:r>
      <w:r w:rsidRPr="00BF0AAB" w:rsidR="00253E4E">
        <w:rPr>
          <w:lang w:val="en-GB"/>
        </w:rPr>
        <w:t>non-technical</w:t>
      </w:r>
      <w:r w:rsidRPr="00BF0AAB" w:rsidR="00B772D3">
        <w:rPr>
          <w:lang w:val="en-GB"/>
        </w:rPr>
        <w:t xml:space="preserve"> risks</w:t>
      </w:r>
      <w:r w:rsidRPr="00BF0AAB" w:rsidR="00811F6C">
        <w:rPr>
          <w:lang w:val="en-GB"/>
        </w:rPr>
        <w:t xml:space="preserve"> and consequences</w:t>
      </w:r>
      <w:r w:rsidRPr="00BF0AAB" w:rsidR="00B772D3">
        <w:rPr>
          <w:lang w:val="en-GB"/>
        </w:rPr>
        <w:t xml:space="preserve">. This additional analysis could be </w:t>
      </w:r>
      <w:r w:rsidRPr="00BF0AAB" w:rsidR="00AE153C">
        <w:rPr>
          <w:lang w:val="en-GB"/>
        </w:rPr>
        <w:t>supported by intelligence, open source threat intelligence and actor specific insights</w:t>
      </w:r>
      <w:r w:rsidRPr="00BF0AAB" w:rsidR="005D13E0">
        <w:rPr>
          <w:lang w:val="en-GB"/>
        </w:rPr>
        <w:t>,</w:t>
      </w:r>
      <w:r w:rsidRPr="00BF0AAB" w:rsidR="00B772D3">
        <w:rPr>
          <w:lang w:val="en-GB"/>
        </w:rPr>
        <w:t xml:space="preserve"> in order to make sure that </w:t>
      </w:r>
      <w:r w:rsidRPr="00BF0AAB" w:rsidR="00253E4E">
        <w:rPr>
          <w:lang w:val="en-GB"/>
        </w:rPr>
        <w:t>the</w:t>
      </w:r>
      <w:r w:rsidRPr="00BF0AAB" w:rsidR="00926F2F">
        <w:rPr>
          <w:lang w:val="en-GB"/>
        </w:rPr>
        <w:t xml:space="preserve"> final</w:t>
      </w:r>
      <w:r w:rsidRPr="00BF0AAB" w:rsidR="00253E4E">
        <w:rPr>
          <w:lang w:val="en-GB"/>
        </w:rPr>
        <w:t xml:space="preserve"> conclusions are support</w:t>
      </w:r>
      <w:r w:rsidRPr="00BF0AAB" w:rsidR="00926F2F">
        <w:rPr>
          <w:lang w:val="en-GB"/>
        </w:rPr>
        <w:t>ed</w:t>
      </w:r>
      <w:r w:rsidRPr="00BF0AAB" w:rsidR="00253E4E">
        <w:rPr>
          <w:lang w:val="en-GB"/>
        </w:rPr>
        <w:t xml:space="preserve"> by exhaustive </w:t>
      </w:r>
      <w:r w:rsidRPr="00BF0AAB" w:rsidR="006F270E">
        <w:rPr>
          <w:lang w:val="en-GB"/>
        </w:rPr>
        <w:t>and reliable</w:t>
      </w:r>
      <w:r w:rsidRPr="00BF0AAB" w:rsidR="004C3EF7">
        <w:rPr>
          <w:lang w:val="en-GB"/>
        </w:rPr>
        <w:t xml:space="preserve"> </w:t>
      </w:r>
      <w:r w:rsidRPr="00BF0AAB" w:rsidR="00253E4E">
        <w:rPr>
          <w:lang w:val="en-GB"/>
        </w:rPr>
        <w:t>(incident</w:t>
      </w:r>
      <w:r w:rsidRPr="00BF0AAB" w:rsidR="00723EBE">
        <w:rPr>
          <w:lang w:val="en-GB"/>
        </w:rPr>
        <w:t xml:space="preserve"> and/or threat</w:t>
      </w:r>
      <w:r w:rsidRPr="00BF0AAB" w:rsidR="00253E4E">
        <w:rPr>
          <w:lang w:val="en-GB"/>
        </w:rPr>
        <w:t>) information</w:t>
      </w:r>
      <w:r w:rsidRPr="00433E82" w:rsidR="00BF0AAB">
        <w:rPr>
          <w:lang w:val="en-US"/>
        </w:rPr>
        <w:t>.</w:t>
      </w:r>
      <w:r w:rsidRPr="00BF0AAB" w:rsidR="00253E4E">
        <w:rPr>
          <w:lang w:val="en-GB"/>
        </w:rPr>
        <w:t xml:space="preserve"> This is important</w:t>
      </w:r>
      <w:r w:rsidR="006B4680">
        <w:rPr>
          <w:lang w:val="en-GB"/>
        </w:rPr>
        <w:t xml:space="preserve"> to ensure a high quality risk assessment and to safeguard that </w:t>
      </w:r>
      <w:r w:rsidRPr="00BF0AAB" w:rsidR="00253E4E">
        <w:rPr>
          <w:lang w:val="en-GB"/>
        </w:rPr>
        <w:t xml:space="preserve">the </w:t>
      </w:r>
      <w:r w:rsidRPr="00BF0AAB" w:rsidR="003F53D7">
        <w:rPr>
          <w:lang w:val="en-GB"/>
        </w:rPr>
        <w:t xml:space="preserve">chosen </w:t>
      </w:r>
      <w:r w:rsidRPr="00BF0AAB" w:rsidR="00253E4E">
        <w:rPr>
          <w:lang w:val="en-GB"/>
        </w:rPr>
        <w:t xml:space="preserve">mitigating measures are at the end proportional, </w:t>
      </w:r>
      <w:r w:rsidRPr="00BF0AAB" w:rsidR="00926F2F">
        <w:rPr>
          <w:lang w:val="en-GB"/>
        </w:rPr>
        <w:t xml:space="preserve">and also </w:t>
      </w:r>
      <w:r w:rsidRPr="00BF0AAB" w:rsidR="00253E4E">
        <w:rPr>
          <w:lang w:val="en-GB"/>
        </w:rPr>
        <w:t xml:space="preserve">adequate in relation to the (real) threat. </w:t>
      </w:r>
    </w:p>
    <w:p w:rsidRPr="004011AD" w:rsidR="00304DFC" w:rsidP="00433E82" w:rsidRDefault="00DC1002" w14:paraId="67CA95F1" w14:textId="5461F38B">
      <w:pPr>
        <w:pStyle w:val="Lijstalinea"/>
        <w:numPr>
          <w:ilvl w:val="0"/>
          <w:numId w:val="12"/>
        </w:numPr>
        <w:jc w:val="both"/>
        <w:rPr>
          <w:lang w:val="en-GB"/>
        </w:rPr>
      </w:pPr>
      <w:r w:rsidRPr="003F53D7">
        <w:rPr>
          <w:lang w:val="en-US"/>
        </w:rPr>
        <w:t xml:space="preserve">The </w:t>
      </w:r>
      <w:r w:rsidRPr="003F53D7">
        <w:rPr>
          <w:b/>
          <w:bCs/>
          <w:lang w:val="en-US"/>
        </w:rPr>
        <w:t>future framework should remain coherent with existing European cybersecurity legislation</w:t>
      </w:r>
      <w:r w:rsidRPr="003F53D7">
        <w:rPr>
          <w:lang w:val="en-US"/>
        </w:rPr>
        <w:t xml:space="preserve">, including NIS2 and the Cyber Resilience Act, while ensuring legal certainty and </w:t>
      </w:r>
      <w:r w:rsidRPr="003F53D7">
        <w:rPr>
          <w:lang w:val="en-US"/>
        </w:rPr>
        <w:lastRenderedPageBreak/>
        <w:t>avoiding unnecessary administrative burden.</w:t>
      </w:r>
      <w:r w:rsidRPr="003F53D7" w:rsidR="00304DFC">
        <w:rPr>
          <w:lang w:val="en-US"/>
        </w:rPr>
        <w:t xml:space="preserve"> </w:t>
      </w:r>
      <w:r w:rsidRPr="004011AD" w:rsidR="004011AD">
        <w:rPr>
          <w:lang w:val="en-US"/>
        </w:rPr>
        <w:t>In this regard it is vital that we do not overlook the all</w:t>
      </w:r>
      <w:r w:rsidR="00D24C77">
        <w:rPr>
          <w:lang w:val="en-US"/>
        </w:rPr>
        <w:t>-</w:t>
      </w:r>
      <w:r w:rsidRPr="004011AD" w:rsidR="004011AD">
        <w:rPr>
          <w:lang w:val="en-US"/>
        </w:rPr>
        <w:t>hazard approach of EU cyber regulation by focusing solely on antagonistic threats.</w:t>
      </w:r>
      <w:r w:rsidRPr="004011AD" w:rsidR="004011AD">
        <w:rPr>
          <w:lang w:val="en-GB"/>
        </w:rPr>
        <w:t xml:space="preserve"> </w:t>
      </w:r>
      <w:r w:rsidRPr="004011AD" w:rsidR="00304DFC">
        <w:rPr>
          <w:lang w:val="en-US"/>
        </w:rPr>
        <w:t>To ensure it is easily understood by all stakeholders and to support simplification, the framework should be constructed in a consistent and logical manner</w:t>
      </w:r>
      <w:r w:rsidR="00986B6D">
        <w:rPr>
          <w:lang w:val="en-US"/>
        </w:rPr>
        <w:t>, and in line with previous legal definitions</w:t>
      </w:r>
      <w:r w:rsidRPr="004011AD" w:rsidR="00304DFC">
        <w:rPr>
          <w:lang w:val="en-US"/>
        </w:rPr>
        <w:t>. The obligations set out in the framework should be without prejudice to national provisions transposing other relevant EU legislation as well as national measures transposing measures set out in the 5G toolbox, provided that such provisions are consistent with union law.</w:t>
      </w:r>
    </w:p>
    <w:p w:rsidR="00122BF0" w:rsidP="00263249" w:rsidRDefault="00982537" w14:paraId="4E57CD99" w14:textId="67DF573F">
      <w:pPr>
        <w:pStyle w:val="Lijstalinea"/>
        <w:numPr>
          <w:ilvl w:val="0"/>
          <w:numId w:val="12"/>
        </w:numPr>
        <w:jc w:val="both"/>
        <w:rPr>
          <w:lang w:val="en-GB"/>
        </w:rPr>
      </w:pPr>
      <w:r w:rsidRPr="00304DFC">
        <w:rPr>
          <w:b/>
          <w:bCs/>
          <w:lang w:val="en-GB"/>
        </w:rPr>
        <w:t xml:space="preserve">We </w:t>
      </w:r>
      <w:r w:rsidR="00FE1854">
        <w:rPr>
          <w:b/>
          <w:bCs/>
          <w:lang w:val="en-GB"/>
        </w:rPr>
        <w:t xml:space="preserve">need a strategic prioritization mechanism to </w:t>
      </w:r>
      <w:r w:rsidR="00D275BA">
        <w:rPr>
          <w:b/>
          <w:bCs/>
          <w:lang w:val="en-GB"/>
        </w:rPr>
        <w:t>protect our</w:t>
      </w:r>
      <w:r w:rsidR="00FE1854">
        <w:rPr>
          <w:b/>
          <w:bCs/>
          <w:lang w:val="en-GB"/>
        </w:rPr>
        <w:t xml:space="preserve"> infrastructure</w:t>
      </w:r>
      <w:r w:rsidRPr="00304DFC" w:rsidR="00926F2F">
        <w:rPr>
          <w:lang w:val="en-GB"/>
        </w:rPr>
        <w:t xml:space="preserve">. </w:t>
      </w:r>
      <w:r w:rsidR="00433E82">
        <w:rPr>
          <w:lang w:val="en-GB"/>
        </w:rPr>
        <w:t>T</w:t>
      </w:r>
      <w:r w:rsidRPr="00304DFC" w:rsidR="00113D26">
        <w:rPr>
          <w:lang w:val="en-GB"/>
        </w:rPr>
        <w:t>he framework needs to remain ma</w:t>
      </w:r>
      <w:r w:rsidRPr="00304DFC" w:rsidR="005D13E0">
        <w:rPr>
          <w:lang w:val="en-GB"/>
        </w:rPr>
        <w:t>l</w:t>
      </w:r>
      <w:r w:rsidRPr="00304DFC" w:rsidR="00113D26">
        <w:rPr>
          <w:lang w:val="en-GB"/>
        </w:rPr>
        <w:t>leable, so that we have flexible instruments to use when needed.</w:t>
      </w:r>
      <w:r w:rsidRPr="00304DFC" w:rsidR="00304DFC">
        <w:rPr>
          <w:lang w:val="en-GB"/>
        </w:rPr>
        <w:t xml:space="preserve"> The </w:t>
      </w:r>
      <w:r w:rsidRPr="007567B4" w:rsidR="00304DFC">
        <w:rPr>
          <w:lang w:val="en-GB"/>
        </w:rPr>
        <w:t xml:space="preserve">framework </w:t>
      </w:r>
      <w:r w:rsidRPr="007567B4" w:rsidR="00866B82">
        <w:rPr>
          <w:lang w:val="en-GB"/>
        </w:rPr>
        <w:t xml:space="preserve">should </w:t>
      </w:r>
      <w:r w:rsidR="00866B82">
        <w:rPr>
          <w:lang w:val="en-GB"/>
        </w:rPr>
        <w:t>therefore</w:t>
      </w:r>
      <w:r w:rsidR="00304DFC">
        <w:rPr>
          <w:lang w:val="en-GB"/>
        </w:rPr>
        <w:t xml:space="preserve"> </w:t>
      </w:r>
      <w:r w:rsidRPr="007567B4" w:rsidR="00304DFC">
        <w:rPr>
          <w:lang w:val="en-GB"/>
        </w:rPr>
        <w:t>not be unduly constrained from the outset</w:t>
      </w:r>
      <w:r w:rsidR="00304DFC">
        <w:rPr>
          <w:lang w:val="en-GB"/>
        </w:rPr>
        <w:t xml:space="preserve">, and </w:t>
      </w:r>
      <w:r w:rsidRPr="007567B4" w:rsidR="00304DFC">
        <w:rPr>
          <w:lang w:val="en-GB"/>
        </w:rPr>
        <w:t>flexible enough to allow for refinemen</w:t>
      </w:r>
      <w:r w:rsidR="00304DFC">
        <w:rPr>
          <w:lang w:val="en-GB"/>
        </w:rPr>
        <w:t>t</w:t>
      </w:r>
      <w:r w:rsidRPr="007567B4" w:rsidR="00304DFC">
        <w:rPr>
          <w:lang w:val="en-GB"/>
        </w:rPr>
        <w:t>.</w:t>
      </w:r>
      <w:r w:rsidRPr="00433E82">
        <w:rPr>
          <w:lang w:val="en-US"/>
        </w:rPr>
        <w:t xml:space="preserve"> </w:t>
      </w:r>
      <w:r w:rsidRPr="00304DFC">
        <w:rPr>
          <w:lang w:val="en-US"/>
        </w:rPr>
        <w:t>It</w:t>
      </w:r>
      <w:r w:rsidRPr="00304DFC" w:rsidR="007748B7">
        <w:rPr>
          <w:lang w:val="en-US"/>
        </w:rPr>
        <w:t xml:space="preserve"> could </w:t>
      </w:r>
      <w:r w:rsidR="00FE1854">
        <w:rPr>
          <w:lang w:val="en-US"/>
        </w:rPr>
        <w:t xml:space="preserve">therefore </w:t>
      </w:r>
      <w:r w:rsidRPr="00304DFC" w:rsidR="007748B7">
        <w:rPr>
          <w:lang w:val="en-US"/>
        </w:rPr>
        <w:t>benefit</w:t>
      </w:r>
      <w:r w:rsidRPr="00304DFC" w:rsidR="00304DFC">
        <w:rPr>
          <w:lang w:val="en-US"/>
        </w:rPr>
        <w:t xml:space="preserve"> </w:t>
      </w:r>
      <w:r w:rsidRPr="00304DFC" w:rsidR="007748B7">
        <w:rPr>
          <w:lang w:val="en-US"/>
        </w:rPr>
        <w:t xml:space="preserve">from a more focused </w:t>
      </w:r>
      <w:r w:rsidR="00EC0743">
        <w:rPr>
          <w:lang w:val="en-US"/>
        </w:rPr>
        <w:t xml:space="preserve">strategic </w:t>
      </w:r>
      <w:r w:rsidRPr="00304DFC" w:rsidR="00EF171B">
        <w:rPr>
          <w:lang w:val="en-US"/>
        </w:rPr>
        <w:t>prioritization</w:t>
      </w:r>
      <w:r w:rsidR="00EC0743">
        <w:rPr>
          <w:lang w:val="en-US"/>
        </w:rPr>
        <w:t xml:space="preserve"> </w:t>
      </w:r>
      <w:r w:rsidR="00716140">
        <w:rPr>
          <w:lang w:val="en-US"/>
        </w:rPr>
        <w:t xml:space="preserve">mechanism </w:t>
      </w:r>
      <w:r w:rsidR="00EC0743">
        <w:rPr>
          <w:lang w:val="en-US"/>
        </w:rPr>
        <w:t xml:space="preserve">by </w:t>
      </w:r>
      <w:r w:rsidR="00DA34AC">
        <w:rPr>
          <w:lang w:val="en-GB"/>
        </w:rPr>
        <w:t xml:space="preserve">concentrating efforts </w:t>
      </w:r>
      <w:r w:rsidR="00304DFC">
        <w:rPr>
          <w:lang w:val="en-GB"/>
        </w:rPr>
        <w:t>firstly</w:t>
      </w:r>
      <w:r w:rsidRPr="00304DFC" w:rsidR="00CE7240">
        <w:rPr>
          <w:lang w:val="en-GB"/>
        </w:rPr>
        <w:t xml:space="preserve"> on</w:t>
      </w:r>
      <w:r w:rsidRPr="00304DFC">
        <w:rPr>
          <w:lang w:val="en-GB"/>
        </w:rPr>
        <w:t xml:space="preserve"> th</w:t>
      </w:r>
      <w:r w:rsidR="00716140">
        <w:rPr>
          <w:lang w:val="en-GB"/>
        </w:rPr>
        <w:t>e</w:t>
      </w:r>
      <w:r w:rsidR="00BA1BE6">
        <w:rPr>
          <w:lang w:val="en-GB"/>
        </w:rPr>
        <w:t xml:space="preserve"> </w:t>
      </w:r>
      <w:r w:rsidRPr="00304DFC" w:rsidR="002F0BA8">
        <w:rPr>
          <w:lang w:val="en-GB"/>
        </w:rPr>
        <w:t>sector</w:t>
      </w:r>
      <w:r w:rsidRPr="00304DFC" w:rsidR="005D13E0">
        <w:rPr>
          <w:lang w:val="en-GB"/>
        </w:rPr>
        <w:t>s</w:t>
      </w:r>
      <w:r w:rsidR="00CF3C1A">
        <w:rPr>
          <w:lang w:val="en-GB"/>
        </w:rPr>
        <w:t xml:space="preserve"> or ICT supply chains</w:t>
      </w:r>
      <w:r w:rsidRPr="00304DFC" w:rsidR="00113D26">
        <w:rPr>
          <w:lang w:val="en-GB"/>
        </w:rPr>
        <w:t xml:space="preserve"> </w:t>
      </w:r>
      <w:r w:rsidR="00716140">
        <w:rPr>
          <w:lang w:val="en-GB"/>
        </w:rPr>
        <w:t xml:space="preserve">that are the most at risk or </w:t>
      </w:r>
      <w:r w:rsidRPr="00304DFC">
        <w:rPr>
          <w:lang w:val="en-GB"/>
        </w:rPr>
        <w:t xml:space="preserve">with the </w:t>
      </w:r>
      <w:r w:rsidRPr="00304DFC" w:rsidR="00641F94">
        <w:rPr>
          <w:lang w:val="en-GB"/>
        </w:rPr>
        <w:t>most significant</w:t>
      </w:r>
      <w:r w:rsidRPr="00304DFC" w:rsidR="006662A3">
        <w:rPr>
          <w:lang w:val="en-GB"/>
        </w:rPr>
        <w:t xml:space="preserve"> </w:t>
      </w:r>
      <w:r w:rsidRPr="00304DFC" w:rsidR="00113D26">
        <w:rPr>
          <w:lang w:val="en-GB"/>
        </w:rPr>
        <w:t>dependencies on</w:t>
      </w:r>
      <w:r w:rsidRPr="00304DFC">
        <w:rPr>
          <w:lang w:val="en-GB"/>
        </w:rPr>
        <w:t xml:space="preserve"> the</w:t>
      </w:r>
      <w:r w:rsidRPr="00304DFC" w:rsidR="00113D26">
        <w:rPr>
          <w:lang w:val="en-GB"/>
        </w:rPr>
        <w:t xml:space="preserve"> EU level. </w:t>
      </w:r>
    </w:p>
    <w:p w:rsidRPr="00C1188C" w:rsidR="000229FE" w:rsidP="00433E82" w:rsidRDefault="000229FE" w14:paraId="3C8B219D" w14:textId="77777777">
      <w:pPr>
        <w:pStyle w:val="Lijstalinea"/>
        <w:jc w:val="both"/>
        <w:rPr>
          <w:lang w:val="en-GB"/>
        </w:rPr>
      </w:pPr>
    </w:p>
    <w:p w:rsidRPr="006A5098" w:rsidR="001D3063" w:rsidP="006A5098" w:rsidRDefault="00456DD4" w14:paraId="07E4DF30" w14:textId="59D8DFC3">
      <w:pPr>
        <w:ind w:left="360"/>
        <w:jc w:val="both"/>
        <w:rPr>
          <w:lang w:val="en-US"/>
        </w:rPr>
      </w:pPr>
      <w:r w:rsidRPr="007B3EAF">
        <w:rPr>
          <w:lang w:val="en-US"/>
        </w:rPr>
        <w:t>Overall, we support a framework that is risk-based, proportionate,</w:t>
      </w:r>
      <w:r w:rsidR="00321161">
        <w:rPr>
          <w:lang w:val="en-US"/>
        </w:rPr>
        <w:t xml:space="preserve"> </w:t>
      </w:r>
      <w:r w:rsidR="00791F14">
        <w:rPr>
          <w:lang w:val="en-US"/>
        </w:rPr>
        <w:t>focused,</w:t>
      </w:r>
      <w:r w:rsidRPr="007B3EAF">
        <w:rPr>
          <w:lang w:val="en-US"/>
        </w:rPr>
        <w:t xml:space="preserve"> </w:t>
      </w:r>
      <w:r w:rsidRPr="006318BB">
        <w:rPr>
          <w:lang w:val="en-US"/>
        </w:rPr>
        <w:t>predictable and</w:t>
      </w:r>
      <w:r w:rsidRPr="007B3EAF">
        <w:rPr>
          <w:lang w:val="en-US"/>
        </w:rPr>
        <w:t xml:space="preserve"> complementary to national measures. Strengthening the resilience of European ICT supply chains should go hand in hand with safeguarding competitiveness, </w:t>
      </w:r>
      <w:r w:rsidR="009A1E91">
        <w:rPr>
          <w:lang w:val="en-US"/>
        </w:rPr>
        <w:t>investing in E</w:t>
      </w:r>
      <w:r w:rsidR="000D1162">
        <w:rPr>
          <w:lang w:val="en-US"/>
        </w:rPr>
        <w:t>U</w:t>
      </w:r>
      <w:r w:rsidR="009A1E91">
        <w:rPr>
          <w:lang w:val="en-US"/>
        </w:rPr>
        <w:t xml:space="preserve"> alternatives and innovation</w:t>
      </w:r>
      <w:r w:rsidR="009E070D">
        <w:rPr>
          <w:lang w:val="en-US"/>
        </w:rPr>
        <w:t>, maintaining open and diversified supply chains,</w:t>
      </w:r>
      <w:r w:rsidR="00791F14">
        <w:rPr>
          <w:lang w:val="en-US"/>
        </w:rPr>
        <w:t xml:space="preserve"> </w:t>
      </w:r>
      <w:r w:rsidRPr="007B3EAF">
        <w:rPr>
          <w:lang w:val="en-US"/>
        </w:rPr>
        <w:t>and the proper functioning of the internal market.</w:t>
      </w:r>
      <w:r w:rsidR="00986B6D">
        <w:rPr>
          <w:lang w:val="en-US"/>
        </w:rPr>
        <w:t xml:space="preserve"> The framework should also ensure that risk mitigating measures remain feasible for entities to implement and do not negatively affect the continuity of essential services or the coherence with existing cybersecurity obligations.</w:t>
      </w:r>
    </w:p>
    <w:sectPr w:rsidRPr="006A5098" w:rsidR="001D3063">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0D7D0" w14:textId="77777777" w:rsidR="007C3805" w:rsidRDefault="007C3805" w:rsidP="001C4045">
      <w:pPr>
        <w:spacing w:after="0" w:line="240" w:lineRule="auto"/>
      </w:pPr>
      <w:r>
        <w:separator/>
      </w:r>
    </w:p>
  </w:endnote>
  <w:endnote w:type="continuationSeparator" w:id="0">
    <w:p w14:paraId="70C53764" w14:textId="77777777" w:rsidR="007C3805" w:rsidRDefault="007C3805" w:rsidP="001C4045">
      <w:pPr>
        <w:spacing w:after="0" w:line="240" w:lineRule="auto"/>
      </w:pPr>
      <w:r>
        <w:continuationSeparator/>
      </w:r>
    </w:p>
  </w:endnote>
  <w:endnote w:type="continuationNotice" w:id="1">
    <w:p w14:paraId="493B0D53" w14:textId="77777777" w:rsidR="007C3805" w:rsidRDefault="007C38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DC39" w14:textId="3FD9AECC" w:rsidR="001C4045" w:rsidRDefault="001C4045">
    <w:pPr>
      <w:pStyle w:val="Voettekst"/>
    </w:pPr>
    <w:r>
      <w:rPr>
        <w:noProof/>
      </w:rPr>
      <mc:AlternateContent>
        <mc:Choice Requires="wps">
          <w:drawing>
            <wp:anchor distT="0" distB="0" distL="0" distR="0" simplePos="0" relativeHeight="251657216" behindDoc="0" locked="0" layoutInCell="1" allowOverlap="1" wp14:anchorId="1D138E05" wp14:editId="0E57E4E0">
              <wp:simplePos x="635" y="635"/>
              <wp:positionH relativeFrom="page">
                <wp:align>left</wp:align>
              </wp:positionH>
              <wp:positionV relativeFrom="page">
                <wp:align>bottom</wp:align>
              </wp:positionV>
              <wp:extent cx="1007110" cy="357505"/>
              <wp:effectExtent l="0" t="0" r="2540" b="0"/>
              <wp:wrapNone/>
              <wp:docPr id="784460728"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3012E769" w14:textId="604482EE" w:rsidR="001C4045" w:rsidRPr="001C4045" w:rsidRDefault="001C4045" w:rsidP="001C4045">
                          <w:pPr>
                            <w:spacing w:after="0"/>
                            <w:rPr>
                              <w:rFonts w:ascii="Aptos" w:eastAsia="Aptos" w:hAnsi="Aptos" w:cs="Aptos"/>
                              <w:noProof/>
                              <w:color w:val="000000"/>
                              <w:sz w:val="20"/>
                              <w:szCs w:val="20"/>
                            </w:rPr>
                          </w:pPr>
                          <w:r w:rsidRPr="001C4045">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138E05" id="_x0000_t202" coordsize="21600,21600" o:spt="202" path="m,l,21600r21600,l21600,xe">
              <v:stroke joinstyle="miter"/>
              <v:path gradientshapeok="t" o:connecttype="rect"/>
            </v:shapetype>
            <v:shape id="Tekstvak 2" o:spid="_x0000_s1026" type="#_x0000_t202" alt="Intern gebruik" style="position:absolute;margin-left:0;margin-top:0;width:79.3pt;height:28.15pt;z-index:25165721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" filled="f" stroked="f">
              <v:textbox style="mso-fit-shape-to-text:t" inset="20pt,0,0,15pt">
                <w:txbxContent>
                  <w:p w14:paraId="3012E769" w14:textId="604482EE" w:rsidR="001C4045" w:rsidRPr="001C4045" w:rsidRDefault="001C4045" w:rsidP="001C4045">
                    <w:pPr>
                      <w:spacing w:after="0"/>
                      <w:rPr>
                        <w:rFonts w:ascii="Aptos" w:eastAsia="Aptos" w:hAnsi="Aptos" w:cs="Aptos"/>
                        <w:noProof/>
                        <w:color w:val="000000"/>
                        <w:sz w:val="20"/>
                        <w:szCs w:val="20"/>
                      </w:rPr>
                    </w:pPr>
                    <w:r w:rsidRPr="001C4045">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DD9F" w14:textId="1AFFD9A8" w:rsidR="001C4045" w:rsidRDefault="001C4045">
    <w:pPr>
      <w:pStyle w:val="Voettekst"/>
    </w:pPr>
    <w:r>
      <w:rPr>
        <w:noProof/>
      </w:rPr>
      <mc:AlternateContent>
        <mc:Choice Requires="wps">
          <w:drawing>
            <wp:anchor distT="0" distB="0" distL="0" distR="0" simplePos="0" relativeHeight="251658240" behindDoc="0" locked="0" layoutInCell="1" allowOverlap="1" wp14:anchorId="644DB415" wp14:editId="14CE5F6A">
              <wp:simplePos x="900820" y="10071980"/>
              <wp:positionH relativeFrom="page">
                <wp:align>left</wp:align>
              </wp:positionH>
              <wp:positionV relativeFrom="page">
                <wp:align>bottom</wp:align>
              </wp:positionV>
              <wp:extent cx="1007110" cy="357505"/>
              <wp:effectExtent l="0" t="0" r="2540" b="0"/>
              <wp:wrapNone/>
              <wp:docPr id="99439662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74FB6349" w14:textId="78E486CD" w:rsidR="001C4045" w:rsidRPr="001C4045" w:rsidRDefault="001C4045" w:rsidP="001C4045">
                          <w:pPr>
                            <w:spacing w:after="0"/>
                            <w:rPr>
                              <w:rFonts w:ascii="Aptos" w:eastAsia="Aptos" w:hAnsi="Aptos" w:cs="Aptos"/>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4DB415" id="_x0000_t202" coordsize="21600,21600" o:spt="202" path="m,l,21600r21600,l21600,xe">
              <v:stroke joinstyle="miter"/>
              <v:path gradientshapeok="t" o:connecttype="rect"/>
            </v:shapetype>
            <v:shape id="Tekstvak 3" o:spid="_x0000_s1027" type="#_x0000_t202" alt="Intern gebruik" style="position:absolute;margin-left:0;margin-top:0;width:79.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" filled="f" stroked="f">
              <v:textbox style="mso-fit-shape-to-text:t" inset="20pt,0,0,15pt">
                <w:txbxContent>
                  <w:p w14:paraId="74FB6349" w14:textId="78E486CD" w:rsidR="001C4045" w:rsidRPr="001C4045" w:rsidRDefault="001C4045" w:rsidP="001C4045">
                    <w:pPr>
                      <w:spacing w:after="0"/>
                      <w:rPr>
                        <w:rFonts w:ascii="Aptos" w:eastAsia="Aptos" w:hAnsi="Aptos" w:cs="Aptos"/>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541A" w14:textId="276AE014" w:rsidR="001C4045" w:rsidRDefault="001C4045">
    <w:pPr>
      <w:pStyle w:val="Voettekst"/>
    </w:pPr>
    <w:r>
      <w:rPr>
        <w:noProof/>
      </w:rPr>
      <mc:AlternateContent>
        <mc:Choice Requires="wps">
          <w:drawing>
            <wp:anchor distT="0" distB="0" distL="0" distR="0" simplePos="0" relativeHeight="251656192" behindDoc="0" locked="0" layoutInCell="1" allowOverlap="1" wp14:anchorId="4A231D75" wp14:editId="6EF2C3E2">
              <wp:simplePos x="635" y="635"/>
              <wp:positionH relativeFrom="page">
                <wp:align>left</wp:align>
              </wp:positionH>
              <wp:positionV relativeFrom="page">
                <wp:align>bottom</wp:align>
              </wp:positionV>
              <wp:extent cx="1007110" cy="357505"/>
              <wp:effectExtent l="0" t="0" r="2540" b="0"/>
              <wp:wrapNone/>
              <wp:docPr id="113236426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61BBD64E" w14:textId="7E195B94" w:rsidR="001C4045" w:rsidRPr="001C4045" w:rsidRDefault="001C4045" w:rsidP="001C4045">
                          <w:pPr>
                            <w:spacing w:after="0"/>
                            <w:rPr>
                              <w:rFonts w:ascii="Aptos" w:eastAsia="Aptos" w:hAnsi="Aptos" w:cs="Aptos"/>
                              <w:noProof/>
                              <w:color w:val="000000"/>
                              <w:sz w:val="20"/>
                              <w:szCs w:val="20"/>
                            </w:rPr>
                          </w:pPr>
                          <w:r w:rsidRPr="001C4045">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231D75" id="_x0000_t202" coordsize="21600,21600" o:spt="202" path="m,l,21600r21600,l21600,xe">
              <v:stroke joinstyle="miter"/>
              <v:path gradientshapeok="t" o:connecttype="rect"/>
            </v:shapetype>
            <v:shape id="Tekstvak 1" o:spid="_x0000_s1028" type="#_x0000_t202" alt="Intern gebruik" style="position:absolute;margin-left:0;margin-top:0;width:79.3pt;height:28.15pt;z-index:25165619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" filled="f" stroked="f">
              <v:textbox style="mso-fit-shape-to-text:t" inset="20pt,0,0,15pt">
                <w:txbxContent>
                  <w:p w14:paraId="61BBD64E" w14:textId="7E195B94" w:rsidR="001C4045" w:rsidRPr="001C4045" w:rsidRDefault="001C4045" w:rsidP="001C4045">
                    <w:pPr>
                      <w:spacing w:after="0"/>
                      <w:rPr>
                        <w:rFonts w:ascii="Aptos" w:eastAsia="Aptos" w:hAnsi="Aptos" w:cs="Aptos"/>
                        <w:noProof/>
                        <w:color w:val="000000"/>
                        <w:sz w:val="20"/>
                        <w:szCs w:val="20"/>
                      </w:rPr>
                    </w:pPr>
                    <w:r w:rsidRPr="001C4045">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A9DF8" w14:textId="77777777" w:rsidR="007C3805" w:rsidRDefault="007C3805" w:rsidP="001C4045">
      <w:pPr>
        <w:spacing w:after="0" w:line="240" w:lineRule="auto"/>
      </w:pPr>
      <w:r>
        <w:separator/>
      </w:r>
    </w:p>
  </w:footnote>
  <w:footnote w:type="continuationSeparator" w:id="0">
    <w:p w14:paraId="475E516F" w14:textId="77777777" w:rsidR="007C3805" w:rsidRDefault="007C3805" w:rsidP="001C4045">
      <w:pPr>
        <w:spacing w:after="0" w:line="240" w:lineRule="auto"/>
      </w:pPr>
      <w:r>
        <w:continuationSeparator/>
      </w:r>
    </w:p>
  </w:footnote>
  <w:footnote w:type="continuationNotice" w:id="1">
    <w:p w14:paraId="6FD7D8BF" w14:textId="77777777" w:rsidR="007C3805" w:rsidRDefault="007C38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B713" w14:textId="77777777" w:rsidR="00D71930" w:rsidRDefault="00D719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9F36A" w14:textId="758EFE52" w:rsidR="00D71930" w:rsidRDefault="00D7193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F57E" w14:textId="77777777" w:rsidR="00D71930" w:rsidRDefault="00D7193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252B"/>
    <w:multiLevelType w:val="hybridMultilevel"/>
    <w:tmpl w:val="588A2F8A"/>
    <w:lvl w:ilvl="0" w:tplc="3C6A1A54">
      <w:start w:val="105"/>
      <w:numFmt w:val="bullet"/>
      <w:lvlText w:val="-"/>
      <w:lvlJc w:val="left"/>
      <w:pPr>
        <w:ind w:left="360" w:hanging="360"/>
      </w:pPr>
      <w:rPr>
        <w:rFonts w:ascii="Verdana" w:eastAsia="Aptos"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09983F0F"/>
    <w:multiLevelType w:val="hybridMultilevel"/>
    <w:tmpl w:val="DE40C8AC"/>
    <w:lvl w:ilvl="0" w:tplc="D5D8538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93153F"/>
    <w:multiLevelType w:val="hybridMultilevel"/>
    <w:tmpl w:val="88EEB452"/>
    <w:lvl w:ilvl="0" w:tplc="790AF46C">
      <w:numFmt w:val="bullet"/>
      <w:lvlText w:val="-"/>
      <w:lvlJc w:val="left"/>
      <w:pPr>
        <w:ind w:left="360" w:hanging="360"/>
      </w:pPr>
      <w:rPr>
        <w:rFonts w:ascii="Aptos" w:eastAsia="Aptos" w:hAnsi="Apto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30D235B5"/>
    <w:multiLevelType w:val="hybridMultilevel"/>
    <w:tmpl w:val="A63481B0"/>
    <w:lvl w:ilvl="0" w:tplc="5A9A581C">
      <w:numFmt w:val="bullet"/>
      <w:lvlText w:val="-"/>
      <w:lvlJc w:val="left"/>
      <w:pPr>
        <w:ind w:left="1080" w:hanging="360"/>
      </w:pPr>
      <w:rPr>
        <w:rFonts w:ascii="Aptos" w:eastAsiaTheme="minorHAnsi" w:hAnsi="Apto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33B14E13"/>
    <w:multiLevelType w:val="hybridMultilevel"/>
    <w:tmpl w:val="EBFEEDE6"/>
    <w:lvl w:ilvl="0" w:tplc="06C6367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DE9333D"/>
    <w:multiLevelType w:val="hybridMultilevel"/>
    <w:tmpl w:val="EA1602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4DFF6FD6"/>
    <w:multiLevelType w:val="hybridMultilevel"/>
    <w:tmpl w:val="6CD6E610"/>
    <w:lvl w:ilvl="0" w:tplc="D5D8538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86855FF"/>
    <w:multiLevelType w:val="hybridMultilevel"/>
    <w:tmpl w:val="7F009DD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42C4061"/>
    <w:multiLevelType w:val="hybridMultilevel"/>
    <w:tmpl w:val="E2E858F0"/>
    <w:lvl w:ilvl="0" w:tplc="DE261346">
      <w:start w:val="1"/>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65000C3C"/>
    <w:multiLevelType w:val="hybridMultilevel"/>
    <w:tmpl w:val="323C8F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6D1E614C"/>
    <w:multiLevelType w:val="hybridMultilevel"/>
    <w:tmpl w:val="E340ADE8"/>
    <w:lvl w:ilvl="0" w:tplc="D5D8538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64406959">
    <w:abstractNumId w:val="5"/>
  </w:num>
  <w:num w:numId="2" w16cid:durableId="914128433">
    <w:abstractNumId w:val="8"/>
  </w:num>
  <w:num w:numId="3" w16cid:durableId="1432702005">
    <w:abstractNumId w:val="0"/>
  </w:num>
  <w:num w:numId="4" w16cid:durableId="1293439180">
    <w:abstractNumId w:val="2"/>
  </w:num>
  <w:num w:numId="5" w16cid:durableId="667750780">
    <w:abstractNumId w:val="1"/>
  </w:num>
  <w:num w:numId="6" w16cid:durableId="1981154447">
    <w:abstractNumId w:val="0"/>
  </w:num>
  <w:num w:numId="7" w16cid:durableId="1303583284">
    <w:abstractNumId w:val="10"/>
  </w:num>
  <w:num w:numId="8" w16cid:durableId="169368095">
    <w:abstractNumId w:val="3"/>
  </w:num>
  <w:num w:numId="9" w16cid:durableId="388001386">
    <w:abstractNumId w:val="6"/>
  </w:num>
  <w:num w:numId="10" w16cid:durableId="495339439">
    <w:abstractNumId w:val="4"/>
  </w:num>
  <w:num w:numId="11" w16cid:durableId="2094159155">
    <w:abstractNumId w:val="5"/>
  </w:num>
  <w:num w:numId="12" w16cid:durableId="37897014">
    <w:abstractNumId w:val="7"/>
  </w:num>
  <w:num w:numId="13" w16cid:durableId="295718671">
    <w:abstractNumId w:val="9"/>
  </w:num>
  <w:num w:numId="14" w16cid:durableId="2535909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D51"/>
    <w:rsid w:val="000052C4"/>
    <w:rsid w:val="0001655A"/>
    <w:rsid w:val="0001747E"/>
    <w:rsid w:val="000229FE"/>
    <w:rsid w:val="000270BC"/>
    <w:rsid w:val="00040FD5"/>
    <w:rsid w:val="000416BB"/>
    <w:rsid w:val="00044FC4"/>
    <w:rsid w:val="000514F1"/>
    <w:rsid w:val="0005306F"/>
    <w:rsid w:val="000627C9"/>
    <w:rsid w:val="0006355F"/>
    <w:rsid w:val="00076DF6"/>
    <w:rsid w:val="00080983"/>
    <w:rsid w:val="00084BC7"/>
    <w:rsid w:val="00084D22"/>
    <w:rsid w:val="00090445"/>
    <w:rsid w:val="000B460F"/>
    <w:rsid w:val="000B4C3D"/>
    <w:rsid w:val="000B6CF2"/>
    <w:rsid w:val="000C5337"/>
    <w:rsid w:val="000D1162"/>
    <w:rsid w:val="000D292C"/>
    <w:rsid w:val="000D5043"/>
    <w:rsid w:val="000D643F"/>
    <w:rsid w:val="000E452B"/>
    <w:rsid w:val="000E7369"/>
    <w:rsid w:val="000F186E"/>
    <w:rsid w:val="000F75D7"/>
    <w:rsid w:val="00106FFA"/>
    <w:rsid w:val="00111798"/>
    <w:rsid w:val="00113D26"/>
    <w:rsid w:val="001155EB"/>
    <w:rsid w:val="00117B95"/>
    <w:rsid w:val="00122BF0"/>
    <w:rsid w:val="00125710"/>
    <w:rsid w:val="00133648"/>
    <w:rsid w:val="001362BE"/>
    <w:rsid w:val="0014742A"/>
    <w:rsid w:val="001749B3"/>
    <w:rsid w:val="00176DE2"/>
    <w:rsid w:val="00180A1D"/>
    <w:rsid w:val="00194707"/>
    <w:rsid w:val="00196C4A"/>
    <w:rsid w:val="001A55DB"/>
    <w:rsid w:val="001A7638"/>
    <w:rsid w:val="001C0973"/>
    <w:rsid w:val="001C09FA"/>
    <w:rsid w:val="001C16B7"/>
    <w:rsid w:val="001C4045"/>
    <w:rsid w:val="001C60B7"/>
    <w:rsid w:val="001D3063"/>
    <w:rsid w:val="001E1D5F"/>
    <w:rsid w:val="001E2550"/>
    <w:rsid w:val="001E276C"/>
    <w:rsid w:val="00201692"/>
    <w:rsid w:val="00202937"/>
    <w:rsid w:val="002060D6"/>
    <w:rsid w:val="00211205"/>
    <w:rsid w:val="002149CD"/>
    <w:rsid w:val="00227AA0"/>
    <w:rsid w:val="00227E6B"/>
    <w:rsid w:val="00231430"/>
    <w:rsid w:val="00235E4E"/>
    <w:rsid w:val="002417F4"/>
    <w:rsid w:val="002461B2"/>
    <w:rsid w:val="00253CA9"/>
    <w:rsid w:val="00253E4E"/>
    <w:rsid w:val="00255FFF"/>
    <w:rsid w:val="0026093E"/>
    <w:rsid w:val="00263249"/>
    <w:rsid w:val="0026362B"/>
    <w:rsid w:val="00265137"/>
    <w:rsid w:val="002676B6"/>
    <w:rsid w:val="00272331"/>
    <w:rsid w:val="002723FE"/>
    <w:rsid w:val="00281178"/>
    <w:rsid w:val="00283509"/>
    <w:rsid w:val="00284A08"/>
    <w:rsid w:val="00294D4F"/>
    <w:rsid w:val="002A5CBA"/>
    <w:rsid w:val="002A7C2C"/>
    <w:rsid w:val="002B6A90"/>
    <w:rsid w:val="002C3AEA"/>
    <w:rsid w:val="002C6F8A"/>
    <w:rsid w:val="002D1427"/>
    <w:rsid w:val="002E260B"/>
    <w:rsid w:val="002E510D"/>
    <w:rsid w:val="002F0BA8"/>
    <w:rsid w:val="002F4DA9"/>
    <w:rsid w:val="0030280C"/>
    <w:rsid w:val="00304DFC"/>
    <w:rsid w:val="00307038"/>
    <w:rsid w:val="003072C8"/>
    <w:rsid w:val="00321161"/>
    <w:rsid w:val="003309B0"/>
    <w:rsid w:val="00344821"/>
    <w:rsid w:val="00347B2E"/>
    <w:rsid w:val="00351314"/>
    <w:rsid w:val="00356536"/>
    <w:rsid w:val="00357E01"/>
    <w:rsid w:val="0036487B"/>
    <w:rsid w:val="0036527D"/>
    <w:rsid w:val="00373346"/>
    <w:rsid w:val="00381CD6"/>
    <w:rsid w:val="00385753"/>
    <w:rsid w:val="003868BC"/>
    <w:rsid w:val="003917BC"/>
    <w:rsid w:val="003A6415"/>
    <w:rsid w:val="003B1076"/>
    <w:rsid w:val="003B4308"/>
    <w:rsid w:val="003D52A8"/>
    <w:rsid w:val="003E10C8"/>
    <w:rsid w:val="003E1E66"/>
    <w:rsid w:val="003E315F"/>
    <w:rsid w:val="003E3F35"/>
    <w:rsid w:val="003E7021"/>
    <w:rsid w:val="003F53D7"/>
    <w:rsid w:val="004011AD"/>
    <w:rsid w:val="00402F94"/>
    <w:rsid w:val="00411A25"/>
    <w:rsid w:val="00411C8A"/>
    <w:rsid w:val="0042731A"/>
    <w:rsid w:val="00433E82"/>
    <w:rsid w:val="004430CB"/>
    <w:rsid w:val="0044480A"/>
    <w:rsid w:val="00446D7B"/>
    <w:rsid w:val="004554DB"/>
    <w:rsid w:val="0045575D"/>
    <w:rsid w:val="00456DD4"/>
    <w:rsid w:val="004676E4"/>
    <w:rsid w:val="00492F27"/>
    <w:rsid w:val="004979D2"/>
    <w:rsid w:val="004A6AE2"/>
    <w:rsid w:val="004B27A0"/>
    <w:rsid w:val="004B4068"/>
    <w:rsid w:val="004C3EF7"/>
    <w:rsid w:val="004D7857"/>
    <w:rsid w:val="004E2F19"/>
    <w:rsid w:val="004E7D8D"/>
    <w:rsid w:val="00501B1F"/>
    <w:rsid w:val="00502595"/>
    <w:rsid w:val="00505556"/>
    <w:rsid w:val="00506FD4"/>
    <w:rsid w:val="00512062"/>
    <w:rsid w:val="0051443F"/>
    <w:rsid w:val="00514E08"/>
    <w:rsid w:val="0051546F"/>
    <w:rsid w:val="00517EC0"/>
    <w:rsid w:val="00525605"/>
    <w:rsid w:val="00532C46"/>
    <w:rsid w:val="0053585E"/>
    <w:rsid w:val="005374C1"/>
    <w:rsid w:val="00555732"/>
    <w:rsid w:val="00561557"/>
    <w:rsid w:val="005625CD"/>
    <w:rsid w:val="005643A6"/>
    <w:rsid w:val="00571531"/>
    <w:rsid w:val="00574B9B"/>
    <w:rsid w:val="00583F87"/>
    <w:rsid w:val="005845EF"/>
    <w:rsid w:val="005848DB"/>
    <w:rsid w:val="005960E1"/>
    <w:rsid w:val="005A2BB2"/>
    <w:rsid w:val="005A7911"/>
    <w:rsid w:val="005B6D62"/>
    <w:rsid w:val="005B6F49"/>
    <w:rsid w:val="005C16EF"/>
    <w:rsid w:val="005D13E0"/>
    <w:rsid w:val="005D640C"/>
    <w:rsid w:val="005E3AD3"/>
    <w:rsid w:val="005E52FC"/>
    <w:rsid w:val="006054BD"/>
    <w:rsid w:val="00612857"/>
    <w:rsid w:val="00612A76"/>
    <w:rsid w:val="006163E3"/>
    <w:rsid w:val="006229FE"/>
    <w:rsid w:val="00622AE2"/>
    <w:rsid w:val="00622C90"/>
    <w:rsid w:val="006318BB"/>
    <w:rsid w:val="00632F13"/>
    <w:rsid w:val="0063466E"/>
    <w:rsid w:val="00641F94"/>
    <w:rsid w:val="00646945"/>
    <w:rsid w:val="006549A4"/>
    <w:rsid w:val="00655C03"/>
    <w:rsid w:val="006601AD"/>
    <w:rsid w:val="00663427"/>
    <w:rsid w:val="006662A3"/>
    <w:rsid w:val="0066789B"/>
    <w:rsid w:val="00670A3D"/>
    <w:rsid w:val="0068148A"/>
    <w:rsid w:val="00683ABF"/>
    <w:rsid w:val="00685504"/>
    <w:rsid w:val="0068681D"/>
    <w:rsid w:val="00692887"/>
    <w:rsid w:val="0069351E"/>
    <w:rsid w:val="00697FFA"/>
    <w:rsid w:val="006A5098"/>
    <w:rsid w:val="006B37FC"/>
    <w:rsid w:val="006B4680"/>
    <w:rsid w:val="006B4DCF"/>
    <w:rsid w:val="006C1395"/>
    <w:rsid w:val="006C26E0"/>
    <w:rsid w:val="006C4C55"/>
    <w:rsid w:val="006C5917"/>
    <w:rsid w:val="006C7823"/>
    <w:rsid w:val="006D7900"/>
    <w:rsid w:val="006F270E"/>
    <w:rsid w:val="006F29A5"/>
    <w:rsid w:val="006F6802"/>
    <w:rsid w:val="00707254"/>
    <w:rsid w:val="007108C1"/>
    <w:rsid w:val="00711D7B"/>
    <w:rsid w:val="00716140"/>
    <w:rsid w:val="00722BD9"/>
    <w:rsid w:val="00723EBE"/>
    <w:rsid w:val="00730C49"/>
    <w:rsid w:val="00743118"/>
    <w:rsid w:val="007474D9"/>
    <w:rsid w:val="00750474"/>
    <w:rsid w:val="0075413D"/>
    <w:rsid w:val="007640A4"/>
    <w:rsid w:val="00764FAF"/>
    <w:rsid w:val="0077365A"/>
    <w:rsid w:val="007748B7"/>
    <w:rsid w:val="00776209"/>
    <w:rsid w:val="00791F14"/>
    <w:rsid w:val="007963BD"/>
    <w:rsid w:val="0079680B"/>
    <w:rsid w:val="007A20F4"/>
    <w:rsid w:val="007A4490"/>
    <w:rsid w:val="007B0086"/>
    <w:rsid w:val="007B2B57"/>
    <w:rsid w:val="007B3EAF"/>
    <w:rsid w:val="007B6A39"/>
    <w:rsid w:val="007C22E8"/>
    <w:rsid w:val="007C2EB2"/>
    <w:rsid w:val="007C3805"/>
    <w:rsid w:val="007E2EF3"/>
    <w:rsid w:val="007E518E"/>
    <w:rsid w:val="007F6DC7"/>
    <w:rsid w:val="00811F6C"/>
    <w:rsid w:val="008166A7"/>
    <w:rsid w:val="00816F02"/>
    <w:rsid w:val="00820657"/>
    <w:rsid w:val="00832088"/>
    <w:rsid w:val="00835796"/>
    <w:rsid w:val="0084576F"/>
    <w:rsid w:val="0085138C"/>
    <w:rsid w:val="00863643"/>
    <w:rsid w:val="00866B82"/>
    <w:rsid w:val="00870240"/>
    <w:rsid w:val="00870D15"/>
    <w:rsid w:val="008C7651"/>
    <w:rsid w:val="008C77B2"/>
    <w:rsid w:val="008D25E9"/>
    <w:rsid w:val="008E2FE5"/>
    <w:rsid w:val="008F4F65"/>
    <w:rsid w:val="00900074"/>
    <w:rsid w:val="009016DC"/>
    <w:rsid w:val="00904A6D"/>
    <w:rsid w:val="0091626E"/>
    <w:rsid w:val="009170A1"/>
    <w:rsid w:val="00917812"/>
    <w:rsid w:val="00926F2F"/>
    <w:rsid w:val="0095064B"/>
    <w:rsid w:val="009635A8"/>
    <w:rsid w:val="0097230D"/>
    <w:rsid w:val="0097348C"/>
    <w:rsid w:val="0097795A"/>
    <w:rsid w:val="009779F1"/>
    <w:rsid w:val="00982537"/>
    <w:rsid w:val="00986B6D"/>
    <w:rsid w:val="009A1E91"/>
    <w:rsid w:val="009A6C5B"/>
    <w:rsid w:val="009B3204"/>
    <w:rsid w:val="009B574B"/>
    <w:rsid w:val="009C1D4A"/>
    <w:rsid w:val="009C33DC"/>
    <w:rsid w:val="009E070D"/>
    <w:rsid w:val="009E664B"/>
    <w:rsid w:val="009E69D6"/>
    <w:rsid w:val="009F3EC7"/>
    <w:rsid w:val="009F58A3"/>
    <w:rsid w:val="00A03036"/>
    <w:rsid w:val="00A037F6"/>
    <w:rsid w:val="00A06993"/>
    <w:rsid w:val="00A14051"/>
    <w:rsid w:val="00A35FC7"/>
    <w:rsid w:val="00A4371E"/>
    <w:rsid w:val="00A43789"/>
    <w:rsid w:val="00A46145"/>
    <w:rsid w:val="00A46D1E"/>
    <w:rsid w:val="00A47AE0"/>
    <w:rsid w:val="00A51537"/>
    <w:rsid w:val="00A55DE6"/>
    <w:rsid w:val="00A55E29"/>
    <w:rsid w:val="00A64AA2"/>
    <w:rsid w:val="00A66894"/>
    <w:rsid w:val="00A745CC"/>
    <w:rsid w:val="00A7508C"/>
    <w:rsid w:val="00A809D3"/>
    <w:rsid w:val="00A83385"/>
    <w:rsid w:val="00AA4227"/>
    <w:rsid w:val="00AA5997"/>
    <w:rsid w:val="00AB1010"/>
    <w:rsid w:val="00AB3A46"/>
    <w:rsid w:val="00AD167C"/>
    <w:rsid w:val="00AD25A2"/>
    <w:rsid w:val="00AE153C"/>
    <w:rsid w:val="00AE7668"/>
    <w:rsid w:val="00AF1B25"/>
    <w:rsid w:val="00B059FC"/>
    <w:rsid w:val="00B12589"/>
    <w:rsid w:val="00B131D9"/>
    <w:rsid w:val="00B14374"/>
    <w:rsid w:val="00B16A8E"/>
    <w:rsid w:val="00B27BDF"/>
    <w:rsid w:val="00B27EB9"/>
    <w:rsid w:val="00B335B8"/>
    <w:rsid w:val="00B40F6B"/>
    <w:rsid w:val="00B44D86"/>
    <w:rsid w:val="00B51A4D"/>
    <w:rsid w:val="00B60476"/>
    <w:rsid w:val="00B60837"/>
    <w:rsid w:val="00B64705"/>
    <w:rsid w:val="00B6520D"/>
    <w:rsid w:val="00B66DF3"/>
    <w:rsid w:val="00B71739"/>
    <w:rsid w:val="00B772D3"/>
    <w:rsid w:val="00B81041"/>
    <w:rsid w:val="00BA1BE6"/>
    <w:rsid w:val="00BA4982"/>
    <w:rsid w:val="00BB282E"/>
    <w:rsid w:val="00BC1E22"/>
    <w:rsid w:val="00BC4069"/>
    <w:rsid w:val="00BD46B9"/>
    <w:rsid w:val="00BE1253"/>
    <w:rsid w:val="00BE7998"/>
    <w:rsid w:val="00BF0AAB"/>
    <w:rsid w:val="00BF1D33"/>
    <w:rsid w:val="00BF49B5"/>
    <w:rsid w:val="00C004E7"/>
    <w:rsid w:val="00C106DF"/>
    <w:rsid w:val="00C1188C"/>
    <w:rsid w:val="00C142CA"/>
    <w:rsid w:val="00C15303"/>
    <w:rsid w:val="00C330F1"/>
    <w:rsid w:val="00C34A09"/>
    <w:rsid w:val="00C35B73"/>
    <w:rsid w:val="00C36AF1"/>
    <w:rsid w:val="00C36C54"/>
    <w:rsid w:val="00C43804"/>
    <w:rsid w:val="00C4703A"/>
    <w:rsid w:val="00C47A42"/>
    <w:rsid w:val="00C565A6"/>
    <w:rsid w:val="00C56880"/>
    <w:rsid w:val="00C62A89"/>
    <w:rsid w:val="00C67ADA"/>
    <w:rsid w:val="00C7755B"/>
    <w:rsid w:val="00C77E04"/>
    <w:rsid w:val="00C84254"/>
    <w:rsid w:val="00C84CF5"/>
    <w:rsid w:val="00C91ED3"/>
    <w:rsid w:val="00C93F81"/>
    <w:rsid w:val="00CA71F3"/>
    <w:rsid w:val="00CB06B4"/>
    <w:rsid w:val="00CB7FDF"/>
    <w:rsid w:val="00CD4251"/>
    <w:rsid w:val="00CE186D"/>
    <w:rsid w:val="00CE7240"/>
    <w:rsid w:val="00CF3C1A"/>
    <w:rsid w:val="00CF7686"/>
    <w:rsid w:val="00D0035D"/>
    <w:rsid w:val="00D03149"/>
    <w:rsid w:val="00D07D43"/>
    <w:rsid w:val="00D14E5B"/>
    <w:rsid w:val="00D24C77"/>
    <w:rsid w:val="00D275BA"/>
    <w:rsid w:val="00D42ADA"/>
    <w:rsid w:val="00D44651"/>
    <w:rsid w:val="00D54D11"/>
    <w:rsid w:val="00D57A71"/>
    <w:rsid w:val="00D7009B"/>
    <w:rsid w:val="00D710B7"/>
    <w:rsid w:val="00D7177D"/>
    <w:rsid w:val="00D71930"/>
    <w:rsid w:val="00D76FDC"/>
    <w:rsid w:val="00D808D7"/>
    <w:rsid w:val="00D81137"/>
    <w:rsid w:val="00D87C84"/>
    <w:rsid w:val="00D958BC"/>
    <w:rsid w:val="00DA1D70"/>
    <w:rsid w:val="00DA34AC"/>
    <w:rsid w:val="00DB0EBC"/>
    <w:rsid w:val="00DC1002"/>
    <w:rsid w:val="00DD3B30"/>
    <w:rsid w:val="00DE55D6"/>
    <w:rsid w:val="00DF0A69"/>
    <w:rsid w:val="00E10202"/>
    <w:rsid w:val="00E11259"/>
    <w:rsid w:val="00E20B7A"/>
    <w:rsid w:val="00E30D82"/>
    <w:rsid w:val="00E3153C"/>
    <w:rsid w:val="00E454B7"/>
    <w:rsid w:val="00E46588"/>
    <w:rsid w:val="00E534FE"/>
    <w:rsid w:val="00E73DE3"/>
    <w:rsid w:val="00E77BBA"/>
    <w:rsid w:val="00E947FF"/>
    <w:rsid w:val="00EA07B6"/>
    <w:rsid w:val="00EA6B99"/>
    <w:rsid w:val="00EB52CF"/>
    <w:rsid w:val="00EC0743"/>
    <w:rsid w:val="00EC129B"/>
    <w:rsid w:val="00EC666C"/>
    <w:rsid w:val="00EC7F66"/>
    <w:rsid w:val="00ED231A"/>
    <w:rsid w:val="00ED33DE"/>
    <w:rsid w:val="00ED52B5"/>
    <w:rsid w:val="00EE1D51"/>
    <w:rsid w:val="00EE1D93"/>
    <w:rsid w:val="00EE2A67"/>
    <w:rsid w:val="00EE4641"/>
    <w:rsid w:val="00EE6F2C"/>
    <w:rsid w:val="00EE7263"/>
    <w:rsid w:val="00EF171B"/>
    <w:rsid w:val="00EF33DD"/>
    <w:rsid w:val="00F04D9A"/>
    <w:rsid w:val="00F372AD"/>
    <w:rsid w:val="00F4426E"/>
    <w:rsid w:val="00F46A2D"/>
    <w:rsid w:val="00F46B89"/>
    <w:rsid w:val="00F54503"/>
    <w:rsid w:val="00F56E98"/>
    <w:rsid w:val="00F6287A"/>
    <w:rsid w:val="00F71F47"/>
    <w:rsid w:val="00F73D79"/>
    <w:rsid w:val="00F8095C"/>
    <w:rsid w:val="00FC41B0"/>
    <w:rsid w:val="00FC7435"/>
    <w:rsid w:val="00FD0CB2"/>
    <w:rsid w:val="00FD57E1"/>
    <w:rsid w:val="00FD6317"/>
    <w:rsid w:val="00FE1854"/>
    <w:rsid w:val="00FE32B1"/>
    <w:rsid w:val="00FE5240"/>
    <w:rsid w:val="00FE7A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4E4AA"/>
  <w15:chartTrackingRefBased/>
  <w15:docId w15:val="{A52326C7-24C7-4FE1-9386-E627BB1F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E1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E1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E1D5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E1D5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E1D5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E1D5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1D5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1D5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1D5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1D5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E1D5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E1D5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E1D5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E1D5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E1D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1D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1D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1D51"/>
    <w:rPr>
      <w:rFonts w:eastAsiaTheme="majorEastAsia" w:cstheme="majorBidi"/>
      <w:color w:val="272727" w:themeColor="text1" w:themeTint="D8"/>
    </w:rPr>
  </w:style>
  <w:style w:type="paragraph" w:styleId="Titel">
    <w:name w:val="Title"/>
    <w:basedOn w:val="Standaard"/>
    <w:next w:val="Standaard"/>
    <w:link w:val="TitelChar"/>
    <w:uiPriority w:val="10"/>
    <w:qFormat/>
    <w:rsid w:val="00EE1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E1D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E1D5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E1D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E1D5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E1D51"/>
    <w:rPr>
      <w:i/>
      <w:iCs/>
      <w:color w:val="404040" w:themeColor="text1" w:themeTint="BF"/>
    </w:rPr>
  </w:style>
  <w:style w:type="paragraph" w:styleId="Lijstalinea">
    <w:name w:val="List Paragraph"/>
    <w:basedOn w:val="Standaard"/>
    <w:uiPriority w:val="34"/>
    <w:qFormat/>
    <w:rsid w:val="00EE1D51"/>
    <w:pPr>
      <w:ind w:left="720"/>
      <w:contextualSpacing/>
    </w:pPr>
  </w:style>
  <w:style w:type="character" w:styleId="Intensievebenadrukking">
    <w:name w:val="Intense Emphasis"/>
    <w:basedOn w:val="Standaardalinea-lettertype"/>
    <w:uiPriority w:val="21"/>
    <w:qFormat/>
    <w:rsid w:val="00EE1D51"/>
    <w:rPr>
      <w:i/>
      <w:iCs/>
      <w:color w:val="0F4761" w:themeColor="accent1" w:themeShade="BF"/>
    </w:rPr>
  </w:style>
  <w:style w:type="paragraph" w:styleId="Duidelijkcitaat">
    <w:name w:val="Intense Quote"/>
    <w:basedOn w:val="Standaard"/>
    <w:next w:val="Standaard"/>
    <w:link w:val="DuidelijkcitaatChar"/>
    <w:uiPriority w:val="30"/>
    <w:qFormat/>
    <w:rsid w:val="00EE1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E1D51"/>
    <w:rPr>
      <w:i/>
      <w:iCs/>
      <w:color w:val="0F4761" w:themeColor="accent1" w:themeShade="BF"/>
    </w:rPr>
  </w:style>
  <w:style w:type="character" w:styleId="Intensieveverwijzing">
    <w:name w:val="Intense Reference"/>
    <w:basedOn w:val="Standaardalinea-lettertype"/>
    <w:uiPriority w:val="32"/>
    <w:qFormat/>
    <w:rsid w:val="00EE1D51"/>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347B2E"/>
    <w:rPr>
      <w:sz w:val="16"/>
      <w:szCs w:val="16"/>
    </w:rPr>
  </w:style>
  <w:style w:type="paragraph" w:styleId="Tekstopmerking">
    <w:name w:val="annotation text"/>
    <w:basedOn w:val="Standaard"/>
    <w:link w:val="TekstopmerkingChar"/>
    <w:uiPriority w:val="99"/>
    <w:unhideWhenUsed/>
    <w:rsid w:val="00347B2E"/>
    <w:pPr>
      <w:spacing w:line="240" w:lineRule="auto"/>
    </w:pPr>
    <w:rPr>
      <w:sz w:val="20"/>
      <w:szCs w:val="20"/>
    </w:rPr>
  </w:style>
  <w:style w:type="character" w:customStyle="1" w:styleId="TekstopmerkingChar">
    <w:name w:val="Tekst opmerking Char"/>
    <w:basedOn w:val="Standaardalinea-lettertype"/>
    <w:link w:val="Tekstopmerking"/>
    <w:uiPriority w:val="99"/>
    <w:rsid w:val="00347B2E"/>
    <w:rPr>
      <w:sz w:val="20"/>
      <w:szCs w:val="20"/>
    </w:rPr>
  </w:style>
  <w:style w:type="paragraph" w:styleId="Onderwerpvanopmerking">
    <w:name w:val="annotation subject"/>
    <w:basedOn w:val="Tekstopmerking"/>
    <w:next w:val="Tekstopmerking"/>
    <w:link w:val="OnderwerpvanopmerkingChar"/>
    <w:uiPriority w:val="99"/>
    <w:semiHidden/>
    <w:unhideWhenUsed/>
    <w:rsid w:val="00347B2E"/>
    <w:rPr>
      <w:b/>
      <w:bCs/>
    </w:rPr>
  </w:style>
  <w:style w:type="character" w:customStyle="1" w:styleId="OnderwerpvanopmerkingChar">
    <w:name w:val="Onderwerp van opmerking Char"/>
    <w:basedOn w:val="TekstopmerkingChar"/>
    <w:link w:val="Onderwerpvanopmerking"/>
    <w:uiPriority w:val="99"/>
    <w:semiHidden/>
    <w:rsid w:val="00347B2E"/>
    <w:rPr>
      <w:b/>
      <w:bCs/>
      <w:sz w:val="20"/>
      <w:szCs w:val="20"/>
    </w:rPr>
  </w:style>
  <w:style w:type="paragraph" w:styleId="HTML-voorafopgemaakt">
    <w:name w:val="HTML Preformatted"/>
    <w:basedOn w:val="Standaard"/>
    <w:link w:val="HTML-voorafopgemaaktChar"/>
    <w:uiPriority w:val="99"/>
    <w:semiHidden/>
    <w:unhideWhenUsed/>
    <w:rsid w:val="007640A4"/>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7640A4"/>
    <w:rPr>
      <w:rFonts w:ascii="Consolas" w:hAnsi="Consolas"/>
      <w:sz w:val="20"/>
      <w:szCs w:val="20"/>
    </w:rPr>
  </w:style>
  <w:style w:type="paragraph" w:styleId="Revisie">
    <w:name w:val="Revision"/>
    <w:hidden/>
    <w:uiPriority w:val="99"/>
    <w:semiHidden/>
    <w:rsid w:val="00BC4069"/>
    <w:pPr>
      <w:spacing w:after="0" w:line="240" w:lineRule="auto"/>
    </w:pPr>
  </w:style>
  <w:style w:type="paragraph" w:styleId="Voettekst">
    <w:name w:val="footer"/>
    <w:basedOn w:val="Standaard"/>
    <w:link w:val="VoettekstChar"/>
    <w:uiPriority w:val="99"/>
    <w:unhideWhenUsed/>
    <w:rsid w:val="001C40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4045"/>
  </w:style>
  <w:style w:type="paragraph" w:styleId="Koptekst">
    <w:name w:val="header"/>
    <w:basedOn w:val="Standaard"/>
    <w:link w:val="KoptekstChar"/>
    <w:uiPriority w:val="99"/>
    <w:unhideWhenUsed/>
    <w:rsid w:val="00EF171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EF171B"/>
  </w:style>
  <w:style w:type="character" w:styleId="Hyperlink">
    <w:name w:val="Hyperlink"/>
    <w:basedOn w:val="Standaardalinea-lettertype"/>
    <w:uiPriority w:val="99"/>
    <w:unhideWhenUsed/>
    <w:rsid w:val="00EE7263"/>
    <w:rPr>
      <w:color w:val="467886" w:themeColor="hyperlink"/>
      <w:u w:val="single"/>
    </w:rPr>
  </w:style>
  <w:style w:type="character" w:styleId="Onopgelostemelding">
    <w:name w:val="Unresolved Mention"/>
    <w:basedOn w:val="Standaardalinea-lettertype"/>
    <w:uiPriority w:val="99"/>
    <w:semiHidden/>
    <w:unhideWhenUsed/>
    <w:rsid w:val="00EE7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5749">
      <w:bodyDiv w:val="1"/>
      <w:marLeft w:val="0"/>
      <w:marRight w:val="0"/>
      <w:marTop w:val="0"/>
      <w:marBottom w:val="0"/>
      <w:divBdr>
        <w:top w:val="none" w:sz="0" w:space="0" w:color="auto"/>
        <w:left w:val="none" w:sz="0" w:space="0" w:color="auto"/>
        <w:bottom w:val="none" w:sz="0" w:space="0" w:color="auto"/>
        <w:right w:val="none" w:sz="0" w:space="0" w:color="auto"/>
      </w:divBdr>
      <w:divsChild>
        <w:div w:id="994996592">
          <w:marLeft w:val="0"/>
          <w:marRight w:val="0"/>
          <w:marTop w:val="0"/>
          <w:marBottom w:val="0"/>
          <w:divBdr>
            <w:top w:val="none" w:sz="0" w:space="0" w:color="auto"/>
            <w:left w:val="none" w:sz="0" w:space="0" w:color="auto"/>
            <w:bottom w:val="none" w:sz="0" w:space="0" w:color="auto"/>
            <w:right w:val="none" w:sz="0" w:space="0" w:color="auto"/>
          </w:divBdr>
        </w:div>
      </w:divsChild>
    </w:div>
    <w:div w:id="43868789">
      <w:bodyDiv w:val="1"/>
      <w:marLeft w:val="0"/>
      <w:marRight w:val="0"/>
      <w:marTop w:val="0"/>
      <w:marBottom w:val="0"/>
      <w:divBdr>
        <w:top w:val="none" w:sz="0" w:space="0" w:color="auto"/>
        <w:left w:val="none" w:sz="0" w:space="0" w:color="auto"/>
        <w:bottom w:val="none" w:sz="0" w:space="0" w:color="auto"/>
        <w:right w:val="none" w:sz="0" w:space="0" w:color="auto"/>
      </w:divBdr>
    </w:div>
    <w:div w:id="71657816">
      <w:bodyDiv w:val="1"/>
      <w:marLeft w:val="0"/>
      <w:marRight w:val="0"/>
      <w:marTop w:val="0"/>
      <w:marBottom w:val="0"/>
      <w:divBdr>
        <w:top w:val="none" w:sz="0" w:space="0" w:color="auto"/>
        <w:left w:val="none" w:sz="0" w:space="0" w:color="auto"/>
        <w:bottom w:val="none" w:sz="0" w:space="0" w:color="auto"/>
        <w:right w:val="none" w:sz="0" w:space="0" w:color="auto"/>
      </w:divBdr>
    </w:div>
    <w:div w:id="92939206">
      <w:bodyDiv w:val="1"/>
      <w:marLeft w:val="0"/>
      <w:marRight w:val="0"/>
      <w:marTop w:val="0"/>
      <w:marBottom w:val="0"/>
      <w:divBdr>
        <w:top w:val="none" w:sz="0" w:space="0" w:color="auto"/>
        <w:left w:val="none" w:sz="0" w:space="0" w:color="auto"/>
        <w:bottom w:val="none" w:sz="0" w:space="0" w:color="auto"/>
        <w:right w:val="none" w:sz="0" w:space="0" w:color="auto"/>
      </w:divBdr>
    </w:div>
    <w:div w:id="235239034">
      <w:bodyDiv w:val="1"/>
      <w:marLeft w:val="0"/>
      <w:marRight w:val="0"/>
      <w:marTop w:val="0"/>
      <w:marBottom w:val="0"/>
      <w:divBdr>
        <w:top w:val="none" w:sz="0" w:space="0" w:color="auto"/>
        <w:left w:val="none" w:sz="0" w:space="0" w:color="auto"/>
        <w:bottom w:val="none" w:sz="0" w:space="0" w:color="auto"/>
        <w:right w:val="none" w:sz="0" w:space="0" w:color="auto"/>
      </w:divBdr>
    </w:div>
    <w:div w:id="254754416">
      <w:bodyDiv w:val="1"/>
      <w:marLeft w:val="0"/>
      <w:marRight w:val="0"/>
      <w:marTop w:val="0"/>
      <w:marBottom w:val="0"/>
      <w:divBdr>
        <w:top w:val="none" w:sz="0" w:space="0" w:color="auto"/>
        <w:left w:val="none" w:sz="0" w:space="0" w:color="auto"/>
        <w:bottom w:val="none" w:sz="0" w:space="0" w:color="auto"/>
        <w:right w:val="none" w:sz="0" w:space="0" w:color="auto"/>
      </w:divBdr>
    </w:div>
    <w:div w:id="357392017">
      <w:bodyDiv w:val="1"/>
      <w:marLeft w:val="0"/>
      <w:marRight w:val="0"/>
      <w:marTop w:val="0"/>
      <w:marBottom w:val="0"/>
      <w:divBdr>
        <w:top w:val="none" w:sz="0" w:space="0" w:color="auto"/>
        <w:left w:val="none" w:sz="0" w:space="0" w:color="auto"/>
        <w:bottom w:val="none" w:sz="0" w:space="0" w:color="auto"/>
        <w:right w:val="none" w:sz="0" w:space="0" w:color="auto"/>
      </w:divBdr>
    </w:div>
    <w:div w:id="516424809">
      <w:bodyDiv w:val="1"/>
      <w:marLeft w:val="0"/>
      <w:marRight w:val="0"/>
      <w:marTop w:val="0"/>
      <w:marBottom w:val="0"/>
      <w:divBdr>
        <w:top w:val="none" w:sz="0" w:space="0" w:color="auto"/>
        <w:left w:val="none" w:sz="0" w:space="0" w:color="auto"/>
        <w:bottom w:val="none" w:sz="0" w:space="0" w:color="auto"/>
        <w:right w:val="none" w:sz="0" w:space="0" w:color="auto"/>
      </w:divBdr>
    </w:div>
    <w:div w:id="528643034">
      <w:bodyDiv w:val="1"/>
      <w:marLeft w:val="0"/>
      <w:marRight w:val="0"/>
      <w:marTop w:val="0"/>
      <w:marBottom w:val="0"/>
      <w:divBdr>
        <w:top w:val="none" w:sz="0" w:space="0" w:color="auto"/>
        <w:left w:val="none" w:sz="0" w:space="0" w:color="auto"/>
        <w:bottom w:val="none" w:sz="0" w:space="0" w:color="auto"/>
        <w:right w:val="none" w:sz="0" w:space="0" w:color="auto"/>
      </w:divBdr>
      <w:divsChild>
        <w:div w:id="926307548">
          <w:marLeft w:val="0"/>
          <w:marRight w:val="0"/>
          <w:marTop w:val="0"/>
          <w:marBottom w:val="0"/>
          <w:divBdr>
            <w:top w:val="none" w:sz="0" w:space="0" w:color="auto"/>
            <w:left w:val="none" w:sz="0" w:space="0" w:color="auto"/>
            <w:bottom w:val="none" w:sz="0" w:space="0" w:color="auto"/>
            <w:right w:val="none" w:sz="0" w:space="0" w:color="auto"/>
          </w:divBdr>
        </w:div>
      </w:divsChild>
    </w:div>
    <w:div w:id="536239720">
      <w:bodyDiv w:val="1"/>
      <w:marLeft w:val="0"/>
      <w:marRight w:val="0"/>
      <w:marTop w:val="0"/>
      <w:marBottom w:val="0"/>
      <w:divBdr>
        <w:top w:val="none" w:sz="0" w:space="0" w:color="auto"/>
        <w:left w:val="none" w:sz="0" w:space="0" w:color="auto"/>
        <w:bottom w:val="none" w:sz="0" w:space="0" w:color="auto"/>
        <w:right w:val="none" w:sz="0" w:space="0" w:color="auto"/>
      </w:divBdr>
    </w:div>
    <w:div w:id="540165248">
      <w:bodyDiv w:val="1"/>
      <w:marLeft w:val="0"/>
      <w:marRight w:val="0"/>
      <w:marTop w:val="0"/>
      <w:marBottom w:val="0"/>
      <w:divBdr>
        <w:top w:val="none" w:sz="0" w:space="0" w:color="auto"/>
        <w:left w:val="none" w:sz="0" w:space="0" w:color="auto"/>
        <w:bottom w:val="none" w:sz="0" w:space="0" w:color="auto"/>
        <w:right w:val="none" w:sz="0" w:space="0" w:color="auto"/>
      </w:divBdr>
    </w:div>
    <w:div w:id="594174905">
      <w:bodyDiv w:val="1"/>
      <w:marLeft w:val="0"/>
      <w:marRight w:val="0"/>
      <w:marTop w:val="0"/>
      <w:marBottom w:val="0"/>
      <w:divBdr>
        <w:top w:val="none" w:sz="0" w:space="0" w:color="auto"/>
        <w:left w:val="none" w:sz="0" w:space="0" w:color="auto"/>
        <w:bottom w:val="none" w:sz="0" w:space="0" w:color="auto"/>
        <w:right w:val="none" w:sz="0" w:space="0" w:color="auto"/>
      </w:divBdr>
      <w:divsChild>
        <w:div w:id="1060514840">
          <w:marLeft w:val="0"/>
          <w:marRight w:val="0"/>
          <w:marTop w:val="0"/>
          <w:marBottom w:val="0"/>
          <w:divBdr>
            <w:top w:val="none" w:sz="0" w:space="0" w:color="auto"/>
            <w:left w:val="none" w:sz="0" w:space="0" w:color="auto"/>
            <w:bottom w:val="none" w:sz="0" w:space="0" w:color="auto"/>
            <w:right w:val="none" w:sz="0" w:space="0" w:color="auto"/>
          </w:divBdr>
        </w:div>
      </w:divsChild>
    </w:div>
    <w:div w:id="672300852">
      <w:bodyDiv w:val="1"/>
      <w:marLeft w:val="0"/>
      <w:marRight w:val="0"/>
      <w:marTop w:val="0"/>
      <w:marBottom w:val="0"/>
      <w:divBdr>
        <w:top w:val="none" w:sz="0" w:space="0" w:color="auto"/>
        <w:left w:val="none" w:sz="0" w:space="0" w:color="auto"/>
        <w:bottom w:val="none" w:sz="0" w:space="0" w:color="auto"/>
        <w:right w:val="none" w:sz="0" w:space="0" w:color="auto"/>
      </w:divBdr>
    </w:div>
    <w:div w:id="686641610">
      <w:bodyDiv w:val="1"/>
      <w:marLeft w:val="0"/>
      <w:marRight w:val="0"/>
      <w:marTop w:val="0"/>
      <w:marBottom w:val="0"/>
      <w:divBdr>
        <w:top w:val="none" w:sz="0" w:space="0" w:color="auto"/>
        <w:left w:val="none" w:sz="0" w:space="0" w:color="auto"/>
        <w:bottom w:val="none" w:sz="0" w:space="0" w:color="auto"/>
        <w:right w:val="none" w:sz="0" w:space="0" w:color="auto"/>
      </w:divBdr>
    </w:div>
    <w:div w:id="739062416">
      <w:bodyDiv w:val="1"/>
      <w:marLeft w:val="0"/>
      <w:marRight w:val="0"/>
      <w:marTop w:val="0"/>
      <w:marBottom w:val="0"/>
      <w:divBdr>
        <w:top w:val="none" w:sz="0" w:space="0" w:color="auto"/>
        <w:left w:val="none" w:sz="0" w:space="0" w:color="auto"/>
        <w:bottom w:val="none" w:sz="0" w:space="0" w:color="auto"/>
        <w:right w:val="none" w:sz="0" w:space="0" w:color="auto"/>
      </w:divBdr>
    </w:div>
    <w:div w:id="755368656">
      <w:bodyDiv w:val="1"/>
      <w:marLeft w:val="0"/>
      <w:marRight w:val="0"/>
      <w:marTop w:val="0"/>
      <w:marBottom w:val="0"/>
      <w:divBdr>
        <w:top w:val="none" w:sz="0" w:space="0" w:color="auto"/>
        <w:left w:val="none" w:sz="0" w:space="0" w:color="auto"/>
        <w:bottom w:val="none" w:sz="0" w:space="0" w:color="auto"/>
        <w:right w:val="none" w:sz="0" w:space="0" w:color="auto"/>
      </w:divBdr>
      <w:divsChild>
        <w:div w:id="567348446">
          <w:marLeft w:val="0"/>
          <w:marRight w:val="0"/>
          <w:marTop w:val="0"/>
          <w:marBottom w:val="0"/>
          <w:divBdr>
            <w:top w:val="none" w:sz="0" w:space="0" w:color="auto"/>
            <w:left w:val="none" w:sz="0" w:space="0" w:color="auto"/>
            <w:bottom w:val="none" w:sz="0" w:space="0" w:color="auto"/>
            <w:right w:val="none" w:sz="0" w:space="0" w:color="auto"/>
          </w:divBdr>
        </w:div>
      </w:divsChild>
    </w:div>
    <w:div w:id="762839393">
      <w:bodyDiv w:val="1"/>
      <w:marLeft w:val="0"/>
      <w:marRight w:val="0"/>
      <w:marTop w:val="0"/>
      <w:marBottom w:val="0"/>
      <w:divBdr>
        <w:top w:val="none" w:sz="0" w:space="0" w:color="auto"/>
        <w:left w:val="none" w:sz="0" w:space="0" w:color="auto"/>
        <w:bottom w:val="none" w:sz="0" w:space="0" w:color="auto"/>
        <w:right w:val="none" w:sz="0" w:space="0" w:color="auto"/>
      </w:divBdr>
    </w:div>
    <w:div w:id="764152807">
      <w:bodyDiv w:val="1"/>
      <w:marLeft w:val="0"/>
      <w:marRight w:val="0"/>
      <w:marTop w:val="0"/>
      <w:marBottom w:val="0"/>
      <w:divBdr>
        <w:top w:val="none" w:sz="0" w:space="0" w:color="auto"/>
        <w:left w:val="none" w:sz="0" w:space="0" w:color="auto"/>
        <w:bottom w:val="none" w:sz="0" w:space="0" w:color="auto"/>
        <w:right w:val="none" w:sz="0" w:space="0" w:color="auto"/>
      </w:divBdr>
    </w:div>
    <w:div w:id="799880624">
      <w:bodyDiv w:val="1"/>
      <w:marLeft w:val="0"/>
      <w:marRight w:val="0"/>
      <w:marTop w:val="0"/>
      <w:marBottom w:val="0"/>
      <w:divBdr>
        <w:top w:val="none" w:sz="0" w:space="0" w:color="auto"/>
        <w:left w:val="none" w:sz="0" w:space="0" w:color="auto"/>
        <w:bottom w:val="none" w:sz="0" w:space="0" w:color="auto"/>
        <w:right w:val="none" w:sz="0" w:space="0" w:color="auto"/>
      </w:divBdr>
    </w:div>
    <w:div w:id="810975062">
      <w:bodyDiv w:val="1"/>
      <w:marLeft w:val="0"/>
      <w:marRight w:val="0"/>
      <w:marTop w:val="0"/>
      <w:marBottom w:val="0"/>
      <w:divBdr>
        <w:top w:val="none" w:sz="0" w:space="0" w:color="auto"/>
        <w:left w:val="none" w:sz="0" w:space="0" w:color="auto"/>
        <w:bottom w:val="none" w:sz="0" w:space="0" w:color="auto"/>
        <w:right w:val="none" w:sz="0" w:space="0" w:color="auto"/>
      </w:divBdr>
    </w:div>
    <w:div w:id="854002162">
      <w:bodyDiv w:val="1"/>
      <w:marLeft w:val="0"/>
      <w:marRight w:val="0"/>
      <w:marTop w:val="0"/>
      <w:marBottom w:val="0"/>
      <w:divBdr>
        <w:top w:val="none" w:sz="0" w:space="0" w:color="auto"/>
        <w:left w:val="none" w:sz="0" w:space="0" w:color="auto"/>
        <w:bottom w:val="none" w:sz="0" w:space="0" w:color="auto"/>
        <w:right w:val="none" w:sz="0" w:space="0" w:color="auto"/>
      </w:divBdr>
    </w:div>
    <w:div w:id="981957835">
      <w:bodyDiv w:val="1"/>
      <w:marLeft w:val="0"/>
      <w:marRight w:val="0"/>
      <w:marTop w:val="0"/>
      <w:marBottom w:val="0"/>
      <w:divBdr>
        <w:top w:val="none" w:sz="0" w:space="0" w:color="auto"/>
        <w:left w:val="none" w:sz="0" w:space="0" w:color="auto"/>
        <w:bottom w:val="none" w:sz="0" w:space="0" w:color="auto"/>
        <w:right w:val="none" w:sz="0" w:space="0" w:color="auto"/>
      </w:divBdr>
    </w:div>
    <w:div w:id="1023214358">
      <w:bodyDiv w:val="1"/>
      <w:marLeft w:val="0"/>
      <w:marRight w:val="0"/>
      <w:marTop w:val="0"/>
      <w:marBottom w:val="0"/>
      <w:divBdr>
        <w:top w:val="none" w:sz="0" w:space="0" w:color="auto"/>
        <w:left w:val="none" w:sz="0" w:space="0" w:color="auto"/>
        <w:bottom w:val="none" w:sz="0" w:space="0" w:color="auto"/>
        <w:right w:val="none" w:sz="0" w:space="0" w:color="auto"/>
      </w:divBdr>
    </w:div>
    <w:div w:id="1039672347">
      <w:bodyDiv w:val="1"/>
      <w:marLeft w:val="0"/>
      <w:marRight w:val="0"/>
      <w:marTop w:val="0"/>
      <w:marBottom w:val="0"/>
      <w:divBdr>
        <w:top w:val="none" w:sz="0" w:space="0" w:color="auto"/>
        <w:left w:val="none" w:sz="0" w:space="0" w:color="auto"/>
        <w:bottom w:val="none" w:sz="0" w:space="0" w:color="auto"/>
        <w:right w:val="none" w:sz="0" w:space="0" w:color="auto"/>
      </w:divBdr>
    </w:div>
    <w:div w:id="1157040769">
      <w:bodyDiv w:val="1"/>
      <w:marLeft w:val="0"/>
      <w:marRight w:val="0"/>
      <w:marTop w:val="0"/>
      <w:marBottom w:val="0"/>
      <w:divBdr>
        <w:top w:val="none" w:sz="0" w:space="0" w:color="auto"/>
        <w:left w:val="none" w:sz="0" w:space="0" w:color="auto"/>
        <w:bottom w:val="none" w:sz="0" w:space="0" w:color="auto"/>
        <w:right w:val="none" w:sz="0" w:space="0" w:color="auto"/>
      </w:divBdr>
    </w:div>
    <w:div w:id="1165440281">
      <w:bodyDiv w:val="1"/>
      <w:marLeft w:val="0"/>
      <w:marRight w:val="0"/>
      <w:marTop w:val="0"/>
      <w:marBottom w:val="0"/>
      <w:divBdr>
        <w:top w:val="none" w:sz="0" w:space="0" w:color="auto"/>
        <w:left w:val="none" w:sz="0" w:space="0" w:color="auto"/>
        <w:bottom w:val="none" w:sz="0" w:space="0" w:color="auto"/>
        <w:right w:val="none" w:sz="0" w:space="0" w:color="auto"/>
      </w:divBdr>
    </w:div>
    <w:div w:id="1239250491">
      <w:bodyDiv w:val="1"/>
      <w:marLeft w:val="0"/>
      <w:marRight w:val="0"/>
      <w:marTop w:val="0"/>
      <w:marBottom w:val="0"/>
      <w:divBdr>
        <w:top w:val="none" w:sz="0" w:space="0" w:color="auto"/>
        <w:left w:val="none" w:sz="0" w:space="0" w:color="auto"/>
        <w:bottom w:val="none" w:sz="0" w:space="0" w:color="auto"/>
        <w:right w:val="none" w:sz="0" w:space="0" w:color="auto"/>
      </w:divBdr>
    </w:div>
    <w:div w:id="1265066228">
      <w:bodyDiv w:val="1"/>
      <w:marLeft w:val="0"/>
      <w:marRight w:val="0"/>
      <w:marTop w:val="0"/>
      <w:marBottom w:val="0"/>
      <w:divBdr>
        <w:top w:val="none" w:sz="0" w:space="0" w:color="auto"/>
        <w:left w:val="none" w:sz="0" w:space="0" w:color="auto"/>
        <w:bottom w:val="none" w:sz="0" w:space="0" w:color="auto"/>
        <w:right w:val="none" w:sz="0" w:space="0" w:color="auto"/>
      </w:divBdr>
    </w:div>
    <w:div w:id="1308972396">
      <w:bodyDiv w:val="1"/>
      <w:marLeft w:val="0"/>
      <w:marRight w:val="0"/>
      <w:marTop w:val="0"/>
      <w:marBottom w:val="0"/>
      <w:divBdr>
        <w:top w:val="none" w:sz="0" w:space="0" w:color="auto"/>
        <w:left w:val="none" w:sz="0" w:space="0" w:color="auto"/>
        <w:bottom w:val="none" w:sz="0" w:space="0" w:color="auto"/>
        <w:right w:val="none" w:sz="0" w:space="0" w:color="auto"/>
      </w:divBdr>
    </w:div>
    <w:div w:id="1324816726">
      <w:bodyDiv w:val="1"/>
      <w:marLeft w:val="0"/>
      <w:marRight w:val="0"/>
      <w:marTop w:val="0"/>
      <w:marBottom w:val="0"/>
      <w:divBdr>
        <w:top w:val="none" w:sz="0" w:space="0" w:color="auto"/>
        <w:left w:val="none" w:sz="0" w:space="0" w:color="auto"/>
        <w:bottom w:val="none" w:sz="0" w:space="0" w:color="auto"/>
        <w:right w:val="none" w:sz="0" w:space="0" w:color="auto"/>
      </w:divBdr>
    </w:div>
    <w:div w:id="1443721852">
      <w:bodyDiv w:val="1"/>
      <w:marLeft w:val="0"/>
      <w:marRight w:val="0"/>
      <w:marTop w:val="0"/>
      <w:marBottom w:val="0"/>
      <w:divBdr>
        <w:top w:val="none" w:sz="0" w:space="0" w:color="auto"/>
        <w:left w:val="none" w:sz="0" w:space="0" w:color="auto"/>
        <w:bottom w:val="none" w:sz="0" w:space="0" w:color="auto"/>
        <w:right w:val="none" w:sz="0" w:space="0" w:color="auto"/>
      </w:divBdr>
    </w:div>
    <w:div w:id="1470512165">
      <w:bodyDiv w:val="1"/>
      <w:marLeft w:val="0"/>
      <w:marRight w:val="0"/>
      <w:marTop w:val="0"/>
      <w:marBottom w:val="0"/>
      <w:divBdr>
        <w:top w:val="none" w:sz="0" w:space="0" w:color="auto"/>
        <w:left w:val="none" w:sz="0" w:space="0" w:color="auto"/>
        <w:bottom w:val="none" w:sz="0" w:space="0" w:color="auto"/>
        <w:right w:val="none" w:sz="0" w:space="0" w:color="auto"/>
      </w:divBdr>
    </w:div>
    <w:div w:id="1495104658">
      <w:bodyDiv w:val="1"/>
      <w:marLeft w:val="0"/>
      <w:marRight w:val="0"/>
      <w:marTop w:val="0"/>
      <w:marBottom w:val="0"/>
      <w:divBdr>
        <w:top w:val="none" w:sz="0" w:space="0" w:color="auto"/>
        <w:left w:val="none" w:sz="0" w:space="0" w:color="auto"/>
        <w:bottom w:val="none" w:sz="0" w:space="0" w:color="auto"/>
        <w:right w:val="none" w:sz="0" w:space="0" w:color="auto"/>
      </w:divBdr>
    </w:div>
    <w:div w:id="1585453187">
      <w:bodyDiv w:val="1"/>
      <w:marLeft w:val="0"/>
      <w:marRight w:val="0"/>
      <w:marTop w:val="0"/>
      <w:marBottom w:val="0"/>
      <w:divBdr>
        <w:top w:val="none" w:sz="0" w:space="0" w:color="auto"/>
        <w:left w:val="none" w:sz="0" w:space="0" w:color="auto"/>
        <w:bottom w:val="none" w:sz="0" w:space="0" w:color="auto"/>
        <w:right w:val="none" w:sz="0" w:space="0" w:color="auto"/>
      </w:divBdr>
      <w:divsChild>
        <w:div w:id="1820806142">
          <w:marLeft w:val="0"/>
          <w:marRight w:val="0"/>
          <w:marTop w:val="0"/>
          <w:marBottom w:val="0"/>
          <w:divBdr>
            <w:top w:val="none" w:sz="0" w:space="0" w:color="auto"/>
            <w:left w:val="none" w:sz="0" w:space="0" w:color="auto"/>
            <w:bottom w:val="none" w:sz="0" w:space="0" w:color="auto"/>
            <w:right w:val="none" w:sz="0" w:space="0" w:color="auto"/>
          </w:divBdr>
        </w:div>
      </w:divsChild>
    </w:div>
    <w:div w:id="1712001497">
      <w:bodyDiv w:val="1"/>
      <w:marLeft w:val="0"/>
      <w:marRight w:val="0"/>
      <w:marTop w:val="0"/>
      <w:marBottom w:val="0"/>
      <w:divBdr>
        <w:top w:val="none" w:sz="0" w:space="0" w:color="auto"/>
        <w:left w:val="none" w:sz="0" w:space="0" w:color="auto"/>
        <w:bottom w:val="none" w:sz="0" w:space="0" w:color="auto"/>
        <w:right w:val="none" w:sz="0" w:space="0" w:color="auto"/>
      </w:divBdr>
      <w:divsChild>
        <w:div w:id="1619289388">
          <w:marLeft w:val="0"/>
          <w:marRight w:val="0"/>
          <w:marTop w:val="0"/>
          <w:marBottom w:val="0"/>
          <w:divBdr>
            <w:top w:val="none" w:sz="0" w:space="0" w:color="auto"/>
            <w:left w:val="none" w:sz="0" w:space="0" w:color="auto"/>
            <w:bottom w:val="none" w:sz="0" w:space="0" w:color="auto"/>
            <w:right w:val="none" w:sz="0" w:space="0" w:color="auto"/>
          </w:divBdr>
        </w:div>
      </w:divsChild>
    </w:div>
    <w:div w:id="1719696275">
      <w:bodyDiv w:val="1"/>
      <w:marLeft w:val="0"/>
      <w:marRight w:val="0"/>
      <w:marTop w:val="0"/>
      <w:marBottom w:val="0"/>
      <w:divBdr>
        <w:top w:val="none" w:sz="0" w:space="0" w:color="auto"/>
        <w:left w:val="none" w:sz="0" w:space="0" w:color="auto"/>
        <w:bottom w:val="none" w:sz="0" w:space="0" w:color="auto"/>
        <w:right w:val="none" w:sz="0" w:space="0" w:color="auto"/>
      </w:divBdr>
    </w:div>
    <w:div w:id="1737701440">
      <w:bodyDiv w:val="1"/>
      <w:marLeft w:val="0"/>
      <w:marRight w:val="0"/>
      <w:marTop w:val="0"/>
      <w:marBottom w:val="0"/>
      <w:divBdr>
        <w:top w:val="none" w:sz="0" w:space="0" w:color="auto"/>
        <w:left w:val="none" w:sz="0" w:space="0" w:color="auto"/>
        <w:bottom w:val="none" w:sz="0" w:space="0" w:color="auto"/>
        <w:right w:val="none" w:sz="0" w:space="0" w:color="auto"/>
      </w:divBdr>
    </w:div>
    <w:div w:id="1779837145">
      <w:bodyDiv w:val="1"/>
      <w:marLeft w:val="0"/>
      <w:marRight w:val="0"/>
      <w:marTop w:val="0"/>
      <w:marBottom w:val="0"/>
      <w:divBdr>
        <w:top w:val="none" w:sz="0" w:space="0" w:color="auto"/>
        <w:left w:val="none" w:sz="0" w:space="0" w:color="auto"/>
        <w:bottom w:val="none" w:sz="0" w:space="0" w:color="auto"/>
        <w:right w:val="none" w:sz="0" w:space="0" w:color="auto"/>
      </w:divBdr>
    </w:div>
    <w:div w:id="1807383020">
      <w:bodyDiv w:val="1"/>
      <w:marLeft w:val="0"/>
      <w:marRight w:val="0"/>
      <w:marTop w:val="0"/>
      <w:marBottom w:val="0"/>
      <w:divBdr>
        <w:top w:val="none" w:sz="0" w:space="0" w:color="auto"/>
        <w:left w:val="none" w:sz="0" w:space="0" w:color="auto"/>
        <w:bottom w:val="none" w:sz="0" w:space="0" w:color="auto"/>
        <w:right w:val="none" w:sz="0" w:space="0" w:color="auto"/>
      </w:divBdr>
      <w:divsChild>
        <w:div w:id="1423843099">
          <w:marLeft w:val="0"/>
          <w:marRight w:val="0"/>
          <w:marTop w:val="0"/>
          <w:marBottom w:val="0"/>
          <w:divBdr>
            <w:top w:val="none" w:sz="0" w:space="0" w:color="auto"/>
            <w:left w:val="none" w:sz="0" w:space="0" w:color="auto"/>
            <w:bottom w:val="none" w:sz="0" w:space="0" w:color="auto"/>
            <w:right w:val="none" w:sz="0" w:space="0" w:color="auto"/>
          </w:divBdr>
        </w:div>
      </w:divsChild>
    </w:div>
    <w:div w:id="1827554665">
      <w:bodyDiv w:val="1"/>
      <w:marLeft w:val="0"/>
      <w:marRight w:val="0"/>
      <w:marTop w:val="0"/>
      <w:marBottom w:val="0"/>
      <w:divBdr>
        <w:top w:val="none" w:sz="0" w:space="0" w:color="auto"/>
        <w:left w:val="none" w:sz="0" w:space="0" w:color="auto"/>
        <w:bottom w:val="none" w:sz="0" w:space="0" w:color="auto"/>
        <w:right w:val="none" w:sz="0" w:space="0" w:color="auto"/>
      </w:divBdr>
    </w:div>
    <w:div w:id="1902862446">
      <w:bodyDiv w:val="1"/>
      <w:marLeft w:val="0"/>
      <w:marRight w:val="0"/>
      <w:marTop w:val="0"/>
      <w:marBottom w:val="0"/>
      <w:divBdr>
        <w:top w:val="none" w:sz="0" w:space="0" w:color="auto"/>
        <w:left w:val="none" w:sz="0" w:space="0" w:color="auto"/>
        <w:bottom w:val="none" w:sz="0" w:space="0" w:color="auto"/>
        <w:right w:val="none" w:sz="0" w:space="0" w:color="auto"/>
      </w:divBdr>
    </w:div>
    <w:div w:id="1913269085">
      <w:bodyDiv w:val="1"/>
      <w:marLeft w:val="0"/>
      <w:marRight w:val="0"/>
      <w:marTop w:val="0"/>
      <w:marBottom w:val="0"/>
      <w:divBdr>
        <w:top w:val="none" w:sz="0" w:space="0" w:color="auto"/>
        <w:left w:val="none" w:sz="0" w:space="0" w:color="auto"/>
        <w:bottom w:val="none" w:sz="0" w:space="0" w:color="auto"/>
        <w:right w:val="none" w:sz="0" w:space="0" w:color="auto"/>
      </w:divBdr>
    </w:div>
    <w:div w:id="1937668184">
      <w:bodyDiv w:val="1"/>
      <w:marLeft w:val="0"/>
      <w:marRight w:val="0"/>
      <w:marTop w:val="0"/>
      <w:marBottom w:val="0"/>
      <w:divBdr>
        <w:top w:val="none" w:sz="0" w:space="0" w:color="auto"/>
        <w:left w:val="none" w:sz="0" w:space="0" w:color="auto"/>
        <w:bottom w:val="none" w:sz="0" w:space="0" w:color="auto"/>
        <w:right w:val="none" w:sz="0" w:space="0" w:color="auto"/>
      </w:divBdr>
    </w:div>
    <w:div w:id="1981612831">
      <w:bodyDiv w:val="1"/>
      <w:marLeft w:val="0"/>
      <w:marRight w:val="0"/>
      <w:marTop w:val="0"/>
      <w:marBottom w:val="0"/>
      <w:divBdr>
        <w:top w:val="none" w:sz="0" w:space="0" w:color="auto"/>
        <w:left w:val="none" w:sz="0" w:space="0" w:color="auto"/>
        <w:bottom w:val="none" w:sz="0" w:space="0" w:color="auto"/>
        <w:right w:val="none" w:sz="0" w:space="0" w:color="auto"/>
      </w:divBdr>
    </w:div>
    <w:div w:id="2040398062">
      <w:bodyDiv w:val="1"/>
      <w:marLeft w:val="0"/>
      <w:marRight w:val="0"/>
      <w:marTop w:val="0"/>
      <w:marBottom w:val="0"/>
      <w:divBdr>
        <w:top w:val="none" w:sz="0" w:space="0" w:color="auto"/>
        <w:left w:val="none" w:sz="0" w:space="0" w:color="auto"/>
        <w:bottom w:val="none" w:sz="0" w:space="0" w:color="auto"/>
        <w:right w:val="none" w:sz="0" w:space="0" w:color="auto"/>
      </w:divBdr>
      <w:divsChild>
        <w:div w:id="391587702">
          <w:marLeft w:val="0"/>
          <w:marRight w:val="0"/>
          <w:marTop w:val="0"/>
          <w:marBottom w:val="0"/>
          <w:divBdr>
            <w:top w:val="none" w:sz="0" w:space="0" w:color="auto"/>
            <w:left w:val="none" w:sz="0" w:space="0" w:color="auto"/>
            <w:bottom w:val="none" w:sz="0" w:space="0" w:color="auto"/>
            <w:right w:val="none" w:sz="0" w:space="0" w:color="auto"/>
          </w:divBdr>
        </w:div>
      </w:divsChild>
    </w:div>
    <w:div w:id="213871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844</ap:Words>
  <ap:Characters>4644</ap:Characters>
  <ap:DocSecurity>0</ap:DocSecurity>
  <ap:Lines>38</ap:Lines>
  <ap:Paragraphs>10</ap:Paragraphs>
  <ap:ScaleCrop>false</ap:ScaleCrop>
  <ap:HeadingPairs>
    <vt:vector baseType="variant" size="8">
      <vt:variant>
        <vt:lpstr>Title</vt:lpstr>
      </vt:variant>
      <vt:variant>
        <vt:i4>1</vt:i4>
      </vt:variant>
      <vt:variant>
        <vt:lpstr>Titel</vt:lpstr>
      </vt:variant>
      <vt:variant>
        <vt:i4>1</vt:i4>
      </vt:variant>
      <vt:variant>
        <vt:lpstr>Rubrik</vt:lpstr>
      </vt:variant>
      <vt:variant>
        <vt:i4>1</vt:i4>
      </vt:variant>
      <vt:variant>
        <vt:lpstr>Otsikko</vt:lpstr>
      </vt:variant>
      <vt:variant>
        <vt:i4>1</vt:i4>
      </vt:variant>
    </vt:vector>
  </ap:HeadingPairs>
  <ap:TitlesOfParts>
    <vt:vector baseType="lpstr" size="4">
      <vt:lpstr/>
      <vt:lpstr/>
      <vt:lpstr/>
      <vt:lpstr/>
    </vt:vector>
  </ap:TitlesOfParts>
  <ap:LinksUpToDate>false</ap:LinksUpToDate>
  <ap:CharactersWithSpaces>5478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2026-07-01T08:18:00.0000000Z</lastPrinted>
  <dcterms:created xsi:type="dcterms:W3CDTF">2026-10-16T12:18:00.0000000Z</dcterms:created>
  <dcterms:modified xsi:type="dcterms:W3CDTF">2026-10-16T12:18:00.0000000Z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437e81eb,2ec1ebb8,3b4549d1</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0x010100BBA312BF02777149882D207184EC35C002007EA3E29423752B4395F9D9139CEF7885</vt:lpwstr>
  </property>
  <property fmtid="{D5CDD505-2E9C-101B-9397-08002B2CF9AE}" pid="6" name="Organisation">
    <vt:lpwstr/>
  </property>
  <property fmtid="{D5CDD505-2E9C-101B-9397-08002B2CF9AE}" pid="7" name="ActivityCategory">
    <vt:lpwstr/>
  </property>
</Properties>
</file>