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:space="preserve" ve:Ignorable="w14">
  <w:body>
    <w:p>
      <w:pPr>
        <w:pStyle w:val="Heading1"/>
        <w:spacing w:line="276" w:lineRule="auto"/>
      </w:pPr>
      <w:r>
        <w:rPr>
          <w:color w:val="0E0E18"/>
          <w:w w:val="110"/>
        </w:rPr>
        <w:t>Beantwoording</w:t>
      </w:r>
      <w:r>
        <w:rPr>
          <w:color w:val="0E0E18"/>
          <w:spacing w:val="39"/>
          <w:w w:val="110"/>
        </w:rPr>
        <w:t> </w:t>
      </w:r>
      <w:r>
        <w:rPr>
          <w:color w:val="0E0E18"/>
          <w:w w:val="110"/>
        </w:rPr>
        <w:t>vragen voor kennisthema</w:t>
      </w:r>
      <w:r>
        <w:rPr>
          <w:color w:val="0E0E18"/>
          <w:w w:val="110"/>
        </w:rPr>
        <w:t> "vermogensoverdracht</w:t>
      </w:r>
      <w:r>
        <w:rPr>
          <w:color w:val="0E0E18"/>
          <w:spacing w:val="-7"/>
          <w:w w:val="110"/>
        </w:rPr>
        <w:t> </w:t>
      </w:r>
      <w:r>
        <w:rPr>
          <w:color w:val="0E0E18"/>
          <w:w w:val="110"/>
        </w:rPr>
        <w:t>naar volgende </w:t>
      </w:r>
      <w:r>
        <w:rPr>
          <w:color w:val="0E0E18"/>
          <w:spacing w:val="-2"/>
          <w:w w:val="110"/>
        </w:rPr>
        <w:t>generaties"</w:t>
      </w: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val="left" w:leader="none" w:pos="749"/>
          <w:tab w:val="left" w:leader="none" w:pos="761"/>
        </w:tabs>
        <w:spacing w:before="0" w:after="0" w:line="283" w:lineRule="auto"/>
        <w:ind w:left="761" w:right="143" w:hanging="349"/>
        <w:jc w:val="left"/>
        <w:rPr>
          <w:sz w:val="18"/>
        </w:rPr>
      </w:pPr>
      <w:r>
        <w:rPr>
          <w:color w:val="0E0E18"/>
          <w:w w:val="105"/>
          <w:sz w:val="18"/>
        </w:rPr>
        <w:t>Hoe groot</w:t>
      </w:r>
      <w:r>
        <w:rPr>
          <w:color w:val="0E0E18"/>
          <w:spacing w:val="27"/>
          <w:w w:val="105"/>
          <w:sz w:val="18"/>
        </w:rPr>
        <w:t> </w:t>
      </w:r>
      <w:r>
        <w:rPr>
          <w:color w:val="0E0E18"/>
          <w:w w:val="105"/>
          <w:sz w:val="18"/>
        </w:rPr>
        <w:t>zijn</w:t>
      </w:r>
      <w:r>
        <w:rPr>
          <w:color w:val="0E0E18"/>
          <w:spacing w:val="22"/>
          <w:w w:val="105"/>
          <w:sz w:val="18"/>
        </w:rPr>
        <w:t> </w:t>
      </w:r>
      <w:r>
        <w:rPr>
          <w:color w:val="0E0E18"/>
          <w:w w:val="105"/>
          <w:sz w:val="18"/>
        </w:rPr>
        <w:t>de</w:t>
      </w:r>
      <w:r>
        <w:rPr>
          <w:color w:val="0E0E18"/>
          <w:spacing w:val="18"/>
          <w:w w:val="105"/>
          <w:sz w:val="18"/>
        </w:rPr>
        <w:t> </w:t>
      </w:r>
      <w:r>
        <w:rPr>
          <w:color w:val="0E0E18"/>
          <w:w w:val="105"/>
          <w:sz w:val="18"/>
        </w:rPr>
        <w:t>geraamde</w:t>
      </w:r>
      <w:r>
        <w:rPr>
          <w:color w:val="0E0E18"/>
          <w:spacing w:val="30"/>
          <w:w w:val="105"/>
          <w:sz w:val="18"/>
        </w:rPr>
        <w:t> </w:t>
      </w:r>
      <w:r>
        <w:rPr>
          <w:color w:val="0E0E18"/>
          <w:w w:val="105"/>
          <w:sz w:val="18"/>
        </w:rPr>
        <w:t>ontvangsten</w:t>
      </w:r>
      <w:r>
        <w:rPr>
          <w:color w:val="0E0E18"/>
          <w:spacing w:val="33"/>
          <w:w w:val="105"/>
          <w:sz w:val="18"/>
        </w:rPr>
        <w:t> </w:t>
      </w:r>
      <w:r>
        <w:rPr>
          <w:color w:val="0E0E18"/>
          <w:w w:val="105"/>
          <w:sz w:val="18"/>
        </w:rPr>
        <w:t>aan</w:t>
      </w:r>
      <w:r>
        <w:rPr>
          <w:color w:val="0E0E18"/>
          <w:spacing w:val="23"/>
          <w:w w:val="105"/>
          <w:sz w:val="18"/>
        </w:rPr>
        <w:t> </w:t>
      </w:r>
      <w:r>
        <w:rPr>
          <w:color w:val="0E0E18"/>
          <w:w w:val="105"/>
          <w:sz w:val="18"/>
        </w:rPr>
        <w:t>erfbelasting</w:t>
      </w:r>
      <w:r>
        <w:rPr>
          <w:color w:val="0E0E18"/>
          <w:spacing w:val="34"/>
          <w:w w:val="105"/>
          <w:sz w:val="18"/>
        </w:rPr>
        <w:t> </w:t>
      </w:r>
      <w:r>
        <w:rPr>
          <w:color w:val="0E0E18"/>
          <w:w w:val="105"/>
          <w:sz w:val="18"/>
        </w:rPr>
        <w:t>in</w:t>
      </w:r>
      <w:r>
        <w:rPr>
          <w:color w:val="0E0E18"/>
          <w:spacing w:val="20"/>
          <w:w w:val="105"/>
          <w:sz w:val="18"/>
        </w:rPr>
        <w:t> </w:t>
      </w:r>
      <w:r>
        <w:rPr>
          <w:color w:val="0E0E18"/>
          <w:w w:val="105"/>
          <w:sz w:val="18"/>
        </w:rPr>
        <w:t>Nederland</w:t>
      </w:r>
      <w:r>
        <w:rPr>
          <w:color w:val="0E0E18"/>
          <w:spacing w:val="35"/>
          <w:w w:val="105"/>
          <w:sz w:val="18"/>
        </w:rPr>
        <w:t> </w:t>
      </w:r>
      <w:r>
        <w:rPr>
          <w:color w:val="0E0E18"/>
          <w:w w:val="105"/>
          <w:sz w:val="18"/>
        </w:rPr>
        <w:t>tussen</w:t>
      </w:r>
      <w:r>
        <w:rPr>
          <w:color w:val="0E0E18"/>
          <w:spacing w:val="33"/>
          <w:w w:val="105"/>
          <w:sz w:val="18"/>
        </w:rPr>
        <w:t> </w:t>
      </w:r>
      <w:r>
        <w:rPr>
          <w:color w:val="0E0E18"/>
          <w:w w:val="105"/>
          <w:sz w:val="18"/>
        </w:rPr>
        <w:t>2025</w:t>
      </w:r>
      <w:r>
        <w:rPr>
          <w:color w:val="0E0E18"/>
          <w:spacing w:val="26"/>
          <w:w w:val="105"/>
          <w:sz w:val="18"/>
        </w:rPr>
        <w:t> </w:t>
      </w:r>
      <w:r>
        <w:rPr>
          <w:color w:val="0E0E18"/>
          <w:w w:val="105"/>
          <w:sz w:val="18"/>
        </w:rPr>
        <w:t>en 2045</w:t>
      </w:r>
      <w:r>
        <w:rPr>
          <w:color w:val="0E0E18"/>
          <w:spacing w:val="22"/>
          <w:w w:val="105"/>
          <w:sz w:val="18"/>
        </w:rPr>
        <w:t> </w:t>
      </w:r>
      <w:r>
        <w:rPr>
          <w:color w:val="0E0E18"/>
          <w:w w:val="105"/>
          <w:sz w:val="18"/>
        </w:rPr>
        <w:t>zoals opgenomen</w:t>
      </w:r>
      <w:r>
        <w:rPr>
          <w:color w:val="0E0E18"/>
          <w:spacing w:val="38"/>
          <w:w w:val="105"/>
          <w:sz w:val="18"/>
        </w:rPr>
        <w:t> </w:t>
      </w:r>
      <w:r>
        <w:rPr>
          <w:color w:val="0E0E18"/>
          <w:w w:val="105"/>
          <w:sz w:val="18"/>
        </w:rPr>
        <w:t>in de meerjarencijfers van de Rijksbegroting bij</w:t>
      </w:r>
      <w:r>
        <w:rPr>
          <w:color w:val="0E0E18"/>
          <w:spacing w:val="34"/>
          <w:w w:val="105"/>
          <w:sz w:val="18"/>
        </w:rPr>
        <w:t> </w:t>
      </w:r>
      <w:r>
        <w:rPr>
          <w:color w:val="0E0E18"/>
          <w:w w:val="105"/>
          <w:sz w:val="18"/>
        </w:rPr>
        <w:t>ongewijzigd</w:t>
      </w:r>
      <w:r>
        <w:rPr>
          <w:color w:val="0E0E18"/>
          <w:spacing w:val="25"/>
          <w:w w:val="105"/>
          <w:sz w:val="18"/>
        </w:rPr>
        <w:t> </w:t>
      </w:r>
      <w:r>
        <w:rPr>
          <w:color w:val="0E0E18"/>
          <w:w w:val="105"/>
          <w:sz w:val="18"/>
        </w:rPr>
        <w:t>beleid?</w:t>
      </w:r>
    </w:p>
    <w:p>
      <w:pPr>
        <w:pStyle w:val="BodyText"/>
        <w:spacing w:before="151" w:line="283" w:lineRule="auto"/>
        <w:ind w:left="415" w:right="611" w:hanging="2"/>
      </w:pPr>
      <w:r>
        <w:rPr>
          <w:color w:val="0E0E18"/>
          <w:w w:val="105"/>
        </w:rPr>
        <w:t>De meerjarencijfers van de rijksbegroting gaan tot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2031. De onderstaande</w:t>
      </w:r>
      <w:r>
        <w:rPr>
          <w:color w:val="0E0E18"/>
          <w:spacing w:val="38"/>
          <w:w w:val="105"/>
        </w:rPr>
        <w:t> </w:t>
      </w:r>
      <w:r>
        <w:rPr>
          <w:color w:val="0E0E18"/>
          <w:w w:val="105"/>
        </w:rPr>
        <w:t>tabel geeft de geraamde schenk- en erfbelastingontvangsten op EMU-basis</w:t>
      </w:r>
      <w:r>
        <w:rPr>
          <w:color w:val="0E0E18"/>
          <w:spacing w:val="28"/>
          <w:w w:val="105"/>
        </w:rPr>
        <w:t> </w:t>
      </w:r>
      <w:r>
        <w:rPr>
          <w:color w:val="0E0E18"/>
          <w:w w:val="105"/>
        </w:rPr>
        <w:t>weer in miljoenen euro's. De schenk-</w:t>
      </w:r>
      <w:r>
        <w:rPr>
          <w:color w:val="0E0E18"/>
          <w:w w:val="105"/>
        </w:rPr>
        <w:t> en erfbelasting</w:t>
      </w:r>
      <w:r>
        <w:rPr>
          <w:color w:val="0E0E18"/>
          <w:spacing w:val="29"/>
          <w:w w:val="105"/>
        </w:rPr>
        <w:t> </w:t>
      </w:r>
      <w:r>
        <w:rPr>
          <w:color w:val="0E0E18"/>
          <w:w w:val="105"/>
        </w:rPr>
        <w:t>worden als één belasting</w:t>
      </w:r>
      <w:r>
        <w:rPr>
          <w:color w:val="0E0E18"/>
          <w:w w:val="105"/>
        </w:rPr>
        <w:t> geraamd en verantwoord.</w:t>
      </w:r>
      <w:r>
        <w:rPr>
          <w:color w:val="0E0E18"/>
          <w:spacing w:val="28"/>
          <w:w w:val="105"/>
        </w:rPr>
        <w:t> </w:t>
      </w:r>
      <w:r>
        <w:rPr>
          <w:color w:val="0E0E18"/>
          <w:w w:val="105"/>
        </w:rPr>
        <w:t>Gerealiseerde kasontvangsten kunnen wel worden u</w:t>
      </w:r>
      <w:r>
        <w:rPr>
          <w:color w:val="2D2A38"/>
          <w:w w:val="105"/>
        </w:rPr>
        <w:t>i</w:t>
      </w:r>
      <w:r>
        <w:rPr>
          <w:color w:val="0E0E18"/>
          <w:w w:val="105"/>
        </w:rPr>
        <w:t>tgesplitst. Van de 4,1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miljard euro aan schenk-</w:t>
      </w:r>
      <w:r>
        <w:rPr>
          <w:color w:val="0E0E18"/>
          <w:w w:val="105"/>
        </w:rPr>
        <w:t> en erfbelastingontvangsten</w:t>
      </w:r>
      <w:r>
        <w:rPr>
          <w:color w:val="0E0E18"/>
          <w:spacing w:val="37"/>
          <w:w w:val="105"/>
        </w:rPr>
        <w:t> </w:t>
      </w:r>
      <w:r>
        <w:rPr>
          <w:color w:val="0E0E18"/>
          <w:w w:val="105"/>
        </w:rPr>
        <w:t>in</w:t>
      </w:r>
      <w:r>
        <w:rPr>
          <w:color w:val="0E0E18"/>
          <w:spacing w:val="39"/>
          <w:w w:val="105"/>
        </w:rPr>
        <w:t> </w:t>
      </w:r>
      <w:r>
        <w:rPr>
          <w:color w:val="0E0E18"/>
          <w:w w:val="105"/>
        </w:rPr>
        <w:t>2025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was</w:t>
      </w:r>
      <w:r>
        <w:rPr>
          <w:color w:val="0E0E18"/>
          <w:spacing w:val="38"/>
          <w:w w:val="105"/>
        </w:rPr>
        <w:t> </w:t>
      </w:r>
      <w:r>
        <w:rPr>
          <w:color w:val="0E0E18"/>
          <w:w w:val="105"/>
        </w:rPr>
        <w:t>3,0</w:t>
      </w:r>
      <w:r>
        <w:rPr>
          <w:color w:val="0E0E18"/>
          <w:spacing w:val="38"/>
          <w:w w:val="105"/>
        </w:rPr>
        <w:t> </w:t>
      </w:r>
      <w:r>
        <w:rPr>
          <w:color w:val="0E0E18"/>
          <w:w w:val="105"/>
        </w:rPr>
        <w:t>miljard</w:t>
      </w:r>
      <w:r>
        <w:rPr>
          <w:color w:val="0E0E18"/>
          <w:spacing w:val="34"/>
          <w:w w:val="105"/>
        </w:rPr>
        <w:t> </w:t>
      </w:r>
      <w:r>
        <w:rPr>
          <w:color w:val="0E0E18"/>
          <w:w w:val="105"/>
        </w:rPr>
        <w:t>euro</w:t>
      </w:r>
      <w:r>
        <w:rPr>
          <w:color w:val="0E0E18"/>
          <w:spacing w:val="39"/>
          <w:w w:val="105"/>
        </w:rPr>
        <w:t> </w:t>
      </w:r>
      <w:r>
        <w:rPr>
          <w:color w:val="0E0E18"/>
          <w:w w:val="105"/>
        </w:rPr>
        <w:t>afkomstig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uit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de erfbelasting.</w:t>
      </w:r>
    </w:p>
    <w:p>
      <w:pPr>
        <w:pStyle w:val="BodyText"/>
        <w:spacing w:before="3"/>
        <w:rPr>
          <w:sz w:val="11"/>
        </w:rPr>
      </w:pPr>
    </w:p>
    <w:tbl>
      <w:tblPr>
        <w:tblW w:w="0" w:type="auto"/>
        <w:jc w:val="left"/>
        <w:tblInd w:w="7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"/>
        <w:gridCol w:w="1046"/>
        <w:gridCol w:w="1046"/>
        <w:gridCol w:w="1046"/>
        <w:gridCol w:w="1046"/>
        <w:gridCol w:w="1056"/>
        <w:gridCol w:w="1042"/>
      </w:tblGrid>
      <w:tr>
        <w:trPr>
          <w:trHeight w:val="276" w:hRule="atLeast"/>
        </w:trPr>
        <w:tc>
          <w:tcPr>
            <w:tcW w:w="1051" w:type="dxa"/>
          </w:tcPr>
          <w:p>
            <w:pPr>
              <w:pStyle w:val="TableParagraph"/>
              <w:ind w:right="141"/>
              <w:rPr>
                <w:sz w:val="18"/>
              </w:rPr>
            </w:pPr>
            <w:r>
              <w:rPr>
                <w:color w:val="0E0E18"/>
                <w:spacing w:val="-4"/>
                <w:w w:val="105"/>
                <w:sz w:val="18"/>
              </w:rPr>
              <w:t>2025</w:t>
            </w:r>
          </w:p>
        </w:tc>
        <w:tc>
          <w:tcPr>
            <w:tcW w:w="1046" w:type="dxa"/>
          </w:tcPr>
          <w:p>
            <w:pPr>
              <w:pStyle w:val="TableParagraph"/>
              <w:ind w:right="141"/>
              <w:rPr>
                <w:sz w:val="18"/>
              </w:rPr>
            </w:pPr>
            <w:r>
              <w:rPr>
                <w:color w:val="0E0E18"/>
                <w:spacing w:val="-4"/>
                <w:w w:val="105"/>
                <w:sz w:val="18"/>
              </w:rPr>
              <w:t>2026</w:t>
            </w:r>
          </w:p>
        </w:tc>
        <w:tc>
          <w:tcPr>
            <w:tcW w:w="1046" w:type="dxa"/>
          </w:tcPr>
          <w:p>
            <w:pPr>
              <w:pStyle w:val="TableParagraph"/>
              <w:ind w:right="143"/>
              <w:rPr>
                <w:sz w:val="18"/>
              </w:rPr>
            </w:pPr>
            <w:r>
              <w:rPr>
                <w:color w:val="0E0E18"/>
                <w:spacing w:val="-4"/>
                <w:w w:val="105"/>
                <w:sz w:val="18"/>
              </w:rPr>
              <w:t>2027</w:t>
            </w:r>
          </w:p>
        </w:tc>
        <w:tc>
          <w:tcPr>
            <w:tcW w:w="1046" w:type="dxa"/>
          </w:tcPr>
          <w:p>
            <w:pPr>
              <w:pStyle w:val="TableParagraph"/>
              <w:ind w:left="461"/>
              <w:jc w:val="left"/>
              <w:rPr>
                <w:sz w:val="18"/>
              </w:rPr>
            </w:pPr>
            <w:r>
              <w:rPr>
                <w:color w:val="0E0E18"/>
                <w:spacing w:val="-4"/>
                <w:w w:val="105"/>
                <w:sz w:val="18"/>
              </w:rPr>
              <w:t>2028</w:t>
            </w:r>
          </w:p>
        </w:tc>
        <w:tc>
          <w:tcPr>
            <w:tcW w:w="1046" w:type="dxa"/>
          </w:tcPr>
          <w:p>
            <w:pPr>
              <w:pStyle w:val="TableParagraph"/>
              <w:ind w:left="466"/>
              <w:jc w:val="left"/>
              <w:rPr>
                <w:sz w:val="18"/>
              </w:rPr>
            </w:pPr>
            <w:r>
              <w:rPr>
                <w:color w:val="0E0E18"/>
                <w:spacing w:val="-4"/>
                <w:w w:val="105"/>
                <w:sz w:val="18"/>
              </w:rPr>
              <w:t>2029</w:t>
            </w:r>
          </w:p>
        </w:tc>
        <w:tc>
          <w:tcPr>
            <w:tcW w:w="1056" w:type="dxa"/>
          </w:tcPr>
          <w:p>
            <w:pPr>
              <w:pStyle w:val="TableParagraph"/>
              <w:ind w:right="143"/>
              <w:rPr>
                <w:sz w:val="18"/>
              </w:rPr>
            </w:pPr>
            <w:r>
              <w:rPr>
                <w:color w:val="0E0E18"/>
                <w:spacing w:val="-4"/>
                <w:w w:val="105"/>
                <w:sz w:val="18"/>
              </w:rPr>
              <w:t>2030</w:t>
            </w:r>
          </w:p>
        </w:tc>
        <w:tc>
          <w:tcPr>
            <w:tcW w:w="1042" w:type="dxa"/>
          </w:tcPr>
          <w:p>
            <w:pPr>
              <w:pStyle w:val="TableParagraph"/>
              <w:ind w:right="123"/>
              <w:rPr>
                <w:sz w:val="18"/>
              </w:rPr>
            </w:pPr>
            <w:r>
              <w:rPr>
                <w:color w:val="0E0E18"/>
                <w:spacing w:val="-4"/>
                <w:w w:val="110"/>
                <w:sz w:val="18"/>
              </w:rPr>
              <w:t>2031</w:t>
            </w:r>
          </w:p>
        </w:tc>
      </w:tr>
      <w:tr>
        <w:trPr>
          <w:trHeight w:val="280" w:hRule="atLeast"/>
        </w:trPr>
        <w:tc>
          <w:tcPr>
            <w:tcW w:w="1051" w:type="dxa"/>
          </w:tcPr>
          <w:p>
            <w:pPr>
              <w:pStyle w:val="TableParagraph"/>
              <w:spacing w:before="14"/>
              <w:ind w:right="71"/>
              <w:rPr>
                <w:sz w:val="18"/>
              </w:rPr>
            </w:pPr>
            <w:r>
              <w:rPr>
                <w:color w:val="0E0E18"/>
                <w:spacing w:val="-2"/>
                <w:w w:val="110"/>
                <w:sz w:val="18"/>
              </w:rPr>
              <w:t>4</w:t>
            </w:r>
            <w:r>
              <w:rPr>
                <w:color w:val="2D2A38"/>
                <w:spacing w:val="-2"/>
                <w:w w:val="110"/>
                <w:sz w:val="18"/>
              </w:rPr>
              <w:t>.</w:t>
            </w:r>
            <w:r>
              <w:rPr>
                <w:color w:val="0E0E18"/>
                <w:spacing w:val="-2"/>
                <w:w w:val="110"/>
                <w:sz w:val="18"/>
              </w:rPr>
              <w:t>100</w:t>
            </w:r>
          </w:p>
        </w:tc>
        <w:tc>
          <w:tcPr>
            <w:tcW w:w="1046" w:type="dxa"/>
          </w:tcPr>
          <w:p>
            <w:pPr>
              <w:pStyle w:val="TableParagraph"/>
              <w:spacing w:before="14"/>
              <w:ind w:right="71"/>
              <w:rPr>
                <w:sz w:val="18"/>
              </w:rPr>
            </w:pPr>
            <w:r>
              <w:rPr>
                <w:color w:val="0E0E18"/>
                <w:spacing w:val="-2"/>
                <w:w w:val="110"/>
                <w:sz w:val="18"/>
              </w:rPr>
              <w:t>4</w:t>
            </w:r>
            <w:r>
              <w:rPr>
                <w:color w:val="52505D"/>
                <w:spacing w:val="-2"/>
                <w:w w:val="110"/>
                <w:sz w:val="18"/>
              </w:rPr>
              <w:t>.</w:t>
            </w:r>
            <w:r>
              <w:rPr>
                <w:color w:val="0E0E18"/>
                <w:spacing w:val="-2"/>
                <w:w w:val="110"/>
                <w:sz w:val="18"/>
              </w:rPr>
              <w:t>346</w:t>
            </w:r>
          </w:p>
        </w:tc>
        <w:tc>
          <w:tcPr>
            <w:tcW w:w="1046" w:type="dxa"/>
          </w:tcPr>
          <w:p>
            <w:pPr>
              <w:pStyle w:val="TableParagraph"/>
              <w:spacing w:before="14"/>
              <w:ind w:right="72"/>
              <w:rPr>
                <w:sz w:val="18"/>
              </w:rPr>
            </w:pPr>
            <w:r>
              <w:rPr>
                <w:color w:val="0E0E18"/>
                <w:spacing w:val="-2"/>
                <w:w w:val="110"/>
                <w:sz w:val="18"/>
              </w:rPr>
              <w:t>4</w:t>
            </w:r>
            <w:r>
              <w:rPr>
                <w:color w:val="413D48"/>
                <w:spacing w:val="-2"/>
                <w:w w:val="110"/>
                <w:sz w:val="18"/>
              </w:rPr>
              <w:t>.</w:t>
            </w:r>
            <w:r>
              <w:rPr>
                <w:color w:val="0E0E18"/>
                <w:spacing w:val="-2"/>
                <w:w w:val="110"/>
                <w:sz w:val="18"/>
              </w:rPr>
              <w:t>546</w:t>
            </w:r>
          </w:p>
        </w:tc>
        <w:tc>
          <w:tcPr>
            <w:tcW w:w="1046" w:type="dxa"/>
          </w:tcPr>
          <w:p>
            <w:pPr>
              <w:pStyle w:val="TableParagraph"/>
              <w:spacing w:before="14"/>
              <w:ind w:left="460"/>
              <w:jc w:val="left"/>
              <w:rPr>
                <w:sz w:val="18"/>
              </w:rPr>
            </w:pPr>
            <w:r>
              <w:rPr>
                <w:color w:val="0E0E18"/>
                <w:spacing w:val="-2"/>
                <w:w w:val="110"/>
                <w:sz w:val="18"/>
              </w:rPr>
              <w:t>4</w:t>
            </w:r>
            <w:r>
              <w:rPr>
                <w:color w:val="413D48"/>
                <w:spacing w:val="-2"/>
                <w:w w:val="110"/>
                <w:sz w:val="18"/>
              </w:rPr>
              <w:t>.</w:t>
            </w:r>
            <w:r>
              <w:rPr>
                <w:color w:val="0E0E18"/>
                <w:spacing w:val="-2"/>
                <w:w w:val="110"/>
                <w:sz w:val="18"/>
              </w:rPr>
              <w:t>745</w:t>
            </w:r>
          </w:p>
        </w:tc>
        <w:tc>
          <w:tcPr>
            <w:tcW w:w="1046" w:type="dxa"/>
          </w:tcPr>
          <w:p>
            <w:pPr>
              <w:pStyle w:val="TableParagraph"/>
              <w:spacing w:before="14"/>
              <w:ind w:left="464"/>
              <w:jc w:val="left"/>
              <w:rPr>
                <w:sz w:val="18"/>
              </w:rPr>
            </w:pPr>
            <w:r>
              <w:rPr>
                <w:color w:val="0E0E18"/>
                <w:spacing w:val="-2"/>
                <w:w w:val="110"/>
                <w:sz w:val="18"/>
              </w:rPr>
              <w:t>4</w:t>
            </w:r>
            <w:r>
              <w:rPr>
                <w:color w:val="2D2A38"/>
                <w:spacing w:val="-2"/>
                <w:w w:val="110"/>
                <w:sz w:val="18"/>
              </w:rPr>
              <w:t>.</w:t>
            </w:r>
            <w:r>
              <w:rPr>
                <w:color w:val="0E0E18"/>
                <w:spacing w:val="-2"/>
                <w:w w:val="110"/>
                <w:sz w:val="18"/>
              </w:rPr>
              <w:t>921</w:t>
            </w:r>
          </w:p>
        </w:tc>
        <w:tc>
          <w:tcPr>
            <w:tcW w:w="1056" w:type="dxa"/>
          </w:tcPr>
          <w:p>
            <w:pPr>
              <w:pStyle w:val="TableParagraph"/>
              <w:spacing w:before="14"/>
              <w:ind w:right="55"/>
              <w:rPr>
                <w:sz w:val="18"/>
              </w:rPr>
            </w:pPr>
            <w:r>
              <w:rPr>
                <w:color w:val="0E0E18"/>
                <w:spacing w:val="-2"/>
                <w:w w:val="115"/>
                <w:sz w:val="18"/>
              </w:rPr>
              <w:t>5.111</w:t>
            </w:r>
          </w:p>
        </w:tc>
        <w:tc>
          <w:tcPr>
            <w:tcW w:w="1042" w:type="dxa"/>
          </w:tcPr>
          <w:p>
            <w:pPr>
              <w:pStyle w:val="TableParagraph"/>
              <w:spacing w:before="19"/>
              <w:ind w:right="79"/>
              <w:rPr>
                <w:sz w:val="18"/>
              </w:rPr>
            </w:pPr>
            <w:r>
              <w:rPr>
                <w:color w:val="0E0E18"/>
                <w:spacing w:val="-4"/>
                <w:w w:val="110"/>
                <w:sz w:val="18"/>
              </w:rPr>
              <w:t>5.283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34"/>
      </w:pPr>
    </w:p>
    <w:p>
      <w:pPr>
        <w:pStyle w:val="ListParagraph"/>
        <w:numPr>
          <w:ilvl w:val="0"/>
          <w:numId w:val="1"/>
        </w:numPr>
        <w:tabs>
          <w:tab w:val="left" w:leader="none" w:pos="770"/>
        </w:tabs>
        <w:spacing w:before="0" w:after="0" w:line="278" w:lineRule="auto"/>
        <w:ind w:left="770" w:right="682" w:hanging="339"/>
        <w:jc w:val="left"/>
        <w:rPr>
          <w:sz w:val="18"/>
        </w:rPr>
      </w:pPr>
      <w:r>
        <w:rPr>
          <w:color w:val="0E0E18"/>
          <w:w w:val="105"/>
          <w:sz w:val="18"/>
        </w:rPr>
        <w:t>Wat zijn daarbij de onderliggende</w:t>
      </w:r>
      <w:r>
        <w:rPr>
          <w:color w:val="0E0E18"/>
          <w:w w:val="105"/>
          <w:sz w:val="18"/>
        </w:rPr>
        <w:t> aannamen ten aanzien</w:t>
      </w:r>
      <w:r>
        <w:rPr>
          <w:color w:val="0E0E18"/>
          <w:spacing w:val="27"/>
          <w:w w:val="105"/>
          <w:sz w:val="18"/>
        </w:rPr>
        <w:t> </w:t>
      </w:r>
      <w:r>
        <w:rPr>
          <w:color w:val="0E0E18"/>
          <w:w w:val="105"/>
          <w:sz w:val="18"/>
        </w:rPr>
        <w:t>van de ontwikkeling</w:t>
      </w:r>
      <w:r>
        <w:rPr>
          <w:color w:val="0E0E18"/>
          <w:w w:val="105"/>
          <w:sz w:val="18"/>
        </w:rPr>
        <w:t> van de omvang</w:t>
      </w:r>
      <w:r>
        <w:rPr>
          <w:color w:val="0E0E18"/>
          <w:w w:val="105"/>
          <w:sz w:val="18"/>
        </w:rPr>
        <w:t> van erfenissen</w:t>
      </w:r>
      <w:r>
        <w:rPr>
          <w:color w:val="0E0E18"/>
          <w:w w:val="105"/>
          <w:sz w:val="18"/>
        </w:rPr>
        <w:t> en het land waaraan de ontvangers</w:t>
      </w:r>
      <w:r>
        <w:rPr>
          <w:color w:val="0E0E18"/>
          <w:w w:val="105"/>
          <w:sz w:val="18"/>
        </w:rPr>
        <w:t> van deze erfenissen belastingplichtig zijn?</w:t>
      </w:r>
    </w:p>
    <w:p>
      <w:pPr>
        <w:pStyle w:val="BodyText"/>
        <w:spacing w:before="37"/>
      </w:pPr>
    </w:p>
    <w:p>
      <w:pPr>
        <w:pStyle w:val="BodyText"/>
        <w:spacing w:line="280" w:lineRule="auto"/>
        <w:ind w:left="434" w:right="246" w:hanging="3"/>
      </w:pPr>
      <w:r>
        <w:rPr>
          <w:color w:val="0E0E18"/>
          <w:w w:val="105"/>
        </w:rPr>
        <w:t>Het ministerie van Financiën raamt de opbrengst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van alle belasting-</w:t>
      </w:r>
      <w:r>
        <w:rPr>
          <w:color w:val="0E0E18"/>
          <w:w w:val="105"/>
        </w:rPr>
        <w:t> en premiesoorten afzonderlijk.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Bij de ram</w:t>
      </w:r>
      <w:r>
        <w:rPr>
          <w:color w:val="2D2A38"/>
          <w:w w:val="105"/>
        </w:rPr>
        <w:t>i</w:t>
      </w:r>
      <w:r>
        <w:rPr>
          <w:color w:val="0E0E18"/>
          <w:w w:val="105"/>
        </w:rPr>
        <w:t>ng wordt rekening gehouden</w:t>
      </w:r>
      <w:r>
        <w:rPr>
          <w:color w:val="0E0E18"/>
          <w:w w:val="105"/>
        </w:rPr>
        <w:t> met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de meest</w:t>
      </w:r>
      <w:r>
        <w:rPr>
          <w:color w:val="0E0E18"/>
          <w:w w:val="105"/>
        </w:rPr>
        <w:t> recente realisaties,</w:t>
      </w:r>
      <w:r>
        <w:rPr>
          <w:color w:val="0E0E18"/>
          <w:w w:val="105"/>
        </w:rPr>
        <w:t> het geraamde effect van beleidswijzigingen, en de verwachte</w:t>
      </w:r>
      <w:r>
        <w:rPr>
          <w:color w:val="0E0E18"/>
          <w:w w:val="105"/>
        </w:rPr>
        <w:t> ontwikkeling</w:t>
      </w:r>
      <w:r>
        <w:rPr>
          <w:color w:val="0E0E18"/>
          <w:w w:val="105"/>
        </w:rPr>
        <w:t> van voor die belastingsoort relevante economische</w:t>
      </w:r>
      <w:r>
        <w:rPr>
          <w:color w:val="0E0E18"/>
          <w:spacing w:val="30"/>
          <w:w w:val="105"/>
        </w:rPr>
        <w:t> </w:t>
      </w:r>
      <w:r>
        <w:rPr>
          <w:color w:val="0E0E18"/>
          <w:w w:val="105"/>
        </w:rPr>
        <w:t>indicatoren, zoals geraamd door het</w:t>
      </w:r>
      <w:r>
        <w:rPr>
          <w:color w:val="0E0E18"/>
          <w:spacing w:val="30"/>
          <w:w w:val="105"/>
        </w:rPr>
        <w:t> </w:t>
      </w:r>
      <w:r>
        <w:rPr>
          <w:color w:val="0E0E18"/>
          <w:w w:val="105"/>
        </w:rPr>
        <w:t>CPB.</w:t>
      </w:r>
      <w:r>
        <w:rPr>
          <w:rFonts w:ascii="Times New Roman" w:hAnsi="Times New Roman"/>
          <w:color w:val="2D2A38"/>
          <w:w w:val="105"/>
          <w:position w:val="6"/>
          <w:sz w:val="12"/>
        </w:rPr>
        <w:t>1</w:t>
      </w:r>
      <w:r>
        <w:rPr>
          <w:rFonts w:ascii="Times New Roman" w:hAnsi="Times New Roman"/>
          <w:color w:val="2D2A38"/>
          <w:spacing w:val="22"/>
          <w:w w:val="105"/>
          <w:position w:val="6"/>
          <w:sz w:val="12"/>
        </w:rPr>
        <w:t> </w:t>
      </w:r>
      <w:r>
        <w:rPr>
          <w:color w:val="0E0E18"/>
          <w:w w:val="105"/>
        </w:rPr>
        <w:t>De groei die samenhangt</w:t>
      </w:r>
      <w:r>
        <w:rPr>
          <w:color w:val="0E0E18"/>
          <w:w w:val="105"/>
        </w:rPr>
        <w:t> met de economie</w:t>
      </w:r>
      <w:r>
        <w:rPr>
          <w:color w:val="0E0E18"/>
          <w:w w:val="105"/>
        </w:rPr>
        <w:t> wordt de endogene groei</w:t>
      </w:r>
      <w:r>
        <w:rPr>
          <w:color w:val="0E0E18"/>
          <w:w w:val="105"/>
        </w:rPr>
        <w:t> genoemd.</w:t>
      </w:r>
    </w:p>
    <w:p>
      <w:pPr>
        <w:pStyle w:val="BodyText"/>
        <w:spacing w:before="34"/>
      </w:pPr>
    </w:p>
    <w:p>
      <w:pPr>
        <w:pStyle w:val="BodyText"/>
        <w:spacing w:before="1" w:line="280" w:lineRule="auto"/>
        <w:ind w:left="439" w:right="246" w:hanging="3"/>
      </w:pPr>
      <w:r>
        <w:rPr>
          <w:color w:val="0E0E18"/>
          <w:w w:val="105"/>
        </w:rPr>
        <w:t>Deze methodiek</w:t>
      </w:r>
      <w:r>
        <w:rPr>
          <w:color w:val="0E0E18"/>
          <w:w w:val="105"/>
        </w:rPr>
        <w:t> geldt ook voor de raming van de schenk</w:t>
      </w:r>
      <w:r>
        <w:rPr>
          <w:color w:val="2D2A38"/>
          <w:w w:val="105"/>
        </w:rPr>
        <w:t>- </w:t>
      </w:r>
      <w:r>
        <w:rPr>
          <w:color w:val="0E0E18"/>
          <w:w w:val="105"/>
        </w:rPr>
        <w:t>en erfbelasting.</w:t>
      </w:r>
      <w:r>
        <w:rPr>
          <w:color w:val="0E0E18"/>
          <w:w w:val="105"/>
        </w:rPr>
        <w:t> Voor deze belasting wordt</w:t>
      </w:r>
      <w:r>
        <w:rPr>
          <w:color w:val="0E0E18"/>
          <w:spacing w:val="24"/>
          <w:w w:val="105"/>
        </w:rPr>
        <w:t> </w:t>
      </w:r>
      <w:r>
        <w:rPr>
          <w:color w:val="0E0E18"/>
          <w:w w:val="105"/>
        </w:rPr>
        <w:t>de</w:t>
      </w:r>
      <w:r>
        <w:rPr>
          <w:color w:val="0E0E18"/>
          <w:spacing w:val="15"/>
          <w:w w:val="105"/>
        </w:rPr>
        <w:t> </w:t>
      </w:r>
      <w:r>
        <w:rPr>
          <w:color w:val="0E0E18"/>
          <w:w w:val="105"/>
        </w:rPr>
        <w:t>endogene</w:t>
      </w:r>
      <w:r>
        <w:rPr>
          <w:color w:val="0E0E18"/>
          <w:spacing w:val="33"/>
          <w:w w:val="105"/>
        </w:rPr>
        <w:t> </w:t>
      </w:r>
      <w:r>
        <w:rPr>
          <w:color w:val="0E0E18"/>
          <w:w w:val="105"/>
        </w:rPr>
        <w:t>groei</w:t>
      </w:r>
      <w:r>
        <w:rPr>
          <w:color w:val="0E0E18"/>
          <w:spacing w:val="18"/>
          <w:w w:val="105"/>
        </w:rPr>
        <w:t> </w:t>
      </w:r>
      <w:r>
        <w:rPr>
          <w:color w:val="0E0E18"/>
          <w:w w:val="105"/>
        </w:rPr>
        <w:t>geraamd</w:t>
      </w:r>
      <w:r>
        <w:rPr>
          <w:color w:val="0E0E18"/>
          <w:spacing w:val="27"/>
          <w:w w:val="105"/>
        </w:rPr>
        <w:t> </w:t>
      </w:r>
      <w:r>
        <w:rPr>
          <w:color w:val="0E0E18"/>
          <w:w w:val="105"/>
        </w:rPr>
        <w:t>op</w:t>
      </w:r>
      <w:r>
        <w:rPr>
          <w:color w:val="0E0E18"/>
          <w:spacing w:val="19"/>
          <w:w w:val="105"/>
        </w:rPr>
        <w:t> </w:t>
      </w:r>
      <w:r>
        <w:rPr>
          <w:color w:val="0E0E18"/>
          <w:w w:val="105"/>
        </w:rPr>
        <w:t>basis</w:t>
      </w:r>
      <w:r>
        <w:rPr>
          <w:color w:val="0E0E18"/>
          <w:spacing w:val="27"/>
          <w:w w:val="105"/>
        </w:rPr>
        <w:t> </w:t>
      </w:r>
      <w:r>
        <w:rPr>
          <w:color w:val="0E0E18"/>
          <w:w w:val="105"/>
        </w:rPr>
        <w:t>van</w:t>
      </w:r>
      <w:r>
        <w:rPr>
          <w:color w:val="0E0E18"/>
          <w:spacing w:val="24"/>
          <w:w w:val="105"/>
        </w:rPr>
        <w:t> </w:t>
      </w:r>
      <w:r>
        <w:rPr>
          <w:color w:val="0E0E18"/>
          <w:w w:val="105"/>
        </w:rPr>
        <w:t>de</w:t>
      </w:r>
      <w:r>
        <w:rPr>
          <w:color w:val="0E0E18"/>
          <w:spacing w:val="21"/>
          <w:w w:val="105"/>
        </w:rPr>
        <w:t> </w:t>
      </w:r>
      <w:r>
        <w:rPr>
          <w:color w:val="0E0E18"/>
          <w:w w:val="105"/>
        </w:rPr>
        <w:t>ontwikkeling</w:t>
      </w:r>
      <w:r>
        <w:rPr>
          <w:color w:val="0E0E18"/>
          <w:spacing w:val="26"/>
          <w:w w:val="105"/>
        </w:rPr>
        <w:t> </w:t>
      </w:r>
      <w:r>
        <w:rPr>
          <w:color w:val="0E0E18"/>
          <w:w w:val="105"/>
        </w:rPr>
        <w:t>van</w:t>
      </w:r>
      <w:r>
        <w:rPr>
          <w:color w:val="0E0E18"/>
          <w:spacing w:val="22"/>
          <w:w w:val="105"/>
        </w:rPr>
        <w:t> </w:t>
      </w:r>
      <w:r>
        <w:rPr>
          <w:color w:val="0E0E18"/>
          <w:w w:val="105"/>
        </w:rPr>
        <w:t>het</w:t>
      </w:r>
      <w:r>
        <w:rPr>
          <w:color w:val="0E0E18"/>
          <w:spacing w:val="16"/>
          <w:w w:val="105"/>
        </w:rPr>
        <w:t> </w:t>
      </w:r>
      <w:r>
        <w:rPr>
          <w:color w:val="0E0E18"/>
          <w:w w:val="105"/>
        </w:rPr>
        <w:t>bbp.</w:t>
      </w:r>
      <w:r>
        <w:rPr>
          <w:color w:val="0E0E18"/>
          <w:spacing w:val="28"/>
          <w:w w:val="105"/>
        </w:rPr>
        <w:t> </w:t>
      </w:r>
      <w:r>
        <w:rPr>
          <w:color w:val="0E0E18"/>
          <w:w w:val="105"/>
        </w:rPr>
        <w:t>Deze</w:t>
      </w:r>
      <w:r>
        <w:rPr>
          <w:color w:val="0E0E18"/>
          <w:w w:val="105"/>
        </w:rPr>
        <w:t> ramingswijze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is het resultaat</w:t>
      </w:r>
      <w:r>
        <w:rPr>
          <w:color w:val="0E0E18"/>
          <w:spacing w:val="31"/>
          <w:w w:val="105"/>
        </w:rPr>
        <w:t> </w:t>
      </w:r>
      <w:r>
        <w:rPr>
          <w:color w:val="0E0E18"/>
          <w:w w:val="105"/>
        </w:rPr>
        <w:t>van een</w:t>
      </w:r>
      <w:r>
        <w:rPr>
          <w:color w:val="0E0E18"/>
          <w:spacing w:val="25"/>
          <w:w w:val="105"/>
        </w:rPr>
        <w:t> </w:t>
      </w:r>
      <w:r>
        <w:rPr>
          <w:color w:val="0E0E18"/>
          <w:w w:val="105"/>
        </w:rPr>
        <w:t>recentelijke</w:t>
      </w:r>
      <w:r>
        <w:rPr>
          <w:color w:val="0E0E18"/>
          <w:spacing w:val="28"/>
          <w:w w:val="105"/>
        </w:rPr>
        <w:t> </w:t>
      </w:r>
      <w:r>
        <w:rPr>
          <w:color w:val="0E0E18"/>
          <w:w w:val="105"/>
        </w:rPr>
        <w:t>herschatting.</w:t>
      </w:r>
      <w:r>
        <w:rPr>
          <w:color w:val="0E0E18"/>
          <w:spacing w:val="40"/>
          <w:w w:val="105"/>
        </w:rPr>
        <w:t> </w:t>
      </w:r>
      <w:r>
        <w:rPr>
          <w:color w:val="0E0E18"/>
          <w:w w:val="105"/>
        </w:rPr>
        <w:t>Hierbij</w:t>
      </w:r>
      <w:r>
        <w:rPr>
          <w:color w:val="0E0E18"/>
          <w:spacing w:val="23"/>
          <w:w w:val="105"/>
        </w:rPr>
        <w:t> </w:t>
      </w:r>
      <w:r>
        <w:rPr>
          <w:color w:val="0E0E18"/>
          <w:w w:val="105"/>
        </w:rPr>
        <w:t>is, in lijn met</w:t>
      </w:r>
      <w:r>
        <w:rPr>
          <w:color w:val="0E0E18"/>
          <w:spacing w:val="31"/>
          <w:w w:val="105"/>
        </w:rPr>
        <w:t> </w:t>
      </w:r>
      <w:r>
        <w:rPr>
          <w:color w:val="0E0E18"/>
          <w:w w:val="105"/>
        </w:rPr>
        <w:t>het advies van de Expertgroep</w:t>
      </w:r>
      <w:r>
        <w:rPr>
          <w:color w:val="0E0E18"/>
          <w:spacing w:val="34"/>
          <w:w w:val="105"/>
        </w:rPr>
        <w:t> </w:t>
      </w:r>
      <w:r>
        <w:rPr>
          <w:color w:val="0E0E18"/>
          <w:w w:val="105"/>
        </w:rPr>
        <w:t>Realistisch</w:t>
      </w:r>
      <w:r>
        <w:rPr>
          <w:color w:val="0E0E18"/>
          <w:spacing w:val="23"/>
          <w:w w:val="105"/>
        </w:rPr>
        <w:t> </w:t>
      </w:r>
      <w:r>
        <w:rPr>
          <w:color w:val="0E0E18"/>
          <w:w w:val="105"/>
        </w:rPr>
        <w:t>Ramen</w:t>
      </w:r>
      <w:r>
        <w:rPr>
          <w:color w:val="0E0E18"/>
          <w:w w:val="105"/>
          <w:vertAlign w:val="superscript"/>
        </w:rPr>
        <w:t>2</w:t>
      </w:r>
      <w:r>
        <w:rPr>
          <w:color w:val="0E0E18"/>
          <w:w w:val="105"/>
          <w:vertAlign w:val="baseline"/>
        </w:rPr>
        <w:t> besloten</w:t>
      </w:r>
      <w:r>
        <w:rPr>
          <w:color w:val="0E0E18"/>
          <w:spacing w:val="27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om voor</w:t>
      </w:r>
      <w:r>
        <w:rPr>
          <w:color w:val="0E0E18"/>
          <w:spacing w:val="24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de schenk-</w:t>
      </w:r>
      <w:r>
        <w:rPr>
          <w:color w:val="0E0E18"/>
          <w:spacing w:val="29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en erfbelasting</w:t>
      </w:r>
      <w:r>
        <w:rPr>
          <w:color w:val="0E0E18"/>
          <w:spacing w:val="30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over te gaan</w:t>
      </w:r>
      <w:r>
        <w:rPr>
          <w:color w:val="0E0E18"/>
          <w:spacing w:val="28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op</w:t>
      </w:r>
      <w:r>
        <w:rPr>
          <w:color w:val="0E0E18"/>
          <w:spacing w:val="13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een</w:t>
      </w:r>
      <w:r>
        <w:rPr>
          <w:color w:val="0E0E18"/>
          <w:spacing w:val="24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zogeheten</w:t>
      </w:r>
      <w:r>
        <w:rPr>
          <w:color w:val="0E0E18"/>
          <w:spacing w:val="33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naïeve</w:t>
      </w:r>
      <w:r>
        <w:rPr>
          <w:color w:val="0E0E18"/>
          <w:spacing w:val="28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raming,</w:t>
      </w:r>
      <w:r>
        <w:rPr>
          <w:color w:val="0E0E18"/>
          <w:spacing w:val="30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omdat</w:t>
      </w:r>
      <w:r>
        <w:rPr>
          <w:color w:val="0E0E18"/>
          <w:spacing w:val="24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een</w:t>
      </w:r>
      <w:r>
        <w:rPr>
          <w:color w:val="0E0E18"/>
          <w:spacing w:val="20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complexere</w:t>
      </w:r>
      <w:r>
        <w:rPr>
          <w:color w:val="0E0E18"/>
          <w:spacing w:val="32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modelspecificatie geen duidelijke verbetering</w:t>
      </w:r>
      <w:r>
        <w:rPr>
          <w:color w:val="0E0E18"/>
          <w:spacing w:val="34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biedt. Een naïeve raming is een eenvoudige schatting op basis van minimale aannames</w:t>
      </w:r>
      <w:r>
        <w:rPr>
          <w:color w:val="2D2A38"/>
          <w:w w:val="105"/>
          <w:vertAlign w:val="baseline"/>
        </w:rPr>
        <w:t>. </w:t>
      </w:r>
      <w:r>
        <w:rPr>
          <w:color w:val="0E0E18"/>
          <w:w w:val="105"/>
          <w:vertAlign w:val="baseline"/>
        </w:rPr>
        <w:t>Een algemene</w:t>
      </w:r>
      <w:r>
        <w:rPr>
          <w:color w:val="0E0E18"/>
          <w:spacing w:val="36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toelichting</w:t>
      </w:r>
      <w:r>
        <w:rPr>
          <w:color w:val="0E0E18"/>
          <w:spacing w:val="31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op de herschatting</w:t>
      </w:r>
      <w:r>
        <w:rPr>
          <w:color w:val="0E0E18"/>
          <w:spacing w:val="27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is te vinden</w:t>
      </w:r>
      <w:r>
        <w:rPr>
          <w:color w:val="0E0E18"/>
          <w:spacing w:val="27"/>
          <w:w w:val="105"/>
          <w:vertAlign w:val="baseline"/>
        </w:rPr>
        <w:t> </w:t>
      </w:r>
      <w:r>
        <w:rPr>
          <w:color w:val="0E0E18"/>
          <w:w w:val="105"/>
          <w:vertAlign w:val="baseline"/>
        </w:rPr>
        <w:t>in de (b</w:t>
      </w:r>
      <w:r>
        <w:rPr>
          <w:color w:val="2D2A38"/>
          <w:w w:val="105"/>
          <w:vertAlign w:val="baseline"/>
        </w:rPr>
        <w:t>i</w:t>
      </w:r>
      <w:r>
        <w:rPr>
          <w:color w:val="0E0E18"/>
          <w:w w:val="105"/>
          <w:vertAlign w:val="baseline"/>
        </w:rPr>
        <w:t>jlage bij de) hierover</w:t>
      </w:r>
      <w:r>
        <w:rPr>
          <w:color w:val="0E0E18"/>
          <w:w w:val="105"/>
          <w:vertAlign w:val="baseline"/>
        </w:rPr>
        <w:t> verstuurde brief</w:t>
      </w:r>
      <w:r>
        <w:rPr>
          <w:color w:val="2D2A38"/>
          <w:w w:val="105"/>
          <w:vertAlign w:val="baseline"/>
        </w:rPr>
        <w:t>.</w:t>
      </w:r>
      <w:r>
        <w:rPr>
          <w:color w:val="0E0E18"/>
          <w:w w:val="105"/>
          <w:vertAlign w:val="superscript"/>
        </w:rPr>
        <w:t>3</w:t>
      </w:r>
    </w:p>
    <w:p>
      <w:pPr>
        <w:pStyle w:val="BodyText"/>
        <w:spacing w:before="32"/>
      </w:pPr>
    </w:p>
    <w:p>
      <w:pPr>
        <w:pStyle w:val="ListParagraph"/>
        <w:numPr>
          <w:ilvl w:val="0"/>
          <w:numId w:val="1"/>
        </w:numPr>
        <w:tabs>
          <w:tab w:val="left" w:leader="none" w:pos="794"/>
          <w:tab w:val="left" w:leader="none" w:pos="799"/>
        </w:tabs>
        <w:spacing w:before="0" w:after="0" w:line="283" w:lineRule="auto"/>
        <w:ind w:left="799" w:right="673" w:hanging="346"/>
        <w:jc w:val="left"/>
        <w:rPr>
          <w:sz w:val="18"/>
        </w:rPr>
      </w:pPr>
      <w:r>
        <w:rPr>
          <w:color w:val="0E0E18"/>
          <w:w w:val="105"/>
          <w:sz w:val="18"/>
        </w:rPr>
        <w:t>Kunt u bij uw antwoorden</w:t>
      </w:r>
      <w:r>
        <w:rPr>
          <w:color w:val="0E0E18"/>
          <w:w w:val="105"/>
          <w:sz w:val="18"/>
        </w:rPr>
        <w:t> verwijzen naar de bronnen</w:t>
      </w:r>
      <w:r>
        <w:rPr>
          <w:color w:val="0E0E18"/>
          <w:spacing w:val="30"/>
          <w:w w:val="105"/>
          <w:sz w:val="18"/>
        </w:rPr>
        <w:t> </w:t>
      </w:r>
      <w:r>
        <w:rPr>
          <w:color w:val="0E0E18"/>
          <w:w w:val="105"/>
          <w:sz w:val="18"/>
        </w:rPr>
        <w:t>waarop u uw antwoorden</w:t>
      </w:r>
      <w:r>
        <w:rPr>
          <w:color w:val="0E0E18"/>
          <w:w w:val="105"/>
          <w:sz w:val="18"/>
        </w:rPr>
        <w:t> heeft </w:t>
      </w:r>
      <w:r>
        <w:rPr>
          <w:color w:val="0E0E18"/>
          <w:spacing w:val="-2"/>
          <w:w w:val="105"/>
          <w:sz w:val="18"/>
        </w:rPr>
        <w:t>gebaseerd?</w:t>
      </w:r>
    </w:p>
    <w:p>
      <w:pPr>
        <w:spacing w:before="13"/>
        <w:ind w:left="795" w:right="0" w:firstLine="0"/>
        <w:jc w:val="left"/>
        <w:rPr>
          <w:sz w:val="17"/>
        </w:rPr>
      </w:pPr>
      <w:r>
        <w:rPr>
          <w:color w:val="0E0E18"/>
          <w:spacing w:val="-5"/>
          <w:w w:val="110"/>
          <w:sz w:val="17"/>
        </w:rPr>
        <w:t>Ja</w:t>
      </w:r>
      <w:r>
        <w:rPr>
          <w:color w:val="2D2A38"/>
          <w:spacing w:val="-5"/>
          <w:w w:val="110"/>
          <w:sz w:val="17"/>
        </w:rPr>
        <w:t>.</w:t>
      </w:r>
    </w:p>
    <w:sectPr>
      <w:footerReference w:type="default" r:id="rId5"/>
      <w:type w:val="continuous"/>
      <w:pgSz w:w="11910" w:h="16840"/>
      <w:pgMar w:top="1460" w:right="1559" w:bottom="2980" w:left="1559" w:header="0" w:footer="2787"/>
      <w:pgNumType w:start="1"/>
      <w:paperSrc w:first="4" w:other="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152">
              <wp:simplePos x="0" y="0"/>
              <wp:positionH relativeFrom="page">
                <wp:posOffset>1067349</wp:posOffset>
              </wp:positionH>
              <wp:positionV relativeFrom="page">
                <wp:posOffset>8801188</wp:posOffset>
              </wp:positionV>
              <wp:extent cx="174688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7468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6885" h="0">
                            <a:moveTo>
                              <a:pt x="0" y="0"/>
                            </a:moveTo>
                            <a:lnTo>
                              <a:pt x="1746696" y="0"/>
                            </a:lnTo>
                          </a:path>
                        </a:pathLst>
                      </a:custGeom>
                      <a:ln w="909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79328" from="84.043251pt,693.006958pt" to="221.578375pt,693.006958pt" stroked="true" strokeweight=".71601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664">
              <wp:simplePos x="0" y="0"/>
              <wp:positionH relativeFrom="page">
                <wp:posOffset>1054893</wp:posOffset>
              </wp:positionH>
              <wp:positionV relativeFrom="page">
                <wp:posOffset>8872828</wp:posOffset>
              </wp:positionV>
              <wp:extent cx="4017645" cy="304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01764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rFonts w:ascii="Times New Roman"/>
                              <w:color w:val="2D2A38"/>
                              <w:spacing w:val="-2"/>
                              <w:position w:val="5"/>
                              <w:sz w:val="12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2D2A38"/>
                              <w:spacing w:val="5"/>
                              <w:position w:val="5"/>
                              <w:sz w:val="12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Zie</w:t>
                          </w:r>
                          <w:r>
                            <w:rPr>
                              <w:color w:val="0E0E18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voor</w:t>
                          </w:r>
                          <w:r>
                            <w:rPr>
                              <w:color w:val="0E0E18"/>
                              <w:spacing w:val="3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een</w:t>
                          </w:r>
                          <w:r>
                            <w:rPr>
                              <w:color w:val="0E0E1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uitgebreide</w:t>
                          </w:r>
                          <w:r>
                            <w:rPr>
                              <w:color w:val="0E0E18"/>
                              <w:spacing w:val="1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toelichting</w:t>
                          </w:r>
                          <w:r>
                            <w:rPr>
                              <w:color w:val="0E0E18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bijlage</w:t>
                          </w:r>
                          <w:r>
                            <w:rPr>
                              <w:color w:val="0E0E18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3.2</w:t>
                          </w:r>
                          <w:r>
                            <w:rPr>
                              <w:color w:val="0E0E18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bij</w:t>
                          </w:r>
                          <w:r>
                            <w:rPr>
                              <w:color w:val="0E0E1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de</w:t>
                          </w:r>
                          <w:r>
                            <w:rPr>
                              <w:color w:val="0E0E1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Miljoenennota</w:t>
                          </w:r>
                          <w:r>
                            <w:rPr>
                              <w:color w:val="0E0E18"/>
                              <w:spacing w:val="17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2"/>
                            </w:rPr>
                            <w:t>2027</w:t>
                          </w:r>
                          <w:r>
                            <w:rPr>
                              <w:color w:val="413D48"/>
                              <w:spacing w:val="-2"/>
                            </w:rPr>
                            <w:t>.</w:t>
                          </w:r>
                        </w:p>
                        <w:p>
                          <w:pPr>
                            <w:pStyle w:val="BodyText"/>
                            <w:spacing w:before="28"/>
                            <w:ind w:left="30"/>
                          </w:pPr>
                          <w:r>
                            <w:rPr>
                              <w:color w:val="2D2A38"/>
                              <w:spacing w:val="-4"/>
                              <w:position w:val="6"/>
                              <w:sz w:val="12"/>
                            </w:rPr>
                            <w:t>2</w:t>
                          </w:r>
                          <w:r>
                            <w:rPr>
                              <w:color w:val="2D2A38"/>
                              <w:spacing w:val="-1"/>
                              <w:position w:val="6"/>
                              <w:sz w:val="12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Op</w:t>
                          </w:r>
                          <w:r>
                            <w:rPr>
                              <w:color w:val="4F5BA8"/>
                              <w:spacing w:val="-8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drift</w:t>
                          </w:r>
                          <w:r>
                            <w:rPr>
                              <w:color w:val="4F5BA8"/>
                              <w:spacing w:val="-6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3D4B9E"/>
                              <w:spacing w:val="-4"/>
                              <w:u w:val="thick" w:color="4F5BA8"/>
                            </w:rPr>
                            <w:t>of</w:t>
                          </w:r>
                          <w:r>
                            <w:rPr>
                              <w:color w:val="3D4B9E"/>
                              <w:spacing w:val="-6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3D4B9E"/>
                              <w:spacing w:val="-4"/>
                              <w:u w:val="thick" w:color="4F5BA8"/>
                            </w:rPr>
                            <w:t>op</w:t>
                          </w:r>
                          <w:r>
                            <w:rPr>
                              <w:color w:val="3D4B9E"/>
                              <w:spacing w:val="-13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koers?</w:t>
                          </w:r>
                          <w:r>
                            <w:rPr>
                              <w:color w:val="4F5BA8"/>
                              <w:spacing w:val="7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Analyses</w:t>
                          </w:r>
                          <w:r>
                            <w:rPr>
                              <w:color w:val="4F5BA8"/>
                              <w:spacing w:val="3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en aanbevelingen</w:t>
                          </w:r>
                          <w:r>
                            <w:rPr>
                              <w:color w:val="4F5BA8"/>
                              <w:spacing w:val="15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3D4B9E"/>
                              <w:spacing w:val="-4"/>
                              <w:u w:val="thick" w:color="4F5BA8"/>
                            </w:rPr>
                            <w:t>om</w:t>
                          </w:r>
                          <w:r>
                            <w:rPr>
                              <w:color w:val="3D4B9E"/>
                              <w:spacing w:val="-3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beter</w:t>
                          </w:r>
                          <w:r>
                            <w:rPr>
                              <w:color w:val="4F5BA8"/>
                              <w:spacing w:val="2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te</w:t>
                          </w:r>
                          <w:r>
                            <w:rPr>
                              <w:color w:val="4F5BA8"/>
                              <w:spacing w:val="-10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ramen</w:t>
                          </w:r>
                          <w:r>
                            <w:rPr>
                              <w:color w:val="4F5BA8"/>
                              <w:spacing w:val="-3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en</w:t>
                          </w:r>
                          <w:r>
                            <w:rPr>
                              <w:color w:val="4F5BA8"/>
                              <w:spacing w:val="-13"/>
                              <w:u w:val="thick" w:color="4F5BA8"/>
                            </w:rPr>
                            <w:t> </w:t>
                          </w:r>
                          <w:r>
                            <w:rPr>
                              <w:color w:val="4F5BA8"/>
                              <w:spacing w:val="-4"/>
                              <w:u w:val="thick" w:color="4F5BA8"/>
                            </w:rPr>
                            <w:t>begroten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0625pt;margin-top:698.647888pt;width:316.350pt;height:24pt;mso-position-horizontal-relative:page;mso-position-vertical-relative:page;z-index:-1577881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rFonts w:ascii="Times New Roman"/>
                        <w:color w:val="2D2A38"/>
                        <w:spacing w:val="-2"/>
                        <w:position w:val="5"/>
                        <w:sz w:val="12"/>
                      </w:rPr>
                      <w:t>1</w:t>
                    </w:r>
                    <w:r>
                      <w:rPr>
                        <w:rFonts w:ascii="Times New Roman"/>
                        <w:color w:val="2D2A38"/>
                        <w:spacing w:val="5"/>
                        <w:position w:val="5"/>
                        <w:sz w:val="12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Zie</w:t>
                    </w:r>
                    <w:r>
                      <w:rPr>
                        <w:color w:val="0E0E18"/>
                        <w:spacing w:val="-6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voor</w:t>
                    </w:r>
                    <w:r>
                      <w:rPr>
                        <w:color w:val="0E0E18"/>
                        <w:spacing w:val="3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een</w:t>
                    </w:r>
                    <w:r>
                      <w:rPr>
                        <w:color w:val="0E0E18"/>
                        <w:spacing w:val="-8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uitgebreide</w:t>
                    </w:r>
                    <w:r>
                      <w:rPr>
                        <w:color w:val="0E0E18"/>
                        <w:spacing w:val="1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toelichting</w:t>
                    </w:r>
                    <w:r>
                      <w:rPr>
                        <w:color w:val="0E0E18"/>
                        <w:spacing w:val="-5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bijlage</w:t>
                    </w:r>
                    <w:r>
                      <w:rPr>
                        <w:color w:val="0E0E18"/>
                        <w:spacing w:val="-1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3.2</w:t>
                    </w:r>
                    <w:r>
                      <w:rPr>
                        <w:color w:val="0E0E18"/>
                        <w:spacing w:val="-10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bij</w:t>
                    </w:r>
                    <w:r>
                      <w:rPr>
                        <w:color w:val="0E0E18"/>
                        <w:spacing w:val="-8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de</w:t>
                    </w:r>
                    <w:r>
                      <w:rPr>
                        <w:color w:val="0E0E18"/>
                        <w:spacing w:val="-8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Miljoenennota</w:t>
                    </w:r>
                    <w:r>
                      <w:rPr>
                        <w:color w:val="0E0E18"/>
                        <w:spacing w:val="17"/>
                      </w:rPr>
                      <w:t> </w:t>
                    </w:r>
                    <w:r>
                      <w:rPr>
                        <w:color w:val="0E0E18"/>
                        <w:spacing w:val="-2"/>
                      </w:rPr>
                      <w:t>2027</w:t>
                    </w:r>
                    <w:r>
                      <w:rPr>
                        <w:color w:val="413D48"/>
                        <w:spacing w:val="-2"/>
                      </w:rPr>
                      <w:t>.</w:t>
                    </w:r>
                  </w:p>
                  <w:p>
                    <w:pPr>
                      <w:pStyle w:val="BodyText"/>
                      <w:spacing w:before="28"/>
                      <w:ind w:left="30"/>
                    </w:pPr>
                    <w:r>
                      <w:rPr>
                        <w:color w:val="2D2A38"/>
                        <w:spacing w:val="-4"/>
                        <w:position w:val="6"/>
                        <w:sz w:val="12"/>
                      </w:rPr>
                      <w:t>2</w:t>
                    </w:r>
                    <w:r>
                      <w:rPr>
                        <w:color w:val="2D2A38"/>
                        <w:spacing w:val="-1"/>
                        <w:position w:val="6"/>
                        <w:sz w:val="12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Op</w:t>
                    </w:r>
                    <w:r>
                      <w:rPr>
                        <w:color w:val="4F5BA8"/>
                        <w:spacing w:val="-8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drift</w:t>
                    </w:r>
                    <w:r>
                      <w:rPr>
                        <w:color w:val="4F5BA8"/>
                        <w:spacing w:val="-6"/>
                        <w:u w:val="thick" w:color="4F5BA8"/>
                      </w:rPr>
                      <w:t> </w:t>
                    </w:r>
                    <w:r>
                      <w:rPr>
                        <w:color w:val="3D4B9E"/>
                        <w:spacing w:val="-4"/>
                        <w:u w:val="thick" w:color="4F5BA8"/>
                      </w:rPr>
                      <w:t>of</w:t>
                    </w:r>
                    <w:r>
                      <w:rPr>
                        <w:color w:val="3D4B9E"/>
                        <w:spacing w:val="-6"/>
                        <w:u w:val="thick" w:color="4F5BA8"/>
                      </w:rPr>
                      <w:t> </w:t>
                    </w:r>
                    <w:r>
                      <w:rPr>
                        <w:color w:val="3D4B9E"/>
                        <w:spacing w:val="-4"/>
                        <w:u w:val="thick" w:color="4F5BA8"/>
                      </w:rPr>
                      <w:t>op</w:t>
                    </w:r>
                    <w:r>
                      <w:rPr>
                        <w:color w:val="3D4B9E"/>
                        <w:spacing w:val="-13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koers?</w:t>
                    </w:r>
                    <w:r>
                      <w:rPr>
                        <w:color w:val="4F5BA8"/>
                        <w:spacing w:val="7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Analyses</w:t>
                    </w:r>
                    <w:r>
                      <w:rPr>
                        <w:color w:val="4F5BA8"/>
                        <w:spacing w:val="3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en aanbevelingen</w:t>
                    </w:r>
                    <w:r>
                      <w:rPr>
                        <w:color w:val="4F5BA8"/>
                        <w:spacing w:val="15"/>
                        <w:u w:val="thick" w:color="4F5BA8"/>
                      </w:rPr>
                      <w:t> </w:t>
                    </w:r>
                    <w:r>
                      <w:rPr>
                        <w:color w:val="3D4B9E"/>
                        <w:spacing w:val="-4"/>
                        <w:u w:val="thick" w:color="4F5BA8"/>
                      </w:rPr>
                      <w:t>om</w:t>
                    </w:r>
                    <w:r>
                      <w:rPr>
                        <w:color w:val="3D4B9E"/>
                        <w:spacing w:val="-3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beter</w:t>
                    </w:r>
                    <w:r>
                      <w:rPr>
                        <w:color w:val="4F5BA8"/>
                        <w:spacing w:val="2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te</w:t>
                    </w:r>
                    <w:r>
                      <w:rPr>
                        <w:color w:val="4F5BA8"/>
                        <w:spacing w:val="-10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ramen</w:t>
                    </w:r>
                    <w:r>
                      <w:rPr>
                        <w:color w:val="4F5BA8"/>
                        <w:spacing w:val="-3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en</w:t>
                    </w:r>
                    <w:r>
                      <w:rPr>
                        <w:color w:val="4F5BA8"/>
                        <w:spacing w:val="-13"/>
                        <w:u w:val="thick" w:color="4F5BA8"/>
                      </w:rPr>
                      <w:t> </w:t>
                    </w:r>
                    <w:r>
                      <w:rPr>
                        <w:color w:val="4F5BA8"/>
                        <w:spacing w:val="-4"/>
                        <w:u w:val="thick" w:color="4F5BA8"/>
                      </w:rPr>
                      <w:t>begroten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176">
              <wp:simplePos x="0" y="0"/>
              <wp:positionH relativeFrom="page">
                <wp:posOffset>1060808</wp:posOffset>
              </wp:positionH>
              <wp:positionV relativeFrom="page">
                <wp:posOffset>9315374</wp:posOffset>
              </wp:positionV>
              <wp:extent cx="2192020" cy="15367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1920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0E0E18"/>
                              <w:spacing w:val="-4"/>
                              <w:position w:val="5"/>
                              <w:sz w:val="11"/>
                            </w:rPr>
                            <w:t>3 </w:t>
                          </w:r>
                          <w:r>
                            <w:rPr>
                              <w:color w:val="0E0E18"/>
                              <w:spacing w:val="-4"/>
                            </w:rPr>
                            <w:t>Kamerstukken</w:t>
                          </w:r>
                          <w:r>
                            <w:rPr>
                              <w:color w:val="0E0E18"/>
                              <w:spacing w:val="9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4"/>
                            </w:rPr>
                            <w:t>Il</w:t>
                          </w:r>
                          <w:r>
                            <w:rPr>
                              <w:color w:val="2D2A38"/>
                              <w:spacing w:val="-4"/>
                            </w:rPr>
                            <w:t>,</w:t>
                          </w:r>
                          <w:r>
                            <w:rPr>
                              <w:color w:val="2D2A38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4"/>
                            </w:rPr>
                            <w:t>2025-2026</w:t>
                          </w:r>
                          <w:r>
                            <w:rPr>
                              <w:color w:val="2D2A38"/>
                              <w:spacing w:val="-4"/>
                            </w:rPr>
                            <w:t>,</w:t>
                          </w:r>
                          <w:r>
                            <w:rPr>
                              <w:color w:val="2D2A38"/>
                              <w:spacing w:val="-12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4"/>
                            </w:rPr>
                            <w:t>31865</w:t>
                          </w:r>
                          <w:r>
                            <w:rPr>
                              <w:color w:val="0E0E18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4"/>
                            </w:rPr>
                            <w:t>nr</w:t>
                          </w:r>
                          <w:r>
                            <w:rPr>
                              <w:color w:val="0E0E18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0E0E18"/>
                              <w:spacing w:val="-4"/>
                            </w:rPr>
                            <w:t>309.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3.528214pt;margin-top:733.49408pt;width:172.6pt;height:12.1pt;mso-position-horizontal-relative:page;mso-position-vertical-relative:page;z-index:-1577830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0E0E18"/>
                        <w:spacing w:val="-4"/>
                        <w:position w:val="5"/>
                        <w:sz w:val="11"/>
                      </w:rPr>
                      <w:t>3 </w:t>
                    </w:r>
                    <w:r>
                      <w:rPr>
                        <w:color w:val="0E0E18"/>
                        <w:spacing w:val="-4"/>
                      </w:rPr>
                      <w:t>Kamerstukken</w:t>
                    </w:r>
                    <w:r>
                      <w:rPr>
                        <w:color w:val="0E0E18"/>
                        <w:spacing w:val="9"/>
                      </w:rPr>
                      <w:t> </w:t>
                    </w:r>
                    <w:r>
                      <w:rPr>
                        <w:color w:val="0E0E18"/>
                        <w:spacing w:val="-4"/>
                      </w:rPr>
                      <w:t>Il</w:t>
                    </w:r>
                    <w:r>
                      <w:rPr>
                        <w:color w:val="2D2A38"/>
                        <w:spacing w:val="-4"/>
                      </w:rPr>
                      <w:t>,</w:t>
                    </w:r>
                    <w:r>
                      <w:rPr>
                        <w:color w:val="2D2A38"/>
                        <w:spacing w:val="-9"/>
                      </w:rPr>
                      <w:t> </w:t>
                    </w:r>
                    <w:r>
                      <w:rPr>
                        <w:color w:val="0E0E18"/>
                        <w:spacing w:val="-4"/>
                      </w:rPr>
                      <w:t>2025-2026</w:t>
                    </w:r>
                    <w:r>
                      <w:rPr>
                        <w:color w:val="2D2A38"/>
                        <w:spacing w:val="-4"/>
                      </w:rPr>
                      <w:t>,</w:t>
                    </w:r>
                    <w:r>
                      <w:rPr>
                        <w:color w:val="2D2A38"/>
                        <w:spacing w:val="-12"/>
                      </w:rPr>
                      <w:t> </w:t>
                    </w:r>
                    <w:r>
                      <w:rPr>
                        <w:color w:val="0E0E18"/>
                        <w:spacing w:val="-4"/>
                      </w:rPr>
                      <w:t>31865</w:t>
                    </w:r>
                    <w:r>
                      <w:rPr>
                        <w:color w:val="0E0E18"/>
                        <w:spacing w:val="-1"/>
                      </w:rPr>
                      <w:t> </w:t>
                    </w:r>
                    <w:r>
                      <w:rPr>
                        <w:color w:val="0E0E18"/>
                        <w:spacing w:val="-4"/>
                      </w:rPr>
                      <w:t>nr</w:t>
                    </w:r>
                    <w:r>
                      <w:rPr>
                        <w:color w:val="0E0E18"/>
                        <w:spacing w:val="-5"/>
                      </w:rPr>
                      <w:t> </w:t>
                    </w:r>
                    <w:r>
                      <w:rPr>
                        <w:color w:val="0E0E18"/>
                        <w:spacing w:val="-4"/>
                      </w:rPr>
                      <w:t>309.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61" w:hanging="3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E0E18"/>
        <w:spacing w:val="-1"/>
        <w:w w:val="113"/>
        <w:sz w:val="18"/>
        <w:szCs w:val="18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562" w:hanging="34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365" w:hanging="34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167" w:hanging="34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3970" w:hanging="34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773" w:hanging="34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575" w:hanging="34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378" w:hanging="34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181" w:hanging="340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749" w:right="611" w:hanging="345"/>
      <w:outlineLvl w:val="1"/>
    </w:pPr>
    <w:rPr>
      <w:rFonts w:ascii="Arial" w:hAnsi="Arial" w:eastAsia="Arial" w:cs="Arial"/>
      <w:b/>
      <w:bCs/>
      <w:sz w:val="18"/>
      <w:szCs w:val="18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761" w:right="143" w:hanging="349"/>
    </w:pPr>
    <w:rPr>
      <w:rFonts w:ascii="Arial" w:hAnsi="Arial" w:eastAsia="Arial" w:cs="Arial"/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"/>
      <w:jc w:val="right"/>
    </w:pPr>
    <w:rPr>
      <w:rFonts w:ascii="Arial" w:hAnsi="Arial" w:eastAsia="Arial" w:cs="Arial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LinksUpToDate>false</ap:LinksUpToDate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dc:title/>
  <dcterms:created xsi:type="dcterms:W3CDTF">2026-10-13T09:04:47.0000000Z</dcterms:created>
  <dcterms:modified xsi:type="dcterms:W3CDTF">2026-10-13T09:04:47.0000000Z</dcterms:modified>
  <lastModifiedBy/>
  <dc:description>------------------------</dc:description>
  <dc:subject/>
  <keywords/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2026-10-13T00:00:00Z</vt:filetime>
  </property>
  <property fmtid="{D5CDD505-2E9C-101B-9397-08002B2CF9AE}" pid="3" name="Creator">
    <vt:lpwstr>OmniPage CSDK 19</vt:lpwstr>
  </property>
  <property fmtid="{D5CDD505-2E9C-101B-9397-08002B2CF9AE}" pid="4" name="LastSaved">
    <vt:filetime>2026-10-13T00:00:00Z</vt:filetime>
  </property>
  <property fmtid="{D5CDD505-2E9C-101B-9397-08002B2CF9AE}" pid="5" name="Producer">
    <vt:lpwstr>Acrobat Distiller 26.0 (Windows)</vt:lpwstr>
  </property>
</Properties>
</file>