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BD4705" w:rsidTr="00D9561B" w14:paraId="02FDDFB8" w14:textId="77777777">
        <w:trPr>
          <w:trHeight w:val="1514"/>
        </w:trPr>
        <w:tc>
          <w:tcPr>
            <w:tcW w:w="7522" w:type="dxa"/>
            <w:tcBorders>
              <w:top w:val="nil"/>
              <w:left w:val="nil"/>
              <w:bottom w:val="nil"/>
              <w:right w:val="nil"/>
            </w:tcBorders>
            <w:tcMar>
              <w:left w:w="0" w:type="dxa"/>
              <w:right w:w="0" w:type="dxa"/>
            </w:tcMar>
          </w:tcPr>
          <w:p w:rsidR="00374412" w:rsidP="00D9561B" w:rsidRDefault="002E0AA6" w14:paraId="638DECA6" w14:textId="77777777">
            <w:r>
              <w:t>De v</w:t>
            </w:r>
            <w:r w:rsidR="008E3932">
              <w:t>oorzitter van de Tweede Kamer der Staten-Generaal</w:t>
            </w:r>
          </w:p>
          <w:p w:rsidR="00374412" w:rsidP="00D9561B" w:rsidRDefault="002E0AA6" w14:paraId="56BC84AE" w14:textId="77777777">
            <w:r>
              <w:t>Postbus 20018</w:t>
            </w:r>
          </w:p>
          <w:p w:rsidR="008E3932" w:rsidP="00D9561B" w:rsidRDefault="002E0AA6" w14:paraId="193AE207"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BD4705" w:rsidTr="00FF66F9" w14:paraId="203D4C1D" w14:textId="77777777">
        <w:trPr>
          <w:trHeight w:val="289" w:hRule="exact"/>
        </w:trPr>
        <w:tc>
          <w:tcPr>
            <w:tcW w:w="929" w:type="dxa"/>
          </w:tcPr>
          <w:p w:rsidRPr="00434042" w:rsidR="0005404B" w:rsidP="00FF66F9" w:rsidRDefault="002E0AA6" w14:paraId="607C39A8" w14:textId="77777777">
            <w:pPr>
              <w:rPr>
                <w:lang w:eastAsia="en-US"/>
              </w:rPr>
            </w:pPr>
            <w:r>
              <w:rPr>
                <w:lang w:eastAsia="en-US"/>
              </w:rPr>
              <w:t>Datum</w:t>
            </w:r>
          </w:p>
        </w:tc>
        <w:tc>
          <w:tcPr>
            <w:tcW w:w="6581" w:type="dxa"/>
          </w:tcPr>
          <w:p w:rsidRPr="00434042" w:rsidR="0005404B" w:rsidP="00FF66F9" w:rsidRDefault="000E2035" w14:paraId="18BCDB7F" w14:textId="227DFFFC">
            <w:pPr>
              <w:rPr>
                <w:lang w:eastAsia="en-US"/>
              </w:rPr>
            </w:pPr>
            <w:r>
              <w:rPr>
                <w:szCs w:val="18"/>
              </w:rPr>
              <w:t>12 oktober 2026</w:t>
            </w:r>
          </w:p>
        </w:tc>
      </w:tr>
      <w:tr w:rsidR="00BD4705" w:rsidTr="00FF66F9" w14:paraId="77079CB8" w14:textId="77777777">
        <w:trPr>
          <w:trHeight w:val="368"/>
        </w:trPr>
        <w:tc>
          <w:tcPr>
            <w:tcW w:w="929" w:type="dxa"/>
          </w:tcPr>
          <w:p w:rsidR="0005404B" w:rsidP="00FF66F9" w:rsidRDefault="002E0AA6" w14:paraId="6A9DB81E" w14:textId="77777777">
            <w:pPr>
              <w:rPr>
                <w:lang w:eastAsia="en-US"/>
              </w:rPr>
            </w:pPr>
            <w:r>
              <w:rPr>
                <w:lang w:eastAsia="en-US"/>
              </w:rPr>
              <w:t>Betreft</w:t>
            </w:r>
          </w:p>
        </w:tc>
        <w:tc>
          <w:tcPr>
            <w:tcW w:w="6581" w:type="dxa"/>
          </w:tcPr>
          <w:p w:rsidR="0005404B" w:rsidP="00FF66F9" w:rsidRDefault="002E0AA6" w14:paraId="3FAD50F5" w14:textId="4F6DF71B">
            <w:pPr>
              <w:rPr>
                <w:lang w:eastAsia="en-US"/>
              </w:rPr>
            </w:pPr>
            <w:r>
              <w:rPr>
                <w:lang w:eastAsia="en-US"/>
              </w:rPr>
              <w:t>Toezegging WGO</w:t>
            </w:r>
            <w:r w:rsidR="00907A4D">
              <w:rPr>
                <w:lang w:eastAsia="en-US"/>
              </w:rPr>
              <w:t xml:space="preserve"> implementatie anti-SLAPP-richtlijn</w:t>
            </w:r>
            <w:r>
              <w:rPr>
                <w:lang w:eastAsia="en-US"/>
              </w:rPr>
              <w:t xml:space="preserve"> 29 juni j</w:t>
            </w:r>
            <w:r w:rsidR="00521C75">
              <w:rPr>
                <w:lang w:eastAsia="en-US"/>
              </w:rPr>
              <w:t>l.</w:t>
            </w:r>
          </w:p>
        </w:tc>
      </w:tr>
    </w:tbl>
    <w:p w:rsidR="00BD4705" w:rsidRDefault="001C2C36" w14:paraId="7A143740" w14:textId="77777777">
      <w:r w:rsidRPr="001C2C36">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0E2035" w:rsidR="00BD4705" w:rsidTr="00A421A1" w14:paraId="28E6165F" w14:textId="77777777">
        <w:tc>
          <w:tcPr>
            <w:tcW w:w="2160" w:type="dxa"/>
          </w:tcPr>
          <w:p w:rsidRPr="00F53C9D" w:rsidR="006205C0" w:rsidP="00686AED" w:rsidRDefault="002E0AA6" w14:paraId="74988E8E" w14:textId="77777777">
            <w:pPr>
              <w:pStyle w:val="Colofonkop"/>
              <w:framePr w:hSpace="0" w:wrap="auto" w:hAnchor="text" w:vAnchor="margin" w:xAlign="left" w:yAlign="inline"/>
            </w:pPr>
            <w:r>
              <w:t>Media en Creatieve Industrie</w:t>
            </w:r>
          </w:p>
          <w:p w:rsidR="006205C0" w:rsidP="00A421A1" w:rsidRDefault="002E0AA6" w14:paraId="1BA1C49D" w14:textId="77777777">
            <w:pPr>
              <w:pStyle w:val="Huisstijl-Gegeven"/>
              <w:spacing w:after="0"/>
            </w:pPr>
            <w:r>
              <w:t xml:space="preserve">Rijnstraat 50 </w:t>
            </w:r>
          </w:p>
          <w:p w:rsidR="004425A7" w:rsidP="00E972A2" w:rsidRDefault="002E0AA6" w14:paraId="28008B96" w14:textId="77777777">
            <w:pPr>
              <w:pStyle w:val="Huisstijl-Gegeven"/>
              <w:spacing w:after="0"/>
            </w:pPr>
            <w:r>
              <w:t>Den Haag</w:t>
            </w:r>
          </w:p>
          <w:p w:rsidR="004425A7" w:rsidP="00E972A2" w:rsidRDefault="002E0AA6" w14:paraId="37F7B716" w14:textId="77777777">
            <w:pPr>
              <w:pStyle w:val="Huisstijl-Gegeven"/>
              <w:spacing w:after="0"/>
            </w:pPr>
            <w:r>
              <w:t>Postbus 16375</w:t>
            </w:r>
          </w:p>
          <w:p w:rsidR="004425A7" w:rsidP="00E972A2" w:rsidRDefault="002E0AA6" w14:paraId="3537864F" w14:textId="77777777">
            <w:pPr>
              <w:pStyle w:val="Huisstijl-Gegeven"/>
              <w:spacing w:after="0"/>
            </w:pPr>
            <w:r>
              <w:t>2500 BJ Den Haag</w:t>
            </w:r>
          </w:p>
          <w:p w:rsidR="004425A7" w:rsidP="00E972A2" w:rsidRDefault="002E0AA6" w14:paraId="2E284AD5" w14:textId="77777777">
            <w:pPr>
              <w:pStyle w:val="Huisstijl-Gegeven"/>
              <w:spacing w:after="90"/>
            </w:pPr>
            <w:r>
              <w:t>www.rijksoverheid.nl</w:t>
            </w:r>
          </w:p>
          <w:p w:rsidRPr="00D86CC6" w:rsidR="006205C0" w:rsidP="00A421A1" w:rsidRDefault="002E0AA6" w14:paraId="5ACBA7D1" w14:textId="77777777">
            <w:pPr>
              <w:spacing w:line="180" w:lineRule="exact"/>
              <w:rPr>
                <w:b/>
                <w:sz w:val="13"/>
                <w:szCs w:val="13"/>
              </w:rPr>
            </w:pPr>
            <w:r>
              <w:rPr>
                <w:b/>
                <w:sz w:val="13"/>
                <w:szCs w:val="13"/>
              </w:rPr>
              <w:t>Contactpersoon</w:t>
            </w:r>
          </w:p>
          <w:p w:rsidR="006205C0" w:rsidP="000E2035" w:rsidRDefault="006205C0" w14:paraId="210B8BEE" w14:textId="77777777">
            <w:pPr>
              <w:spacing w:after="90" w:line="180" w:lineRule="exact"/>
              <w:rPr>
                <w:sz w:val="13"/>
                <w:szCs w:val="13"/>
              </w:rPr>
            </w:pPr>
          </w:p>
          <w:p w:rsidRPr="000E2035" w:rsidR="000E2035" w:rsidP="000E2035" w:rsidRDefault="000E2035" w14:paraId="4455C151" w14:textId="1A7A641B">
            <w:pPr>
              <w:spacing w:after="90" w:line="180" w:lineRule="exact"/>
              <w:rPr>
                <w:sz w:val="13"/>
                <w:szCs w:val="13"/>
              </w:rPr>
            </w:pPr>
          </w:p>
        </w:tc>
      </w:tr>
      <w:tr w:rsidRPr="000E2035" w:rsidR="00BD4705" w:rsidTr="00A421A1" w14:paraId="5A51DDF3" w14:textId="77777777">
        <w:trPr>
          <w:trHeight w:val="200" w:hRule="exact"/>
        </w:trPr>
        <w:tc>
          <w:tcPr>
            <w:tcW w:w="2160" w:type="dxa"/>
          </w:tcPr>
          <w:p w:rsidRPr="00521C75" w:rsidR="006205C0" w:rsidP="00A421A1" w:rsidRDefault="006205C0" w14:paraId="1DF4FB1A" w14:textId="77777777">
            <w:pPr>
              <w:spacing w:after="90" w:line="180" w:lineRule="exact"/>
              <w:rPr>
                <w:sz w:val="13"/>
                <w:szCs w:val="13"/>
                <w:lang w:val="en-US"/>
              </w:rPr>
            </w:pPr>
          </w:p>
        </w:tc>
      </w:tr>
      <w:tr w:rsidR="00BD4705" w:rsidTr="00A421A1" w14:paraId="1F1E9ED3" w14:textId="77777777">
        <w:trPr>
          <w:trHeight w:val="450"/>
        </w:trPr>
        <w:tc>
          <w:tcPr>
            <w:tcW w:w="2160" w:type="dxa"/>
          </w:tcPr>
          <w:p w:rsidR="00F51A76" w:rsidP="00A421A1" w:rsidRDefault="002E0AA6" w14:paraId="11BC9463" w14:textId="77777777">
            <w:pPr>
              <w:spacing w:line="180" w:lineRule="exact"/>
              <w:rPr>
                <w:b/>
                <w:sz w:val="13"/>
                <w:szCs w:val="13"/>
              </w:rPr>
            </w:pPr>
            <w:r>
              <w:rPr>
                <w:b/>
                <w:sz w:val="13"/>
                <w:szCs w:val="13"/>
              </w:rPr>
              <w:t>Onze referentie</w:t>
            </w:r>
          </w:p>
          <w:p w:rsidRPr="00FA7882" w:rsidR="006205C0" w:rsidP="00215356" w:rsidRDefault="002E0AA6" w14:paraId="0A955D07" w14:textId="77777777">
            <w:pPr>
              <w:spacing w:line="180" w:lineRule="exact"/>
              <w:rPr>
                <w:sz w:val="13"/>
                <w:szCs w:val="13"/>
              </w:rPr>
            </w:pPr>
            <w:r>
              <w:rPr>
                <w:sz w:val="13"/>
                <w:szCs w:val="13"/>
              </w:rPr>
              <w:t>66299855</w:t>
            </w:r>
          </w:p>
        </w:tc>
      </w:tr>
      <w:tr w:rsidR="00BD4705" w:rsidTr="00A421A1" w14:paraId="37AFFBB4" w14:textId="77777777">
        <w:trPr>
          <w:trHeight w:val="136"/>
        </w:trPr>
        <w:tc>
          <w:tcPr>
            <w:tcW w:w="2160" w:type="dxa"/>
          </w:tcPr>
          <w:p w:rsidRPr="00C5333A" w:rsidR="006205C0" w:rsidP="00A421A1" w:rsidRDefault="002E0AA6" w14:paraId="74BFD0DA" w14:textId="77777777">
            <w:pPr>
              <w:tabs>
                <w:tab w:val="left" w:pos="1890"/>
              </w:tabs>
              <w:spacing w:line="180" w:lineRule="exact"/>
              <w:rPr>
                <w:b/>
                <w:sz w:val="13"/>
                <w:szCs w:val="13"/>
              </w:rPr>
            </w:pPr>
            <w:r w:rsidRPr="00003544">
              <w:rPr>
                <w:b/>
                <w:sz w:val="13"/>
                <w:szCs w:val="13"/>
              </w:rPr>
              <w:t>Uw brief</w:t>
            </w:r>
          </w:p>
          <w:p w:rsidRPr="00E06CD4" w:rsidR="00E91674" w:rsidP="00E210E0" w:rsidRDefault="002E0AA6" w14:paraId="7DBC30FB" w14:textId="77777777">
            <w:pPr>
              <w:tabs>
                <w:tab w:val="left" w:pos="1890"/>
              </w:tabs>
              <w:spacing w:after="92" w:line="180" w:lineRule="exact"/>
              <w:rPr>
                <w:sz w:val="13"/>
                <w:szCs w:val="13"/>
              </w:rPr>
            </w:pPr>
            <w:r>
              <w:rPr>
                <w:sz w:val="13"/>
                <w:szCs w:val="13"/>
              </w:rPr>
              <w:t>15 september 2026</w:t>
            </w:r>
          </w:p>
        </w:tc>
      </w:tr>
      <w:tr w:rsidR="00BD4705" w:rsidTr="00A421A1" w14:paraId="079850BA" w14:textId="77777777">
        <w:trPr>
          <w:trHeight w:val="227"/>
        </w:trPr>
        <w:tc>
          <w:tcPr>
            <w:tcW w:w="2160" w:type="dxa"/>
          </w:tcPr>
          <w:p w:rsidRPr="004A65A5" w:rsidR="006205C0" w:rsidP="00A421A1" w:rsidRDefault="002E0AA6" w14:paraId="7557FF3B" w14:textId="77777777">
            <w:pPr>
              <w:spacing w:line="180" w:lineRule="exact"/>
              <w:rPr>
                <w:b/>
                <w:sz w:val="13"/>
                <w:szCs w:val="13"/>
              </w:rPr>
            </w:pPr>
            <w:r>
              <w:rPr>
                <w:b/>
                <w:sz w:val="13"/>
                <w:szCs w:val="13"/>
              </w:rPr>
              <w:t>Uw referentie</w:t>
            </w:r>
          </w:p>
          <w:p w:rsidRPr="00D74F66" w:rsidR="006205C0" w:rsidP="00A421A1" w:rsidRDefault="006205C0" w14:paraId="4BE76847" w14:textId="77777777">
            <w:pPr>
              <w:spacing w:after="90" w:line="180" w:lineRule="exact"/>
              <w:rPr>
                <w:sz w:val="13"/>
              </w:rPr>
            </w:pPr>
          </w:p>
        </w:tc>
      </w:tr>
    </w:tbl>
    <w:p w:rsidR="0021199E" w:rsidP="0021199E" w:rsidRDefault="0021199E" w14:paraId="30090CDF" w14:textId="77777777">
      <w:r>
        <w:t xml:space="preserve">Hierbij stuur ik u, mede namens </w:t>
      </w:r>
      <w:r w:rsidRPr="00DB037D">
        <w:t xml:space="preserve">de </w:t>
      </w:r>
      <w:r w:rsidRPr="00F82306">
        <w:t>S</w:t>
      </w:r>
      <w:r w:rsidRPr="00DB037D">
        <w:t>taatssecretaris</w:t>
      </w:r>
      <w:r>
        <w:t xml:space="preserve"> van Justitie en Veiligheid, de brief </w:t>
      </w:r>
      <w:r w:rsidRPr="00000778">
        <w:t xml:space="preserve">over de informatievoorziening en afstemming in Caribisch Nederland inzake </w:t>
      </w:r>
      <w:proofErr w:type="spellStart"/>
      <w:r w:rsidRPr="00000778">
        <w:t>SLAPPs</w:t>
      </w:r>
      <w:proofErr w:type="spellEnd"/>
      <w:r w:rsidRPr="00000778">
        <w:rPr>
          <w:rStyle w:val="Voetnootmarkering"/>
        </w:rPr>
        <w:footnoteReference w:id="1"/>
      </w:r>
      <w:r w:rsidRPr="00000778">
        <w:t>. Deze brief is</w:t>
      </w:r>
      <w:r>
        <w:t xml:space="preserve"> op 29 juni jongstleden toegezegd in het wetgevingsoverleg over het implementatiewetsvoorstel van de anti-SLAPP-</w:t>
      </w:r>
      <w:bookmarkStart w:name="_Hlk240961906" w:id="0"/>
      <w:r>
        <w:t>richtlijn</w:t>
      </w:r>
      <w:bookmarkEnd w:id="0"/>
      <w:r>
        <w:rPr>
          <w:rStyle w:val="Voetnootmarkering"/>
        </w:rPr>
        <w:footnoteReference w:id="2"/>
      </w:r>
      <w:r>
        <w:t>.</w:t>
      </w:r>
    </w:p>
    <w:p w:rsidR="0021199E" w:rsidP="0021199E" w:rsidRDefault="0021199E" w14:paraId="663FA1BF" w14:textId="77777777"/>
    <w:p w:rsidRPr="00000778" w:rsidR="0021199E" w:rsidP="0021199E" w:rsidRDefault="0021199E" w14:paraId="322D1B51" w14:textId="1B28B327">
      <w:r>
        <w:t>In het wetgevingsoverleg deed</w:t>
      </w:r>
      <w:r w:rsidRPr="00000778">
        <w:t xml:space="preserve"> </w:t>
      </w:r>
      <w:r>
        <w:t xml:space="preserve">de </w:t>
      </w:r>
      <w:r w:rsidRPr="00000778">
        <w:t>S</w:t>
      </w:r>
      <w:r>
        <w:t>taatssecretaris van Justitie en Veiligheid de toezegging</w:t>
      </w:r>
      <w:r w:rsidRPr="00000778">
        <w:t xml:space="preserve"> uiteen te zetten wat er </w:t>
      </w:r>
      <w:r w:rsidRPr="00000778" w:rsidR="00FF1E36">
        <w:t xml:space="preserve">in het licht van de richtlijn </w:t>
      </w:r>
      <w:r w:rsidRPr="00000778">
        <w:t xml:space="preserve">wordt gedaan </w:t>
      </w:r>
      <w:r w:rsidR="00FF1E36">
        <w:t>aan</w:t>
      </w:r>
      <w:r w:rsidRPr="00000778">
        <w:t xml:space="preserve"> informatievoorziening en afstemming in het Caribisch deel van het Koninkrijk. Het doel van de richtlijn is om deelnemers aan het publieke debat beter te beschermen, onder meer met een aantal procedurele waarborgen (bijvoorbeeld de mogelijkheid van vroegtijdige afwijzing van kennelijk ongegronde vorderingen, zekerheidstelling en volledige proceskostenveroordeling), en (beleids-) maatregelen (informatieverschaffing en ondersteuning</w:t>
      </w:r>
      <w:r w:rsidRPr="00DB037D">
        <w:t>). Voor Europees Nederland zijn alleen voor de zekerheidstelling en voor de proceskostenveroordeling aanvullende bepalingen in het Wetboek van Burgerlijke Rechtsvordering (Rv) ingevoerd omdat de overige maatregelen al deel uitmaken van het Nederlandse burgerlijk procesrecht.</w:t>
      </w:r>
      <w:r w:rsidRPr="00DB037D">
        <w:rPr>
          <w:rStyle w:val="Voetnootmarkering"/>
        </w:rPr>
        <w:footnoteReference w:id="3"/>
      </w:r>
      <w:r w:rsidRPr="000375A3">
        <w:t xml:space="preserve"> </w:t>
      </w:r>
      <w:r>
        <w:t>Ik draag verantwoordelijkheid voor de beleidsmatige implementatie van de richtlijn in het mediabeleid. Hieronder valt ook de bescherming van journalisten die doelwit van een SLAPP kunnen zijn.</w:t>
      </w:r>
    </w:p>
    <w:p w:rsidRPr="00000778" w:rsidR="0021199E" w:rsidP="0021199E" w:rsidRDefault="0021199E" w14:paraId="077DC0BB" w14:textId="77777777"/>
    <w:p w:rsidRPr="00000778" w:rsidR="0021199E" w:rsidP="0021199E" w:rsidRDefault="0021199E" w14:paraId="7E57724A" w14:textId="77777777">
      <w:pPr>
        <w:rPr>
          <w:i/>
          <w:iCs/>
        </w:rPr>
      </w:pPr>
      <w:r w:rsidRPr="00000778">
        <w:rPr>
          <w:i/>
          <w:iCs/>
        </w:rPr>
        <w:t>Wetgeving</w:t>
      </w:r>
    </w:p>
    <w:p w:rsidR="0021199E" w:rsidP="0021199E" w:rsidRDefault="0021199E" w14:paraId="7BC86F19" w14:textId="77777777">
      <w:r w:rsidRPr="00000778">
        <w:t xml:space="preserve">Voor </w:t>
      </w:r>
      <w:r w:rsidRPr="00F47873">
        <w:t>Caribisch Nederland is bekeken in hoeverre deze procedurele waarborgen om op te</w:t>
      </w:r>
      <w:r>
        <w:t xml:space="preserve"> treden tegen </w:t>
      </w:r>
      <w:proofErr w:type="spellStart"/>
      <w:r>
        <w:t>SLAPPs</w:t>
      </w:r>
      <w:proofErr w:type="spellEnd"/>
      <w:r>
        <w:t xml:space="preserve"> ook daar gelden of kunnen gaan gelden.</w:t>
      </w:r>
      <w:r w:rsidRPr="00521C75">
        <w:t xml:space="preserve"> </w:t>
      </w:r>
      <w:r>
        <w:t xml:space="preserve">Bij de </w:t>
      </w:r>
      <w:r>
        <w:lastRenderedPageBreak/>
        <w:t>toepassing van Europees-Nederlandse wetgeving in Caribisch Nederland geldt immers het beginsel van «</w:t>
      </w:r>
      <w:proofErr w:type="spellStart"/>
      <w:r>
        <w:t>comply</w:t>
      </w:r>
      <w:proofErr w:type="spellEnd"/>
      <w:r>
        <w:t xml:space="preserve"> or </w:t>
      </w:r>
      <w:proofErr w:type="spellStart"/>
      <w:r>
        <w:t>explain</w:t>
      </w:r>
      <w:proofErr w:type="spellEnd"/>
      <w:r>
        <w:t xml:space="preserve">» (pas toe of leg uit). Dit houdt in dat, hoewel de richtlijn alleen geldt voor Europees Nederland, de Nederlandse wetgeving ter omzetting daarvan ook in Caribisch Nederland van toepassing wordt, tenzij er redenen zijn om dat niet te doen. Gebleken is dat ook het Wetboek van Burgerlijke Rechtsvordering BES al voorziet in veel van de procedurele waarborgen tegen </w:t>
      </w:r>
      <w:proofErr w:type="spellStart"/>
      <w:r>
        <w:t>SLAPPs</w:t>
      </w:r>
      <w:proofErr w:type="spellEnd"/>
      <w:r>
        <w:t>. Er zijn geen redenen om de aanvullende waarborgen voor het stellen van zekerheid en de vergoeding van de volledige proceskosten niet ook in te voeren in Caribisch Nederland. Een aanpassing daartoe wordt meegenomen in de Vereenvoudigingsvoorstellen Justitie en Veiligheid 2027.</w:t>
      </w:r>
    </w:p>
    <w:p w:rsidR="0021199E" w:rsidP="0021199E" w:rsidRDefault="0021199E" w14:paraId="68F8BF55" w14:textId="77777777"/>
    <w:p w:rsidRPr="00822490" w:rsidR="0021199E" w:rsidP="0021199E" w:rsidRDefault="0021199E" w14:paraId="29D10A21" w14:textId="77777777">
      <w:pPr>
        <w:rPr>
          <w:i/>
          <w:iCs/>
          <w:highlight w:val="yellow"/>
        </w:rPr>
      </w:pPr>
      <w:r w:rsidRPr="00F47873">
        <w:rPr>
          <w:i/>
          <w:iCs/>
        </w:rPr>
        <w:t>Beleidsmatige maatregelen</w:t>
      </w:r>
    </w:p>
    <w:p w:rsidR="0021199E" w:rsidP="0021199E" w:rsidRDefault="0021199E" w14:paraId="537E5D31" w14:textId="77777777">
      <w:pPr>
        <w:rPr>
          <w:szCs w:val="18"/>
        </w:rPr>
      </w:pPr>
      <w:r w:rsidRPr="00F47873">
        <w:t xml:space="preserve">Voor wat betreft de </w:t>
      </w:r>
      <w:r>
        <w:t>vraag wat aan journalisten wordt geboden</w:t>
      </w:r>
      <w:r w:rsidRPr="00F47873">
        <w:t xml:space="preserve"> kan het volgende worden gemeld.</w:t>
      </w:r>
      <w:r>
        <w:t xml:space="preserve"> Naar aanleiding van het werkbezoek in 2023 van toenmalig Staatssecretaris van OCW Uslu </w:t>
      </w:r>
      <w:r w:rsidRPr="00BB0956">
        <w:t>aan</w:t>
      </w:r>
      <w:r>
        <w:t xml:space="preserve"> het</w:t>
      </w:r>
      <w:r w:rsidRPr="00BB0956">
        <w:t xml:space="preserve"> Caribisch </w:t>
      </w:r>
      <w:r>
        <w:t>deel van het Koninkrijk</w:t>
      </w:r>
      <w:r w:rsidRPr="00BB0956">
        <w:t xml:space="preserve"> is in oktober 2024 een tweejarig traject gestart om </w:t>
      </w:r>
      <w:r>
        <w:t>te verkennen</w:t>
      </w:r>
      <w:r w:rsidRPr="00BB0956">
        <w:t xml:space="preserve"> hoe de journalistieke sector in </w:t>
      </w:r>
      <w:r>
        <w:t>Caribisch Nederland</w:t>
      </w:r>
      <w:r w:rsidRPr="00BB0956">
        <w:t xml:space="preserve"> versterkt kan worden. Hiervoor is een onafhankelijke verkenner aangesteld. Naast het in kaart brengen van de sector werkt de verkenner als bruggenbouwer tussen lokale journalisten, stakeholders en overheden. Tijdens de verkenning is een aantal onderwerpen geïdentificeerd waarover een advies wordt geschreven</w:t>
      </w:r>
      <w:r w:rsidRPr="00F47873">
        <w:t>. Deze twee onderwerpen</w:t>
      </w:r>
      <w:r w:rsidRPr="00BB0956">
        <w:t xml:space="preserve"> - professionalisering en (media)onderwijs - worden besproken in </w:t>
      </w:r>
      <w:r w:rsidRPr="00BB0956">
        <w:rPr>
          <w:szCs w:val="18"/>
        </w:rPr>
        <w:t>lokale werkgroepen (</w:t>
      </w:r>
      <w:proofErr w:type="spellStart"/>
      <w:r w:rsidRPr="00BB0956">
        <w:rPr>
          <w:szCs w:val="18"/>
        </w:rPr>
        <w:t>taskforces</w:t>
      </w:r>
      <w:proofErr w:type="spellEnd"/>
      <w:r w:rsidRPr="00BB0956">
        <w:rPr>
          <w:szCs w:val="18"/>
        </w:rPr>
        <w:t xml:space="preserve">) die op de BES-en CAS-eilanden zijn opgezet. De eerste bevindingen van de verkenning geven een complex journalistiek veld weer. Er zijn uitdagingen op het gebied van journalistieke educatie (training, opleidingen), zelfregulering, ethische codes en journalistieke statuten. Over het algemeen zijn er geen gedragscodes en ontbreekt het aan belangenvereniging(en) en publieke media. </w:t>
      </w:r>
    </w:p>
    <w:p w:rsidR="0021199E" w:rsidP="0021199E" w:rsidRDefault="0021199E" w14:paraId="31CA0C66" w14:textId="77777777">
      <w:pPr>
        <w:rPr>
          <w:szCs w:val="18"/>
        </w:rPr>
      </w:pPr>
    </w:p>
    <w:p w:rsidRPr="00BB0956" w:rsidR="0021199E" w:rsidP="0021199E" w:rsidRDefault="0021199E" w14:paraId="2F4A789A" w14:textId="75F93D51">
      <w:pPr>
        <w:rPr>
          <w:szCs w:val="18"/>
        </w:rPr>
      </w:pPr>
      <w:r>
        <w:rPr>
          <w:rFonts w:eastAsiaTheme="minorHAnsi" w:cstheme="minorBidi"/>
          <w:kern w:val="2"/>
          <w:szCs w:val="18"/>
          <w:lang w:eastAsia="en-US"/>
          <w14:ligatures w14:val="standardContextual"/>
        </w:rPr>
        <w:t xml:space="preserve">Het rapport van de verkenner wordt in het najaar verwacht. Dit moet een duidelijker beeld geven welke beleidsmaatregelen mogelijk zijn om de journalistieke sector te versterken in </w:t>
      </w:r>
      <w:r>
        <w:t>Caribisch Nederland</w:t>
      </w:r>
      <w:r>
        <w:rPr>
          <w:rFonts w:eastAsiaTheme="minorHAnsi" w:cstheme="minorBidi"/>
          <w:kern w:val="2"/>
          <w:szCs w:val="18"/>
          <w:lang w:eastAsia="en-US"/>
          <w14:ligatures w14:val="standardContextual"/>
        </w:rPr>
        <w:t xml:space="preserve">. Onderzoek naar </w:t>
      </w:r>
      <w:proofErr w:type="spellStart"/>
      <w:r>
        <w:rPr>
          <w:rFonts w:eastAsiaTheme="minorHAnsi" w:cstheme="minorBidi"/>
          <w:kern w:val="2"/>
          <w:szCs w:val="18"/>
          <w:lang w:eastAsia="en-US"/>
          <w14:ligatures w14:val="standardContextual"/>
        </w:rPr>
        <w:t>SLAPPs</w:t>
      </w:r>
      <w:proofErr w:type="spellEnd"/>
      <w:r>
        <w:rPr>
          <w:rFonts w:eastAsiaTheme="minorHAnsi" w:cstheme="minorBidi"/>
          <w:kern w:val="2"/>
          <w:szCs w:val="18"/>
          <w:lang w:eastAsia="en-US"/>
          <w14:ligatures w14:val="standardContextual"/>
        </w:rPr>
        <w:t xml:space="preserve"> viel niet binnen de opdracht zoals die nu wordt afgerond. In de opvolging van het rapport zal de vraa</w:t>
      </w:r>
      <w:r w:rsidR="00DC001E">
        <w:rPr>
          <w:rFonts w:eastAsiaTheme="minorHAnsi" w:cstheme="minorBidi"/>
          <w:kern w:val="2"/>
          <w:szCs w:val="18"/>
          <w:lang w:eastAsia="en-US"/>
          <w14:ligatures w14:val="standardContextual"/>
        </w:rPr>
        <w:t xml:space="preserve">g worden gesteld </w:t>
      </w:r>
      <w:r>
        <w:rPr>
          <w:rFonts w:eastAsiaTheme="minorHAnsi" w:cstheme="minorBidi"/>
          <w:kern w:val="2"/>
          <w:szCs w:val="18"/>
          <w:lang w:eastAsia="en-US"/>
          <w14:ligatures w14:val="standardContextual"/>
        </w:rPr>
        <w:t xml:space="preserve">op welke manier in het kader van </w:t>
      </w:r>
      <w:proofErr w:type="spellStart"/>
      <w:r>
        <w:rPr>
          <w:rFonts w:eastAsiaTheme="minorHAnsi" w:cstheme="minorBidi"/>
          <w:kern w:val="2"/>
          <w:szCs w:val="18"/>
          <w:lang w:eastAsia="en-US"/>
          <w14:ligatures w14:val="standardContextual"/>
        </w:rPr>
        <w:t>SLAPPs</w:t>
      </w:r>
      <w:proofErr w:type="spellEnd"/>
      <w:r>
        <w:rPr>
          <w:rFonts w:eastAsiaTheme="minorHAnsi" w:cstheme="minorBidi"/>
          <w:kern w:val="2"/>
          <w:szCs w:val="18"/>
          <w:lang w:eastAsia="en-US"/>
          <w14:ligatures w14:val="standardContextual"/>
        </w:rPr>
        <w:t xml:space="preserve"> aandacht en/of ondersteuning kan worden geboden richting de journalistieke sector. Hierover zal </w:t>
      </w:r>
      <w:r w:rsidR="00FF1E36">
        <w:rPr>
          <w:rFonts w:eastAsiaTheme="minorHAnsi" w:cstheme="minorBidi"/>
          <w:kern w:val="2"/>
          <w:szCs w:val="18"/>
          <w:lang w:eastAsia="en-US"/>
          <w14:ligatures w14:val="standardContextual"/>
        </w:rPr>
        <w:t>ik</w:t>
      </w:r>
      <w:r w:rsidR="00AC6320">
        <w:rPr>
          <w:rFonts w:eastAsiaTheme="minorHAnsi" w:cstheme="minorBidi"/>
          <w:kern w:val="2"/>
          <w:szCs w:val="18"/>
          <w:lang w:eastAsia="en-US"/>
          <w14:ligatures w14:val="standardContextual"/>
        </w:rPr>
        <w:t xml:space="preserve">, de minister van OCW, </w:t>
      </w:r>
      <w:r>
        <w:rPr>
          <w:rFonts w:eastAsiaTheme="minorHAnsi" w:cstheme="minorBidi"/>
          <w:kern w:val="2"/>
          <w:szCs w:val="18"/>
          <w:lang w:eastAsia="en-US"/>
          <w14:ligatures w14:val="standardContextual"/>
        </w:rPr>
        <w:t xml:space="preserve">uw Kamer dan verder </w:t>
      </w:r>
      <w:r w:rsidR="00FF1E36">
        <w:rPr>
          <w:rFonts w:eastAsiaTheme="minorHAnsi" w:cstheme="minorBidi"/>
          <w:kern w:val="2"/>
          <w:szCs w:val="18"/>
          <w:lang w:eastAsia="en-US"/>
          <w14:ligatures w14:val="standardContextual"/>
        </w:rPr>
        <w:t>informeren</w:t>
      </w:r>
      <w:r>
        <w:rPr>
          <w:rFonts w:eastAsiaTheme="minorHAnsi" w:cstheme="minorBidi"/>
          <w:kern w:val="2"/>
          <w:szCs w:val="18"/>
          <w:lang w:eastAsia="en-US"/>
          <w14:ligatures w14:val="standardContextual"/>
        </w:rPr>
        <w:t>.</w:t>
      </w:r>
    </w:p>
    <w:p w:rsidR="0021199E" w:rsidP="0021199E" w:rsidRDefault="0021199E" w14:paraId="570173BA" w14:textId="77777777"/>
    <w:p w:rsidR="0021199E" w:rsidP="0021199E" w:rsidRDefault="0021199E" w14:paraId="6DC180DB" w14:textId="77777777">
      <w:r>
        <w:t>De minister van Onderwijs, Cultuur en Wetenschap,</w:t>
      </w:r>
    </w:p>
    <w:p w:rsidR="0021199E" w:rsidP="0021199E" w:rsidRDefault="0021199E" w14:paraId="33794D0B" w14:textId="77777777"/>
    <w:p w:rsidR="0021199E" w:rsidP="0021199E" w:rsidRDefault="0021199E" w14:paraId="4F8D5FA9" w14:textId="77777777"/>
    <w:p w:rsidR="0021199E" w:rsidP="0021199E" w:rsidRDefault="0021199E" w14:paraId="7D9BA6DD" w14:textId="77777777"/>
    <w:p w:rsidR="0021199E" w:rsidP="0021199E" w:rsidRDefault="0021199E" w14:paraId="575D6FA2" w14:textId="77777777">
      <w:pPr>
        <w:rPr>
          <w:lang w:eastAsia="en-US"/>
        </w:rPr>
      </w:pPr>
      <w:r w:rsidRPr="006C6CF8">
        <w:rPr>
          <w:lang w:eastAsia="en-US"/>
        </w:rPr>
        <w:t xml:space="preserve">Rianne </w:t>
      </w:r>
      <w:proofErr w:type="spellStart"/>
      <w:r w:rsidRPr="006C6CF8">
        <w:rPr>
          <w:lang w:eastAsia="en-US"/>
        </w:rPr>
        <w:t>Letschert</w:t>
      </w:r>
      <w:proofErr w:type="spellEnd"/>
    </w:p>
    <w:p w:rsidR="0071770A" w:rsidP="003A7160" w:rsidRDefault="0071770A" w14:paraId="428C8CF1" w14:textId="77777777">
      <w:pPr>
        <w:rPr>
          <w:lang w:eastAsia="en-US"/>
        </w:rPr>
      </w:pPr>
    </w:p>
    <w:p w:rsidR="0071770A" w:rsidP="003A7160" w:rsidRDefault="0071770A" w14:paraId="1FCE1947" w14:textId="77777777"/>
    <w:p w:rsidR="00F01557" w:rsidP="003A7160" w:rsidRDefault="00F01557" w14:paraId="2DA86142" w14:textId="77777777"/>
    <w:p w:rsidR="00F01557" w:rsidP="003A7160" w:rsidRDefault="00F01557" w14:paraId="2FA7EBC2" w14:textId="77777777"/>
    <w:sectPr w:rsidR="00F01557" w:rsidSect="002F493B">
      <w:headerReference w:type="even" r:id="rId8"/>
      <w:headerReference w:type="default" r:id="rId9"/>
      <w:footerReference w:type="even" r:id="rId10"/>
      <w:footerReference w:type="default" r:id="rId11"/>
      <w:headerReference w:type="first" r:id="rId12"/>
      <w:footerReference w:type="first" r:id="rId13"/>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A05A0" w14:textId="77777777" w:rsidR="003B79ED" w:rsidRDefault="003B79ED">
      <w:r>
        <w:separator/>
      </w:r>
    </w:p>
    <w:p w14:paraId="1536B5FA" w14:textId="77777777" w:rsidR="003B79ED" w:rsidRDefault="003B79ED"/>
  </w:endnote>
  <w:endnote w:type="continuationSeparator" w:id="0">
    <w:p w14:paraId="053F52FE" w14:textId="77777777" w:rsidR="003B79ED" w:rsidRDefault="003B79ED">
      <w:r>
        <w:continuationSeparator/>
      </w:r>
    </w:p>
    <w:p w14:paraId="695F8A73" w14:textId="77777777" w:rsidR="003B79ED" w:rsidRDefault="003B79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A99A8"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5F45"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BD4705" w14:paraId="7F5CFFE4" w14:textId="77777777" w:rsidTr="004C7E1D">
      <w:trPr>
        <w:trHeight w:hRule="exact" w:val="357"/>
      </w:trPr>
      <w:tc>
        <w:tcPr>
          <w:tcW w:w="7603" w:type="dxa"/>
        </w:tcPr>
        <w:p w14:paraId="15C1BC3A" w14:textId="77777777" w:rsidR="002F71BB" w:rsidRPr="004C7E1D" w:rsidRDefault="002F71BB" w:rsidP="004C7E1D">
          <w:pPr>
            <w:spacing w:line="180" w:lineRule="exact"/>
            <w:rPr>
              <w:sz w:val="13"/>
              <w:szCs w:val="13"/>
            </w:rPr>
          </w:pPr>
        </w:p>
      </w:tc>
      <w:tc>
        <w:tcPr>
          <w:tcW w:w="2172" w:type="dxa"/>
        </w:tcPr>
        <w:p w14:paraId="445EAE99" w14:textId="6014BA91" w:rsidR="002F71BB" w:rsidRPr="004C7E1D" w:rsidRDefault="002E0AA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E2035">
            <w:rPr>
              <w:szCs w:val="13"/>
            </w:rPr>
            <w:t>2</w:t>
          </w:r>
          <w:r w:rsidRPr="004C7E1D">
            <w:rPr>
              <w:szCs w:val="13"/>
            </w:rPr>
            <w:fldChar w:fldCharType="end"/>
          </w:r>
        </w:p>
      </w:tc>
    </w:tr>
  </w:tbl>
  <w:p w14:paraId="2DD1C5A4"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BD4705" w14:paraId="69F4DF7F" w14:textId="77777777" w:rsidTr="004C7E1D">
      <w:trPr>
        <w:trHeight w:hRule="exact" w:val="357"/>
      </w:trPr>
      <w:tc>
        <w:tcPr>
          <w:tcW w:w="7709" w:type="dxa"/>
        </w:tcPr>
        <w:p w14:paraId="2A96AACC" w14:textId="77777777" w:rsidR="00D17084" w:rsidRPr="004C7E1D" w:rsidRDefault="00D17084" w:rsidP="004C7E1D">
          <w:pPr>
            <w:spacing w:line="180" w:lineRule="exact"/>
            <w:rPr>
              <w:sz w:val="13"/>
              <w:szCs w:val="13"/>
            </w:rPr>
          </w:pPr>
        </w:p>
      </w:tc>
      <w:tc>
        <w:tcPr>
          <w:tcW w:w="2060" w:type="dxa"/>
        </w:tcPr>
        <w:p w14:paraId="7123154B" w14:textId="2DE548AA" w:rsidR="00D17084" w:rsidRPr="004C7E1D" w:rsidRDefault="002E0AA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0E2035">
            <w:rPr>
              <w:szCs w:val="13"/>
            </w:rPr>
            <w:t>2</w:t>
          </w:r>
          <w:r w:rsidRPr="004C7E1D">
            <w:rPr>
              <w:szCs w:val="13"/>
            </w:rPr>
            <w:fldChar w:fldCharType="end"/>
          </w:r>
        </w:p>
      </w:tc>
    </w:tr>
  </w:tbl>
  <w:p w14:paraId="722EF1B6"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74A4E" w14:textId="77777777" w:rsidR="003B79ED" w:rsidRDefault="003B79ED">
      <w:r>
        <w:separator/>
      </w:r>
    </w:p>
    <w:p w14:paraId="590A7790" w14:textId="77777777" w:rsidR="003B79ED" w:rsidRDefault="003B79ED"/>
  </w:footnote>
  <w:footnote w:type="continuationSeparator" w:id="0">
    <w:p w14:paraId="01429497" w14:textId="77777777" w:rsidR="003B79ED" w:rsidRDefault="003B79ED">
      <w:r>
        <w:continuationSeparator/>
      </w:r>
    </w:p>
    <w:p w14:paraId="724B1F4C" w14:textId="77777777" w:rsidR="003B79ED" w:rsidRDefault="003B79ED"/>
  </w:footnote>
  <w:footnote w:id="1">
    <w:p w14:paraId="3F840361" w14:textId="77777777" w:rsidR="0021199E" w:rsidRPr="00521C75" w:rsidRDefault="0021199E" w:rsidP="0021199E">
      <w:pPr>
        <w:pStyle w:val="Voetnoottekst"/>
        <w:rPr>
          <w:sz w:val="16"/>
          <w:szCs w:val="16"/>
        </w:rPr>
      </w:pPr>
      <w:r w:rsidRPr="00521C75">
        <w:rPr>
          <w:rStyle w:val="Voetnootmarkering"/>
          <w:sz w:val="16"/>
          <w:szCs w:val="16"/>
        </w:rPr>
        <w:footnoteRef/>
      </w:r>
      <w:r w:rsidRPr="00521C75">
        <w:rPr>
          <w:sz w:val="16"/>
          <w:szCs w:val="16"/>
        </w:rPr>
        <w:t xml:space="preserve"> </w:t>
      </w:r>
      <w:proofErr w:type="spellStart"/>
      <w:r w:rsidRPr="00521C75">
        <w:rPr>
          <w:sz w:val="16"/>
          <w:szCs w:val="16"/>
        </w:rPr>
        <w:t>SLAPPs</w:t>
      </w:r>
      <w:proofErr w:type="spellEnd"/>
      <w:r w:rsidRPr="00521C75">
        <w:rPr>
          <w:sz w:val="16"/>
          <w:szCs w:val="16"/>
        </w:rPr>
        <w:t xml:space="preserve"> staat voor de Engelstalige afkorting van Strategic </w:t>
      </w:r>
      <w:proofErr w:type="spellStart"/>
      <w:r w:rsidRPr="00521C75">
        <w:rPr>
          <w:sz w:val="16"/>
          <w:szCs w:val="16"/>
        </w:rPr>
        <w:t>Lawsuits</w:t>
      </w:r>
      <w:proofErr w:type="spellEnd"/>
      <w:r w:rsidRPr="00521C75">
        <w:rPr>
          <w:sz w:val="16"/>
          <w:szCs w:val="16"/>
        </w:rPr>
        <w:t xml:space="preserve"> </w:t>
      </w:r>
      <w:proofErr w:type="spellStart"/>
      <w:r w:rsidRPr="00521C75">
        <w:rPr>
          <w:sz w:val="16"/>
          <w:szCs w:val="16"/>
        </w:rPr>
        <w:t>Against</w:t>
      </w:r>
      <w:proofErr w:type="spellEnd"/>
      <w:r w:rsidRPr="00521C75">
        <w:rPr>
          <w:sz w:val="16"/>
          <w:szCs w:val="16"/>
        </w:rPr>
        <w:t xml:space="preserve"> Public </w:t>
      </w:r>
      <w:proofErr w:type="spellStart"/>
      <w:r w:rsidRPr="00521C75">
        <w:rPr>
          <w:sz w:val="16"/>
          <w:szCs w:val="16"/>
        </w:rPr>
        <w:t>Participation</w:t>
      </w:r>
      <w:proofErr w:type="spellEnd"/>
      <w:r w:rsidRPr="00521C75">
        <w:rPr>
          <w:sz w:val="16"/>
          <w:szCs w:val="16"/>
        </w:rPr>
        <w:t>, vertaald als strategische rechtszaken tegen publieke participatie.</w:t>
      </w:r>
    </w:p>
  </w:footnote>
  <w:footnote w:id="2">
    <w:p w14:paraId="4682774E" w14:textId="77777777" w:rsidR="0021199E" w:rsidRPr="00521C75" w:rsidRDefault="0021199E" w:rsidP="0021199E">
      <w:pPr>
        <w:pStyle w:val="Voetnoottekst"/>
        <w:rPr>
          <w:sz w:val="16"/>
          <w:szCs w:val="16"/>
        </w:rPr>
      </w:pPr>
      <w:r>
        <w:rPr>
          <w:rStyle w:val="Voetnootmarkering"/>
        </w:rPr>
        <w:footnoteRef/>
      </w:r>
      <w:r>
        <w:rPr>
          <w:sz w:val="16"/>
          <w:szCs w:val="16"/>
        </w:rPr>
        <w:t xml:space="preserve"> </w:t>
      </w:r>
      <w:r w:rsidRPr="00FD215D">
        <w:rPr>
          <w:sz w:val="16"/>
          <w:szCs w:val="16"/>
        </w:rPr>
        <w:t>Richtlijn (EU) 2024/1069 van het Europees Parlement en de Raad van 11 april 2024 betreffende bescherming van bij publieke participatie betrokken personen tegen kennelijk ongegronde vorderingen of misbruik van procesrecht («strategische rechtszaken tegen publieke participatie»)</w:t>
      </w:r>
      <w:r>
        <w:rPr>
          <w:sz w:val="16"/>
          <w:szCs w:val="16"/>
        </w:rPr>
        <w:t>,</w:t>
      </w:r>
      <w:r w:rsidRPr="00521C75">
        <w:rPr>
          <w:sz w:val="16"/>
          <w:szCs w:val="16"/>
        </w:rPr>
        <w:t xml:space="preserve"> </w:t>
      </w:r>
      <w:hyperlink r:id="rId1" w:history="1">
        <w:r w:rsidRPr="00164CCC">
          <w:rPr>
            <w:rStyle w:val="Hyperlink"/>
            <w:sz w:val="16"/>
            <w:szCs w:val="16"/>
          </w:rPr>
          <w:t>https://eur-lex.europa.eu/legal-content/NL/TXT/?uri=CELEX:32024L1069</w:t>
        </w:r>
      </w:hyperlink>
    </w:p>
  </w:footnote>
  <w:footnote w:id="3">
    <w:p w14:paraId="1627C7BA" w14:textId="05F24824" w:rsidR="0021199E" w:rsidRPr="00822490" w:rsidRDefault="0021199E" w:rsidP="0021199E">
      <w:pPr>
        <w:pStyle w:val="Voetnoottekst"/>
        <w:rPr>
          <w:sz w:val="16"/>
          <w:szCs w:val="16"/>
        </w:rPr>
      </w:pPr>
      <w:r w:rsidRPr="00822490">
        <w:rPr>
          <w:rStyle w:val="Voetnootmarkering"/>
          <w:sz w:val="16"/>
          <w:szCs w:val="16"/>
        </w:rPr>
        <w:footnoteRef/>
      </w:r>
      <w:r w:rsidRPr="00822490">
        <w:rPr>
          <w:sz w:val="16"/>
          <w:szCs w:val="16"/>
        </w:rPr>
        <w:t xml:space="preserve"> De</w:t>
      </w:r>
      <w:r w:rsidR="00824B43">
        <w:rPr>
          <w:sz w:val="16"/>
          <w:szCs w:val="16"/>
        </w:rPr>
        <w:t xml:space="preserve"> </w:t>
      </w:r>
      <w:r w:rsidRPr="00822490">
        <w:rPr>
          <w:sz w:val="16"/>
          <w:szCs w:val="16"/>
        </w:rPr>
        <w:t xml:space="preserve">bepaling </w:t>
      </w:r>
      <w:r>
        <w:rPr>
          <w:sz w:val="16"/>
          <w:szCs w:val="16"/>
        </w:rPr>
        <w:t xml:space="preserve">over de proceskostenveroordeling </w:t>
      </w:r>
      <w:r w:rsidRPr="00822490">
        <w:rPr>
          <w:sz w:val="16"/>
          <w:szCs w:val="16"/>
        </w:rPr>
        <w:t>van artikel 237 lid 6</w:t>
      </w:r>
      <w:r>
        <w:rPr>
          <w:sz w:val="16"/>
          <w:szCs w:val="16"/>
        </w:rPr>
        <w:t xml:space="preserve"> en 7</w:t>
      </w:r>
      <w:r w:rsidRPr="00822490">
        <w:rPr>
          <w:sz w:val="16"/>
          <w:szCs w:val="16"/>
        </w:rPr>
        <w:t xml:space="preserve"> is ingevoerd bij amendement</w:t>
      </w:r>
      <w:r>
        <w:rPr>
          <w:sz w:val="16"/>
          <w:szCs w:val="16"/>
        </w:rPr>
        <w:t xml:space="preserve">, </w:t>
      </w:r>
      <w:r>
        <w:rPr>
          <w:i/>
          <w:iCs/>
          <w:sz w:val="16"/>
          <w:szCs w:val="16"/>
        </w:rPr>
        <w:t>Kamerstukken II 2025/26</w:t>
      </w:r>
      <w:r>
        <w:rPr>
          <w:sz w:val="16"/>
          <w:szCs w:val="16"/>
        </w:rPr>
        <w:t>, 36731, nr. 8.</w:t>
      </w:r>
      <w:r w:rsidRPr="00822490">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5AED"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BD4705" w14:paraId="1A58A100" w14:textId="77777777" w:rsidTr="006D2D53">
      <w:trPr>
        <w:trHeight w:hRule="exact" w:val="400"/>
      </w:trPr>
      <w:tc>
        <w:tcPr>
          <w:tcW w:w="7518" w:type="dxa"/>
        </w:tcPr>
        <w:p w14:paraId="4FB2D315" w14:textId="77777777" w:rsidR="00527BD4" w:rsidRPr="00275984" w:rsidRDefault="00527BD4" w:rsidP="00BF4427">
          <w:pPr>
            <w:pStyle w:val="Huisstijl-Rubricering"/>
          </w:pPr>
        </w:p>
      </w:tc>
    </w:tr>
  </w:tbl>
  <w:p w14:paraId="552544B5"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BD4705" w14:paraId="001B5D25" w14:textId="77777777" w:rsidTr="003B528D">
      <w:tc>
        <w:tcPr>
          <w:tcW w:w="2160" w:type="dxa"/>
        </w:tcPr>
        <w:p w14:paraId="11C9A714" w14:textId="77777777" w:rsidR="002F71BB" w:rsidRPr="000407BB" w:rsidRDefault="002E0AA6" w:rsidP="005D283A">
          <w:pPr>
            <w:pStyle w:val="Colofonkop"/>
            <w:framePr w:hSpace="0" w:wrap="auto" w:vAnchor="margin" w:hAnchor="text" w:xAlign="left" w:yAlign="inline"/>
          </w:pPr>
          <w:r>
            <w:t>Onze referentie</w:t>
          </w:r>
        </w:p>
      </w:tc>
    </w:tr>
    <w:tr w:rsidR="00BD4705" w14:paraId="54151DEE" w14:textId="77777777" w:rsidTr="002F71BB">
      <w:trPr>
        <w:trHeight w:val="259"/>
      </w:trPr>
      <w:tc>
        <w:tcPr>
          <w:tcW w:w="2160" w:type="dxa"/>
        </w:tcPr>
        <w:p w14:paraId="34D114BB" w14:textId="77777777" w:rsidR="00E35CF4" w:rsidRPr="005D283A" w:rsidRDefault="002E0AA6" w:rsidP="0049501A">
          <w:pPr>
            <w:spacing w:line="180" w:lineRule="exact"/>
            <w:rPr>
              <w:sz w:val="13"/>
              <w:szCs w:val="13"/>
            </w:rPr>
          </w:pPr>
          <w:r>
            <w:rPr>
              <w:sz w:val="13"/>
              <w:szCs w:val="13"/>
            </w:rPr>
            <w:t>66299855</w:t>
          </w:r>
        </w:p>
      </w:tc>
    </w:tr>
  </w:tbl>
  <w:p w14:paraId="492A0D13"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D4705" w14:paraId="47392442" w14:textId="77777777" w:rsidTr="001377D4">
      <w:trPr>
        <w:trHeight w:val="2636"/>
      </w:trPr>
      <w:tc>
        <w:tcPr>
          <w:tcW w:w="737" w:type="dxa"/>
        </w:tcPr>
        <w:p w14:paraId="55D7C545" w14:textId="77777777" w:rsidR="00704845" w:rsidRDefault="00704845" w:rsidP="0047126E">
          <w:pPr>
            <w:framePr w:w="6339" w:h="2750" w:hRule="exact" w:hSpace="181" w:wrap="around" w:vAnchor="page" w:hAnchor="page" w:x="5586" w:y="1"/>
            <w:spacing w:line="240" w:lineRule="auto"/>
          </w:pPr>
        </w:p>
      </w:tc>
      <w:tc>
        <w:tcPr>
          <w:tcW w:w="5156" w:type="dxa"/>
        </w:tcPr>
        <w:p w14:paraId="51B7D4F0" w14:textId="77777777" w:rsidR="00704845" w:rsidRDefault="002E0AA6" w:rsidP="0047126E">
          <w:pPr>
            <w:framePr w:w="3873" w:h="2625" w:hRule="exact" w:wrap="around" w:vAnchor="page" w:hAnchor="page" w:x="6323" w:y="1"/>
          </w:pPr>
          <w:r>
            <w:rPr>
              <w:noProof/>
              <w:lang w:val="en-US" w:eastAsia="en-US"/>
            </w:rPr>
            <w:drawing>
              <wp:inline distT="0" distB="0" distL="0" distR="0" wp14:anchorId="56B646F4" wp14:editId="29CCD988">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1470D21B" w14:textId="77777777" w:rsidR="00483ECA" w:rsidRDefault="00483ECA" w:rsidP="00D037A9"/>
      </w:tc>
    </w:tr>
  </w:tbl>
  <w:p w14:paraId="7630D8A2"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BD4705" w14:paraId="00073B1A" w14:textId="77777777" w:rsidTr="0008539E">
      <w:trPr>
        <w:trHeight w:hRule="exact" w:val="572"/>
      </w:trPr>
      <w:tc>
        <w:tcPr>
          <w:tcW w:w="7520" w:type="dxa"/>
        </w:tcPr>
        <w:p w14:paraId="4AF3A4D4" w14:textId="77777777" w:rsidR="00527BD4" w:rsidRPr="00963440" w:rsidRDefault="002E0AA6" w:rsidP="00210BA3">
          <w:pPr>
            <w:pStyle w:val="Huisstijl-Adres"/>
            <w:spacing w:after="0"/>
          </w:pPr>
          <w:r w:rsidRPr="009E3B07">
            <w:t>&gt;Retouradres </w:t>
          </w:r>
          <w:r>
            <w:t>Postbus 16375 2500 BJ Den Haag</w:t>
          </w:r>
          <w:r w:rsidRPr="009E3B07">
            <w:t xml:space="preserve"> </w:t>
          </w:r>
        </w:p>
      </w:tc>
    </w:tr>
    <w:tr w:rsidR="00BD4705" w14:paraId="46ADA9CC" w14:textId="77777777" w:rsidTr="00E776C6">
      <w:trPr>
        <w:cantSplit/>
        <w:trHeight w:hRule="exact" w:val="238"/>
      </w:trPr>
      <w:tc>
        <w:tcPr>
          <w:tcW w:w="7520" w:type="dxa"/>
        </w:tcPr>
        <w:p w14:paraId="3072FF02" w14:textId="77777777" w:rsidR="00093ABC" w:rsidRPr="00963440" w:rsidRDefault="00093ABC" w:rsidP="00963440"/>
      </w:tc>
    </w:tr>
    <w:tr w:rsidR="00BD4705" w14:paraId="37B2A38B" w14:textId="77777777" w:rsidTr="00E776C6">
      <w:trPr>
        <w:cantSplit/>
        <w:trHeight w:hRule="exact" w:val="1520"/>
      </w:trPr>
      <w:tc>
        <w:tcPr>
          <w:tcW w:w="7520" w:type="dxa"/>
        </w:tcPr>
        <w:p w14:paraId="0F57D5D2" w14:textId="77777777" w:rsidR="00A604D3" w:rsidRPr="00963440" w:rsidRDefault="00A604D3" w:rsidP="00963440"/>
      </w:tc>
    </w:tr>
    <w:tr w:rsidR="00BD4705" w14:paraId="30CB8587" w14:textId="77777777" w:rsidTr="00E776C6">
      <w:trPr>
        <w:trHeight w:hRule="exact" w:val="1077"/>
      </w:trPr>
      <w:tc>
        <w:tcPr>
          <w:tcW w:w="7520" w:type="dxa"/>
        </w:tcPr>
        <w:p w14:paraId="5B38E58F" w14:textId="77777777" w:rsidR="00892BA5" w:rsidRPr="00035E67" w:rsidRDefault="00892BA5" w:rsidP="00892BA5">
          <w:pPr>
            <w:tabs>
              <w:tab w:val="left" w:pos="740"/>
            </w:tabs>
            <w:autoSpaceDE w:val="0"/>
            <w:autoSpaceDN w:val="0"/>
            <w:adjustRightInd w:val="0"/>
            <w:rPr>
              <w:rFonts w:cs="Verdana"/>
              <w:szCs w:val="18"/>
            </w:rPr>
          </w:pPr>
        </w:p>
      </w:tc>
    </w:tr>
  </w:tbl>
  <w:p w14:paraId="0ACE5913" w14:textId="77777777" w:rsidR="006F273B" w:rsidRDefault="006F273B" w:rsidP="00BC4AE3">
    <w:pPr>
      <w:pStyle w:val="Koptekst"/>
    </w:pPr>
  </w:p>
  <w:p w14:paraId="293BD6E4" w14:textId="77777777" w:rsidR="00153BD0" w:rsidRDefault="00153BD0" w:rsidP="00BC4AE3">
    <w:pPr>
      <w:pStyle w:val="Koptekst"/>
    </w:pPr>
  </w:p>
  <w:p w14:paraId="77AFAA03" w14:textId="77777777" w:rsidR="0044605E" w:rsidRDefault="0044605E" w:rsidP="00BC4AE3">
    <w:pPr>
      <w:pStyle w:val="Koptekst"/>
    </w:pPr>
  </w:p>
  <w:p w14:paraId="291A3658" w14:textId="77777777" w:rsidR="0044605E" w:rsidRDefault="0044605E" w:rsidP="00BC4AE3">
    <w:pPr>
      <w:pStyle w:val="Koptekst"/>
    </w:pPr>
  </w:p>
  <w:p w14:paraId="6DA38E2E"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37CE11A">
      <w:start w:val="1"/>
      <w:numFmt w:val="bullet"/>
      <w:pStyle w:val="Lijstopsomteken"/>
      <w:lvlText w:val="•"/>
      <w:lvlJc w:val="left"/>
      <w:pPr>
        <w:tabs>
          <w:tab w:val="num" w:pos="227"/>
        </w:tabs>
        <w:ind w:left="227" w:hanging="227"/>
      </w:pPr>
      <w:rPr>
        <w:rFonts w:ascii="Verdana" w:hAnsi="Verdana" w:hint="default"/>
        <w:sz w:val="18"/>
        <w:szCs w:val="18"/>
      </w:rPr>
    </w:lvl>
    <w:lvl w:ilvl="1" w:tplc="31A4CF4A" w:tentative="1">
      <w:start w:val="1"/>
      <w:numFmt w:val="bullet"/>
      <w:lvlText w:val="o"/>
      <w:lvlJc w:val="left"/>
      <w:pPr>
        <w:tabs>
          <w:tab w:val="num" w:pos="1440"/>
        </w:tabs>
        <w:ind w:left="1440" w:hanging="360"/>
      </w:pPr>
      <w:rPr>
        <w:rFonts w:ascii="Courier New" w:hAnsi="Courier New" w:cs="Courier New" w:hint="default"/>
      </w:rPr>
    </w:lvl>
    <w:lvl w:ilvl="2" w:tplc="F0463226" w:tentative="1">
      <w:start w:val="1"/>
      <w:numFmt w:val="bullet"/>
      <w:lvlText w:val=""/>
      <w:lvlJc w:val="left"/>
      <w:pPr>
        <w:tabs>
          <w:tab w:val="num" w:pos="2160"/>
        </w:tabs>
        <w:ind w:left="2160" w:hanging="360"/>
      </w:pPr>
      <w:rPr>
        <w:rFonts w:ascii="Wingdings" w:hAnsi="Wingdings" w:hint="default"/>
      </w:rPr>
    </w:lvl>
    <w:lvl w:ilvl="3" w:tplc="24369C0E" w:tentative="1">
      <w:start w:val="1"/>
      <w:numFmt w:val="bullet"/>
      <w:lvlText w:val=""/>
      <w:lvlJc w:val="left"/>
      <w:pPr>
        <w:tabs>
          <w:tab w:val="num" w:pos="2880"/>
        </w:tabs>
        <w:ind w:left="2880" w:hanging="360"/>
      </w:pPr>
      <w:rPr>
        <w:rFonts w:ascii="Symbol" w:hAnsi="Symbol" w:hint="default"/>
      </w:rPr>
    </w:lvl>
    <w:lvl w:ilvl="4" w:tplc="4B3CCD6C" w:tentative="1">
      <w:start w:val="1"/>
      <w:numFmt w:val="bullet"/>
      <w:lvlText w:val="o"/>
      <w:lvlJc w:val="left"/>
      <w:pPr>
        <w:tabs>
          <w:tab w:val="num" w:pos="3600"/>
        </w:tabs>
        <w:ind w:left="3600" w:hanging="360"/>
      </w:pPr>
      <w:rPr>
        <w:rFonts w:ascii="Courier New" w:hAnsi="Courier New" w:cs="Courier New" w:hint="default"/>
      </w:rPr>
    </w:lvl>
    <w:lvl w:ilvl="5" w:tplc="539623BC" w:tentative="1">
      <w:start w:val="1"/>
      <w:numFmt w:val="bullet"/>
      <w:lvlText w:val=""/>
      <w:lvlJc w:val="left"/>
      <w:pPr>
        <w:tabs>
          <w:tab w:val="num" w:pos="4320"/>
        </w:tabs>
        <w:ind w:left="4320" w:hanging="360"/>
      </w:pPr>
      <w:rPr>
        <w:rFonts w:ascii="Wingdings" w:hAnsi="Wingdings" w:hint="default"/>
      </w:rPr>
    </w:lvl>
    <w:lvl w:ilvl="6" w:tplc="39082F56" w:tentative="1">
      <w:start w:val="1"/>
      <w:numFmt w:val="bullet"/>
      <w:lvlText w:val=""/>
      <w:lvlJc w:val="left"/>
      <w:pPr>
        <w:tabs>
          <w:tab w:val="num" w:pos="5040"/>
        </w:tabs>
        <w:ind w:left="5040" w:hanging="360"/>
      </w:pPr>
      <w:rPr>
        <w:rFonts w:ascii="Symbol" w:hAnsi="Symbol" w:hint="default"/>
      </w:rPr>
    </w:lvl>
    <w:lvl w:ilvl="7" w:tplc="5F967312" w:tentative="1">
      <w:start w:val="1"/>
      <w:numFmt w:val="bullet"/>
      <w:lvlText w:val="o"/>
      <w:lvlJc w:val="left"/>
      <w:pPr>
        <w:tabs>
          <w:tab w:val="num" w:pos="5760"/>
        </w:tabs>
        <w:ind w:left="5760" w:hanging="360"/>
      </w:pPr>
      <w:rPr>
        <w:rFonts w:ascii="Courier New" w:hAnsi="Courier New" w:cs="Courier New" w:hint="default"/>
      </w:rPr>
    </w:lvl>
    <w:lvl w:ilvl="8" w:tplc="0674DF0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5178CBAC">
      <w:start w:val="1"/>
      <w:numFmt w:val="bullet"/>
      <w:pStyle w:val="Lijstopsomteken2"/>
      <w:lvlText w:val="–"/>
      <w:lvlJc w:val="left"/>
      <w:pPr>
        <w:tabs>
          <w:tab w:val="num" w:pos="227"/>
        </w:tabs>
        <w:ind w:left="227" w:firstLine="0"/>
      </w:pPr>
      <w:rPr>
        <w:rFonts w:ascii="Verdana" w:hAnsi="Verdana" w:hint="default"/>
      </w:rPr>
    </w:lvl>
    <w:lvl w:ilvl="1" w:tplc="41E2ED8C" w:tentative="1">
      <w:start w:val="1"/>
      <w:numFmt w:val="bullet"/>
      <w:lvlText w:val="o"/>
      <w:lvlJc w:val="left"/>
      <w:pPr>
        <w:tabs>
          <w:tab w:val="num" w:pos="1440"/>
        </w:tabs>
        <w:ind w:left="1440" w:hanging="360"/>
      </w:pPr>
      <w:rPr>
        <w:rFonts w:ascii="Courier New" w:hAnsi="Courier New" w:cs="Courier New" w:hint="default"/>
      </w:rPr>
    </w:lvl>
    <w:lvl w:ilvl="2" w:tplc="D1CE72A4" w:tentative="1">
      <w:start w:val="1"/>
      <w:numFmt w:val="bullet"/>
      <w:lvlText w:val=""/>
      <w:lvlJc w:val="left"/>
      <w:pPr>
        <w:tabs>
          <w:tab w:val="num" w:pos="2160"/>
        </w:tabs>
        <w:ind w:left="2160" w:hanging="360"/>
      </w:pPr>
      <w:rPr>
        <w:rFonts w:ascii="Wingdings" w:hAnsi="Wingdings" w:hint="default"/>
      </w:rPr>
    </w:lvl>
    <w:lvl w:ilvl="3" w:tplc="6170A546" w:tentative="1">
      <w:start w:val="1"/>
      <w:numFmt w:val="bullet"/>
      <w:lvlText w:val=""/>
      <w:lvlJc w:val="left"/>
      <w:pPr>
        <w:tabs>
          <w:tab w:val="num" w:pos="2880"/>
        </w:tabs>
        <w:ind w:left="2880" w:hanging="360"/>
      </w:pPr>
      <w:rPr>
        <w:rFonts w:ascii="Symbol" w:hAnsi="Symbol" w:hint="default"/>
      </w:rPr>
    </w:lvl>
    <w:lvl w:ilvl="4" w:tplc="DB04E4AC" w:tentative="1">
      <w:start w:val="1"/>
      <w:numFmt w:val="bullet"/>
      <w:lvlText w:val="o"/>
      <w:lvlJc w:val="left"/>
      <w:pPr>
        <w:tabs>
          <w:tab w:val="num" w:pos="3600"/>
        </w:tabs>
        <w:ind w:left="3600" w:hanging="360"/>
      </w:pPr>
      <w:rPr>
        <w:rFonts w:ascii="Courier New" w:hAnsi="Courier New" w:cs="Courier New" w:hint="default"/>
      </w:rPr>
    </w:lvl>
    <w:lvl w:ilvl="5" w:tplc="60C4ABA0" w:tentative="1">
      <w:start w:val="1"/>
      <w:numFmt w:val="bullet"/>
      <w:lvlText w:val=""/>
      <w:lvlJc w:val="left"/>
      <w:pPr>
        <w:tabs>
          <w:tab w:val="num" w:pos="4320"/>
        </w:tabs>
        <w:ind w:left="4320" w:hanging="360"/>
      </w:pPr>
      <w:rPr>
        <w:rFonts w:ascii="Wingdings" w:hAnsi="Wingdings" w:hint="default"/>
      </w:rPr>
    </w:lvl>
    <w:lvl w:ilvl="6" w:tplc="A74227D0" w:tentative="1">
      <w:start w:val="1"/>
      <w:numFmt w:val="bullet"/>
      <w:lvlText w:val=""/>
      <w:lvlJc w:val="left"/>
      <w:pPr>
        <w:tabs>
          <w:tab w:val="num" w:pos="5040"/>
        </w:tabs>
        <w:ind w:left="5040" w:hanging="360"/>
      </w:pPr>
      <w:rPr>
        <w:rFonts w:ascii="Symbol" w:hAnsi="Symbol" w:hint="default"/>
      </w:rPr>
    </w:lvl>
    <w:lvl w:ilvl="7" w:tplc="D97E3A08" w:tentative="1">
      <w:start w:val="1"/>
      <w:numFmt w:val="bullet"/>
      <w:lvlText w:val="o"/>
      <w:lvlJc w:val="left"/>
      <w:pPr>
        <w:tabs>
          <w:tab w:val="num" w:pos="5760"/>
        </w:tabs>
        <w:ind w:left="5760" w:hanging="360"/>
      </w:pPr>
      <w:rPr>
        <w:rFonts w:ascii="Courier New" w:hAnsi="Courier New" w:cs="Courier New" w:hint="default"/>
      </w:rPr>
    </w:lvl>
    <w:lvl w:ilvl="8" w:tplc="931C26D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99197302">
    <w:abstractNumId w:val="10"/>
  </w:num>
  <w:num w:numId="2" w16cid:durableId="466047840">
    <w:abstractNumId w:val="7"/>
  </w:num>
  <w:num w:numId="3" w16cid:durableId="40253913">
    <w:abstractNumId w:val="6"/>
  </w:num>
  <w:num w:numId="4" w16cid:durableId="1073158391">
    <w:abstractNumId w:val="5"/>
  </w:num>
  <w:num w:numId="5" w16cid:durableId="1775781058">
    <w:abstractNumId w:val="4"/>
  </w:num>
  <w:num w:numId="6" w16cid:durableId="1461416788">
    <w:abstractNumId w:val="8"/>
  </w:num>
  <w:num w:numId="7" w16cid:durableId="359354214">
    <w:abstractNumId w:val="3"/>
  </w:num>
  <w:num w:numId="8" w16cid:durableId="1242636388">
    <w:abstractNumId w:val="2"/>
  </w:num>
  <w:num w:numId="9" w16cid:durableId="162279446">
    <w:abstractNumId w:val="1"/>
  </w:num>
  <w:num w:numId="10" w16cid:durableId="1162038215">
    <w:abstractNumId w:val="0"/>
  </w:num>
  <w:num w:numId="11" w16cid:durableId="599684504">
    <w:abstractNumId w:val="9"/>
  </w:num>
  <w:num w:numId="12" w16cid:durableId="306935981">
    <w:abstractNumId w:val="11"/>
  </w:num>
  <w:num w:numId="13" w16cid:durableId="1342246422">
    <w:abstractNumId w:val="13"/>
  </w:num>
  <w:num w:numId="14" w16cid:durableId="98062016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2035"/>
    <w:rsid w:val="000E5886"/>
    <w:rsid w:val="000E6621"/>
    <w:rsid w:val="000E7895"/>
    <w:rsid w:val="000F161D"/>
    <w:rsid w:val="000F1B4E"/>
    <w:rsid w:val="000F1FFF"/>
    <w:rsid w:val="000F521E"/>
    <w:rsid w:val="00100203"/>
    <w:rsid w:val="00104B4D"/>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199E"/>
    <w:rsid w:val="00212F2A"/>
    <w:rsid w:val="002146E9"/>
    <w:rsid w:val="00214F2B"/>
    <w:rsid w:val="00215356"/>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AA6"/>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9ED"/>
    <w:rsid w:val="003B7EE7"/>
    <w:rsid w:val="003C2CCB"/>
    <w:rsid w:val="003C4A1C"/>
    <w:rsid w:val="003C5BCB"/>
    <w:rsid w:val="003D39EC"/>
    <w:rsid w:val="003D40EA"/>
    <w:rsid w:val="003E3DD5"/>
    <w:rsid w:val="003F07C6"/>
    <w:rsid w:val="003F1F6B"/>
    <w:rsid w:val="003F3757"/>
    <w:rsid w:val="003F44B7"/>
    <w:rsid w:val="004008E9"/>
    <w:rsid w:val="00405133"/>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1BB7"/>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75"/>
    <w:rsid w:val="00521CEE"/>
    <w:rsid w:val="00527BD4"/>
    <w:rsid w:val="00533061"/>
    <w:rsid w:val="00533FA1"/>
    <w:rsid w:val="00534C77"/>
    <w:rsid w:val="005403C8"/>
    <w:rsid w:val="00541AD9"/>
    <w:rsid w:val="005429DC"/>
    <w:rsid w:val="00547DBA"/>
    <w:rsid w:val="005565F9"/>
    <w:rsid w:val="005639D2"/>
    <w:rsid w:val="0056470E"/>
    <w:rsid w:val="00565739"/>
    <w:rsid w:val="00573041"/>
    <w:rsid w:val="00575B80"/>
    <w:rsid w:val="005768E4"/>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118"/>
    <w:rsid w:val="005C4C82"/>
    <w:rsid w:val="005C740C"/>
    <w:rsid w:val="005D283A"/>
    <w:rsid w:val="005D625B"/>
    <w:rsid w:val="005E3322"/>
    <w:rsid w:val="005E436C"/>
    <w:rsid w:val="005E64E2"/>
    <w:rsid w:val="005F62D3"/>
    <w:rsid w:val="005F6D11"/>
    <w:rsid w:val="00600CF0"/>
    <w:rsid w:val="006048F4"/>
    <w:rsid w:val="00605932"/>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1770A"/>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4B43"/>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A5094"/>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07A4D"/>
    <w:rsid w:val="00910642"/>
    <w:rsid w:val="00910A65"/>
    <w:rsid w:val="00910DDF"/>
    <w:rsid w:val="00921861"/>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C6320"/>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1FF9"/>
    <w:rsid w:val="00B220A5"/>
    <w:rsid w:val="00B2317A"/>
    <w:rsid w:val="00B259C8"/>
    <w:rsid w:val="00B26CCF"/>
    <w:rsid w:val="00B30FC2"/>
    <w:rsid w:val="00B31BA0"/>
    <w:rsid w:val="00B331A2"/>
    <w:rsid w:val="00B33CF2"/>
    <w:rsid w:val="00B350A2"/>
    <w:rsid w:val="00B36EBB"/>
    <w:rsid w:val="00B425F0"/>
    <w:rsid w:val="00B42DFA"/>
    <w:rsid w:val="00B50571"/>
    <w:rsid w:val="00B531DD"/>
    <w:rsid w:val="00B55014"/>
    <w:rsid w:val="00B62232"/>
    <w:rsid w:val="00B626DD"/>
    <w:rsid w:val="00B70BF3"/>
    <w:rsid w:val="00B70D24"/>
    <w:rsid w:val="00B70E51"/>
    <w:rsid w:val="00B71DC2"/>
    <w:rsid w:val="00B80DB6"/>
    <w:rsid w:val="00B817CD"/>
    <w:rsid w:val="00B81AD2"/>
    <w:rsid w:val="00B81AEC"/>
    <w:rsid w:val="00B85A66"/>
    <w:rsid w:val="00B85ED4"/>
    <w:rsid w:val="00B85F07"/>
    <w:rsid w:val="00B91CFC"/>
    <w:rsid w:val="00B93893"/>
    <w:rsid w:val="00BA439D"/>
    <w:rsid w:val="00BA7E0A"/>
    <w:rsid w:val="00BB0956"/>
    <w:rsid w:val="00BB61B0"/>
    <w:rsid w:val="00BC0D9E"/>
    <w:rsid w:val="00BC3B53"/>
    <w:rsid w:val="00BC3B96"/>
    <w:rsid w:val="00BC4AE3"/>
    <w:rsid w:val="00BC5B28"/>
    <w:rsid w:val="00BC7264"/>
    <w:rsid w:val="00BD4705"/>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97A"/>
    <w:rsid w:val="00C736E8"/>
    <w:rsid w:val="00C73D5F"/>
    <w:rsid w:val="00C82662"/>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44BB"/>
    <w:rsid w:val="00D17084"/>
    <w:rsid w:val="00D1791D"/>
    <w:rsid w:val="00D21E4B"/>
    <w:rsid w:val="00D22588"/>
    <w:rsid w:val="00D22689"/>
    <w:rsid w:val="00D23522"/>
    <w:rsid w:val="00D264D6"/>
    <w:rsid w:val="00D33144"/>
    <w:rsid w:val="00D33BF0"/>
    <w:rsid w:val="00D33F30"/>
    <w:rsid w:val="00D34892"/>
    <w:rsid w:val="00D36447"/>
    <w:rsid w:val="00D41CE8"/>
    <w:rsid w:val="00D44B73"/>
    <w:rsid w:val="00D4599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001E"/>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674"/>
    <w:rsid w:val="00E91B40"/>
    <w:rsid w:val="00E91F7C"/>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E4F83"/>
    <w:rsid w:val="00EF0CCB"/>
    <w:rsid w:val="00EF1B5A"/>
    <w:rsid w:val="00EF2449"/>
    <w:rsid w:val="00EF24FB"/>
    <w:rsid w:val="00EF2CCA"/>
    <w:rsid w:val="00EF4D48"/>
    <w:rsid w:val="00EF5E03"/>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87B7E"/>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1E36"/>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C1EEB"/>
  <w15:docId w15:val="{7D807143-6E10-4411-8A79-C97D3D812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VoetnoottekstChar">
    <w:name w:val="Voetnoottekst Char"/>
    <w:basedOn w:val="Standaardalinea-lettertype"/>
    <w:link w:val="Voetnoottekst"/>
    <w:uiPriority w:val="99"/>
    <w:semiHidden/>
    <w:rsid w:val="00521C75"/>
    <w:rPr>
      <w:rFonts w:ascii="Verdana" w:hAnsi="Verdana"/>
      <w:sz w:val="13"/>
      <w:lang w:val="nl-NL" w:eastAsia="nl-NL"/>
    </w:rPr>
  </w:style>
  <w:style w:type="character" w:styleId="Voetnootmarkering">
    <w:name w:val="footnote reference"/>
    <w:basedOn w:val="Standaardalinea-lettertype"/>
    <w:uiPriority w:val="99"/>
    <w:unhideWhenUsed/>
    <w:rsid w:val="00521C75"/>
    <w:rPr>
      <w:vertAlign w:val="superscript"/>
    </w:rPr>
  </w:style>
  <w:style w:type="paragraph" w:styleId="Normaalweb">
    <w:name w:val="Normal (Web)"/>
    <w:basedOn w:val="Standaard"/>
    <w:uiPriority w:val="99"/>
    <w:unhideWhenUsed/>
    <w:rsid w:val="00BB0956"/>
    <w:pPr>
      <w:spacing w:before="100" w:beforeAutospacing="1" w:after="100" w:afterAutospacing="1" w:line="240" w:lineRule="auto"/>
    </w:pPr>
    <w:rPr>
      <w:rFonts w:ascii="Times New Roman" w:hAnsi="Times New Roman"/>
      <w:sz w:val="24"/>
    </w:rPr>
  </w:style>
  <w:style w:type="character" w:styleId="Verwijzingopmerking">
    <w:name w:val="annotation reference"/>
    <w:basedOn w:val="Standaardalinea-lettertype"/>
    <w:rsid w:val="0021199E"/>
    <w:rPr>
      <w:sz w:val="16"/>
      <w:szCs w:val="16"/>
    </w:rPr>
  </w:style>
  <w:style w:type="paragraph" w:styleId="Tekstopmerking">
    <w:name w:val="annotation text"/>
    <w:basedOn w:val="Standaard"/>
    <w:link w:val="TekstopmerkingChar"/>
    <w:rsid w:val="0021199E"/>
    <w:pPr>
      <w:spacing w:line="240" w:lineRule="auto"/>
    </w:pPr>
    <w:rPr>
      <w:sz w:val="20"/>
      <w:szCs w:val="20"/>
    </w:rPr>
  </w:style>
  <w:style w:type="character" w:customStyle="1" w:styleId="TekstopmerkingChar">
    <w:name w:val="Tekst opmerking Char"/>
    <w:basedOn w:val="Standaardalinea-lettertype"/>
    <w:link w:val="Tekstopmerking"/>
    <w:rsid w:val="0021199E"/>
    <w:rPr>
      <w:rFonts w:ascii="Verdana" w:hAnsi="Verdana"/>
      <w:lang w:val="nl-NL" w:eastAsia="nl-NL"/>
    </w:rPr>
  </w:style>
  <w:style w:type="paragraph" w:styleId="Revisie">
    <w:name w:val="Revision"/>
    <w:hidden/>
    <w:uiPriority w:val="99"/>
    <w:semiHidden/>
    <w:rsid w:val="002146E9"/>
    <w:rPr>
      <w:rFonts w:ascii="Verdana" w:hAnsi="Verdana"/>
      <w:sz w:val="18"/>
      <w:szCs w:val="24"/>
      <w:lang w:val="nl-NL" w:eastAsia="nl-NL"/>
    </w:rPr>
  </w:style>
  <w:style w:type="paragraph" w:styleId="Onderwerpvanopmerking">
    <w:name w:val="annotation subject"/>
    <w:basedOn w:val="Tekstopmerking"/>
    <w:next w:val="Tekstopmerking"/>
    <w:link w:val="OnderwerpvanopmerkingChar"/>
    <w:rsid w:val="00FF1E36"/>
    <w:rPr>
      <w:b/>
      <w:bCs/>
    </w:rPr>
  </w:style>
  <w:style w:type="character" w:customStyle="1" w:styleId="OnderwerpvanopmerkingChar">
    <w:name w:val="Onderwerp van opmerking Char"/>
    <w:basedOn w:val="TekstopmerkingChar"/>
    <w:link w:val="Onderwerpvanopmerking"/>
    <w:rsid w:val="00FF1E36"/>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NL/TXT/?uri=CELEX:32024L1069"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687</ap:Words>
  <ap:Characters>3779</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4458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2009-07-01T14:30:00.0000000Z</lastPrinted>
  <dcterms:created xsi:type="dcterms:W3CDTF">2026-10-12T14:50:00.0000000Z</dcterms:created>
  <dcterms:modified xsi:type="dcterms:W3CDTF">2026-10-12T14:50:00.0000000Z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O204SLO</vt:lpwstr>
  </property>
  <property fmtid="{D5CDD505-2E9C-101B-9397-08002B2CF9AE}" pid="3" name="Author">
    <vt:lpwstr>O204SLO</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Toezegging WGO SLAPPs 29 juni j.l.</vt:lpwstr>
  </property>
  <property fmtid="{D5CDD505-2E9C-101B-9397-08002B2CF9AE}" pid="9" name="ocw_directie">
    <vt:lpwstr>MENC/MB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vragen Vaste Commissie</vt:lpwstr>
  </property>
  <property fmtid="{D5CDD505-2E9C-101B-9397-08002B2CF9AE}" pid="17" name="TemplateId">
    <vt:lpwstr>4DBF1095FF6849FB957BE0CBAC2AD1EA</vt:lpwstr>
  </property>
  <property fmtid="{D5CDD505-2E9C-101B-9397-08002B2CF9AE}" pid="18" name="Typist">
    <vt:lpwstr>O204SLO</vt:lpwstr>
  </property>
</Properties>
</file>