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3C46" w:rsidRDefault="00173C46" w14:paraId="0F8850DE" w14:textId="77777777">
      <w:pPr>
        <w:rPr>
          <w:rFonts w:cs="ADLaM Display"/>
        </w:rPr>
      </w:pPr>
    </w:p>
    <w:p w:rsidRPr="001F35E7" w:rsidR="00173C46" w:rsidRDefault="00173C46" w14:paraId="7B93123C" w14:textId="77777777">
      <w:pPr>
        <w:rPr>
          <w:rFonts w:cs="ADLaM Display"/>
        </w:rPr>
      </w:pPr>
    </w:p>
    <w:p w:rsidR="001F35E7" w:rsidP="001F35E7" w:rsidRDefault="001F35E7" w14:paraId="59AE81A3" w14:textId="77777777">
      <w:pPr>
        <w:rPr>
          <w:rFonts w:cs="ADLaM Display"/>
        </w:rPr>
      </w:pPr>
      <w:r w:rsidRPr="001F35E7">
        <w:rPr>
          <w:rFonts w:cs="ADLaM Display"/>
        </w:rPr>
        <w:t xml:space="preserve">Met deze brief reageer ik op het evaluatieonderzoek van de Wet afwikkeling massaschade in collectieve actie (WAMCA). </w:t>
      </w:r>
    </w:p>
    <w:p w:rsidRPr="001F35E7" w:rsidR="001F35E7" w:rsidP="001F35E7" w:rsidRDefault="001F35E7" w14:paraId="5D27CC96" w14:textId="77777777">
      <w:pPr>
        <w:rPr>
          <w:rFonts w:cs="ADLaM Display"/>
        </w:rPr>
      </w:pPr>
    </w:p>
    <w:p w:rsidRPr="001F35E7" w:rsidR="001F35E7" w:rsidP="001F35E7" w:rsidRDefault="001F35E7" w14:paraId="16B038D0" w14:textId="77777777">
      <w:pPr>
        <w:rPr>
          <w:rFonts w:cs="ADLaM Display"/>
          <w:u w:val="single"/>
        </w:rPr>
      </w:pPr>
      <w:r w:rsidRPr="001F35E7">
        <w:rPr>
          <w:rFonts w:cs="ADLaM Display"/>
          <w:u w:val="single"/>
        </w:rPr>
        <w:t>1. Inleiding</w:t>
      </w:r>
    </w:p>
    <w:p w:rsidR="001F35E7" w:rsidP="001F35E7" w:rsidRDefault="001F35E7" w14:paraId="374E07B5" w14:textId="77777777">
      <w:pPr>
        <w:rPr>
          <w:rFonts w:cs="ADLaM Display"/>
        </w:rPr>
      </w:pPr>
    </w:p>
    <w:p w:rsidR="001F35E7" w:rsidP="001F35E7" w:rsidRDefault="001F35E7" w14:paraId="01803AF0" w14:textId="02955E44">
      <w:pPr>
        <w:rPr>
          <w:rFonts w:cs="ADLaM Display"/>
        </w:rPr>
      </w:pPr>
      <w:r w:rsidRPr="001F35E7">
        <w:rPr>
          <w:rFonts w:cs="ADLaM Display"/>
        </w:rPr>
        <w:t xml:space="preserve">Het evaluatieonderzoek bestaat uit twee delen. </w:t>
      </w:r>
      <w:bookmarkStart w:name="_Hlk241069860" w:id="0"/>
      <w:r w:rsidRPr="001F35E7">
        <w:rPr>
          <w:rFonts w:cs="ADLaM Display"/>
        </w:rPr>
        <w:t>Op 16 juni 2025 zond de toenmalige Staatssecretaris van Justitie en Veiligheid uw Kamer het eerste deel, het rapport ‘Rechtsvergelijking toegang tot de rechter van belangenorganisaties in algemeenbelangactie’ (hierna: het rechtsvergelijkend rapport).</w:t>
      </w:r>
      <w:r w:rsidRPr="001F35E7">
        <w:rPr>
          <w:rStyle w:val="Voetnootmarkering"/>
          <w:rFonts w:cs="ADLaM Display"/>
        </w:rPr>
        <w:footnoteReference w:id="1"/>
      </w:r>
      <w:r w:rsidRPr="001F35E7">
        <w:rPr>
          <w:rFonts w:cs="ADLaM Display"/>
        </w:rPr>
        <w:t xml:space="preserve"> Op 19 november 2025 bood mijn ambtsvoorganger het tweede deel, het rapport ‘Vijf jaar WAMCA. Evaluatie Wet afwikkeling massaschade in collectie actie (2020-2025)’ (hierna: het evaluatierapport) aan uw Kamer aan</w:t>
      </w:r>
      <w:bookmarkEnd w:id="0"/>
      <w:r w:rsidRPr="001F35E7">
        <w:rPr>
          <w:rFonts w:cs="ADLaM Display"/>
        </w:rPr>
        <w:t>.</w:t>
      </w:r>
      <w:r w:rsidRPr="001F35E7">
        <w:rPr>
          <w:rStyle w:val="Voetnootmarkering"/>
          <w:rFonts w:cs="ADLaM Display"/>
        </w:rPr>
        <w:footnoteReference w:id="2"/>
      </w:r>
      <w:r w:rsidRPr="001F35E7">
        <w:rPr>
          <w:rFonts w:cs="ADLaM Display"/>
        </w:rPr>
        <w:t xml:space="preserve"> Het evaluatieonderzoek is in opdracht van het Wetenschappelijk Onderzoek- en Datacentrum (WODC) van het ministerie van Justitie en Veiligheid uitgevoerd door een breed consortium van onderzoekers verbonden aan de Universiteit Utrecht, Erasmus Universiteit Rotterdam en Radboud Universiteit Nijmegen.</w:t>
      </w:r>
    </w:p>
    <w:p w:rsidRPr="001F35E7" w:rsidR="001F35E7" w:rsidP="001F35E7" w:rsidRDefault="001F35E7" w14:paraId="72B796B7" w14:textId="77777777">
      <w:pPr>
        <w:rPr>
          <w:rFonts w:cs="ADLaM Display"/>
        </w:rPr>
      </w:pPr>
    </w:p>
    <w:p w:rsidR="001F35E7" w:rsidP="001F35E7" w:rsidRDefault="001F35E7" w14:paraId="2F61C595" w14:textId="77777777">
      <w:pPr>
        <w:rPr>
          <w:rFonts w:cs="ADLaM Display"/>
        </w:rPr>
      </w:pPr>
      <w:r w:rsidRPr="001F35E7">
        <w:rPr>
          <w:rFonts w:cs="ADLaM Display"/>
        </w:rPr>
        <w:t>In de aanbiedingsbrief van 19 november 2025 is opgemerkt dat het, gelet op de op dat moment demissionaire status van het toenmalige kabinet, aan een volgend kabinet wordt gelaten om met een nadere inhoudelijke reactie te komen. In de brief staat ook dat bij die inhoudelijke reactie de uitkomsten van de monitoringsbijeenkomst waarin het evaluatieonderzoek met het veld is besproken, zouden worden meegenomen. Deze monitoringsbijeenkomst</w:t>
      </w:r>
      <w:r w:rsidRPr="001F35E7">
        <w:rPr>
          <w:rStyle w:val="Voetnootmarkering"/>
          <w:rFonts w:cs="ADLaM Display"/>
        </w:rPr>
        <w:footnoteReference w:id="3"/>
      </w:r>
      <w:r w:rsidRPr="001F35E7">
        <w:rPr>
          <w:rFonts w:cs="ADLaM Display"/>
        </w:rPr>
        <w:t xml:space="preserve"> heeft plaatsgevonden op 28 november 2025. Vervolgens zijn er focusgroepen gehouden over de algemeenbelangactie op 9 april 2026, de ontvankelijkheidsfase op 10 april 2026 en procesfinanciering op 12 juni 2026.</w:t>
      </w:r>
    </w:p>
    <w:p w:rsidRPr="001F35E7" w:rsidR="001F35E7" w:rsidP="001F35E7" w:rsidRDefault="001F35E7" w14:paraId="7E3153C9" w14:textId="77777777">
      <w:pPr>
        <w:rPr>
          <w:rFonts w:cs="ADLaM Display"/>
        </w:rPr>
      </w:pPr>
    </w:p>
    <w:p w:rsidRPr="001F35E7" w:rsidR="001F35E7" w:rsidP="001F35E7" w:rsidRDefault="001F35E7" w14:paraId="54E5A80A" w14:textId="1298A83B">
      <w:pPr>
        <w:rPr>
          <w:rFonts w:cs="ADLaM Display"/>
        </w:rPr>
      </w:pPr>
      <w:r w:rsidRPr="001F35E7">
        <w:rPr>
          <w:rFonts w:cs="ADLaM Display"/>
        </w:rPr>
        <w:t>Het evaluatieonderzoek is ook besproken in het commissiedebat Civielrechtelijke onderwerpen van 22 april 2026, gevolgd door een tweeminutendebat op 27 mei 2026. In het commissiedebat heb ik een onderzoek aangekondigd naar de maatschappelijke effecten van de WAMCA, waaronder de gevolgen voor het investerings- en vestigingsklimaat.</w:t>
      </w:r>
      <w:r w:rsidRPr="001F35E7">
        <w:rPr>
          <w:rStyle w:val="Voetnootmarkering"/>
          <w:rFonts w:cs="ADLaM Display"/>
        </w:rPr>
        <w:footnoteReference w:id="4"/>
      </w:r>
      <w:r w:rsidRPr="001F35E7">
        <w:rPr>
          <w:rFonts w:cs="ADLaM Display"/>
        </w:rPr>
        <w:t xml:space="preserve"> Ook heb ik in dit commissiedebat toegezegd in de kabinetsreactie in te gaan op de uitkomsten van de focusgroepen over de aanbevelingen van het evaluatieonderzoek, de positie van de vakbonden en het onderscheid tussen algemeenbelangacties tegen de overheid en tegen private partijen.</w:t>
      </w:r>
      <w:r w:rsidRPr="001F35E7">
        <w:rPr>
          <w:rStyle w:val="Voetnootmarkering"/>
          <w:rFonts w:cs="ADLaM Display"/>
        </w:rPr>
        <w:footnoteReference w:id="5"/>
      </w:r>
      <w:r w:rsidRPr="001F35E7">
        <w:rPr>
          <w:rFonts w:cs="ADLaM Display"/>
        </w:rPr>
        <w:t xml:space="preserve"> Naar aanleiding van het tweeminutendebat zijn op 2 juni 2026 twee moties aangenomen. De motie van het lid Abdi (PRO) roept op te onderzoeken hoe WAMCA-zaken die strekken tot schadevergoeding en waarvoor geen commerciële procesfinanciering beschikbaar is, toch bij de rechter aanhangig gemaakt kunnen worden.</w:t>
      </w:r>
      <w:r w:rsidRPr="001F35E7">
        <w:rPr>
          <w:rStyle w:val="Voetnootmarkering"/>
          <w:rFonts w:cs="ADLaM Display"/>
        </w:rPr>
        <w:footnoteReference w:id="6"/>
      </w:r>
      <w:r w:rsidRPr="001F35E7">
        <w:rPr>
          <w:rFonts w:cs="ADLaM Display"/>
        </w:rPr>
        <w:t xml:space="preserve"> De motie van de leden Straatman (CDA) en </w:t>
      </w:r>
      <w:proofErr w:type="spellStart"/>
      <w:r w:rsidRPr="001F35E7">
        <w:rPr>
          <w:rFonts w:cs="ADLaM Display"/>
        </w:rPr>
        <w:t>Ellian</w:t>
      </w:r>
      <w:proofErr w:type="spellEnd"/>
      <w:r w:rsidRPr="001F35E7">
        <w:rPr>
          <w:rFonts w:cs="ADLaM Display"/>
        </w:rPr>
        <w:t xml:space="preserve"> (VVD) roept op nader te onderzoeken of en zo ja, hoe procesfinanciering van collectieve acties verder gereguleerd kan worden en hierin ook het vraagstuk rondom de redelijke beloning van een procesfinancier mee te nemen, evenals maatregelen ter verbetering van de transparantie rondom de financieringsovereenkomst.</w:t>
      </w:r>
      <w:r w:rsidRPr="001F35E7">
        <w:rPr>
          <w:rStyle w:val="Voetnootmarkering"/>
          <w:rFonts w:cs="ADLaM Display"/>
        </w:rPr>
        <w:footnoteReference w:id="7"/>
      </w:r>
      <w:r w:rsidRPr="001F35E7">
        <w:rPr>
          <w:rFonts w:cs="ADLaM Display"/>
        </w:rPr>
        <w:t xml:space="preserve"> In het tweeminutendebat heb ik al laten weten dat ik een vervolgonderzoek wil laten uitvoeren naar de kosten, financiering en financierbaarheid van collectieve acties.</w:t>
      </w:r>
      <w:r w:rsidR="00247B40">
        <w:rPr>
          <w:rFonts w:cs="ADLaM Display"/>
        </w:rPr>
        <w:t xml:space="preserve"> </w:t>
      </w:r>
    </w:p>
    <w:p w:rsidR="001F35E7" w:rsidP="001F35E7" w:rsidRDefault="001F35E7" w14:paraId="49B748C5" w14:textId="77777777">
      <w:pPr>
        <w:rPr>
          <w:rFonts w:cs="ADLaM Display"/>
        </w:rPr>
      </w:pPr>
    </w:p>
    <w:p w:rsidR="00073E8F" w:rsidP="001F35E7" w:rsidRDefault="001F35E7" w14:paraId="70FB1BD6" w14:textId="77777777">
      <w:pPr>
        <w:rPr>
          <w:rFonts w:cs="ADLaM Display"/>
        </w:rPr>
      </w:pPr>
      <w:r w:rsidRPr="001F35E7">
        <w:rPr>
          <w:rFonts w:cs="ADLaM Display"/>
        </w:rPr>
        <w:t>In deze brief reageer ik inhoudelijk op de twee rapporten van het evaluatieonderzoek die in 2025 naar uw Kamer zijn gestuurd en de daarin opgenomen aanbevelingen. Ook ga ik in op de hiervoor genoemde toezegging, de uitvoering van beide moties en</w:t>
      </w:r>
      <w:r w:rsidR="00247B40">
        <w:rPr>
          <w:rFonts w:cs="ADLaM Display"/>
        </w:rPr>
        <w:t xml:space="preserve"> </w:t>
      </w:r>
      <w:r w:rsidRPr="001F35E7">
        <w:rPr>
          <w:rFonts w:cs="ADLaM Display"/>
        </w:rPr>
        <w:t xml:space="preserve">het vervolgonderzoek. </w:t>
      </w:r>
    </w:p>
    <w:p w:rsidR="00073E8F" w:rsidP="001F35E7" w:rsidRDefault="00073E8F" w14:paraId="3A2E852A" w14:textId="77777777">
      <w:pPr>
        <w:rPr>
          <w:rFonts w:cs="ADLaM Display"/>
        </w:rPr>
      </w:pPr>
    </w:p>
    <w:p w:rsidR="00AE50B0" w:rsidP="001F35E7" w:rsidRDefault="006E24F4" w14:paraId="58F2CE9E" w14:textId="79CE4BA1">
      <w:pPr>
        <w:rPr>
          <w:rFonts w:cs="ADLaM Display"/>
        </w:rPr>
      </w:pPr>
      <w:r w:rsidRPr="0073782A">
        <w:rPr>
          <w:rFonts w:cs="ADLaM Display"/>
        </w:rPr>
        <w:t>Ik besef dat deze kabinetsreactie technisch en juridisch is. Dat h</w:t>
      </w:r>
      <w:r w:rsidRPr="0073782A" w:rsidR="00F6325B">
        <w:rPr>
          <w:rFonts w:cs="ADLaM Display"/>
        </w:rPr>
        <w:t>eeft te maken met</w:t>
      </w:r>
      <w:r w:rsidRPr="0073782A">
        <w:rPr>
          <w:rFonts w:cs="ADLaM Display"/>
        </w:rPr>
        <w:t xml:space="preserve"> het evaluatieonderzoek en de </w:t>
      </w:r>
      <w:r w:rsidRPr="0073782A" w:rsidR="008946F8">
        <w:rPr>
          <w:rFonts w:cs="ADLaM Display"/>
        </w:rPr>
        <w:t xml:space="preserve">aard van de </w:t>
      </w:r>
      <w:r w:rsidRPr="0073782A">
        <w:rPr>
          <w:rFonts w:cs="ADLaM Display"/>
        </w:rPr>
        <w:t xml:space="preserve">aanbevelingen. </w:t>
      </w:r>
      <w:r w:rsidRPr="0073782A" w:rsidR="00F6325B">
        <w:rPr>
          <w:rFonts w:cs="ADLaM Display"/>
        </w:rPr>
        <w:t xml:space="preserve">Om uw Kamer en de rechtspraktijk goed te informeren, vind ik het belangrijk om inhoudelijk op alle aanbevelingen te reageren. </w:t>
      </w:r>
      <w:r w:rsidRPr="0073782A">
        <w:rPr>
          <w:rFonts w:cs="ADLaM Display"/>
        </w:rPr>
        <w:t>Voor mij</w:t>
      </w:r>
      <w:r w:rsidRPr="0073782A" w:rsidR="00F6325B">
        <w:rPr>
          <w:rFonts w:cs="ADLaM Display"/>
        </w:rPr>
        <w:t xml:space="preserve"> staat</w:t>
      </w:r>
      <w:r w:rsidRPr="0073782A">
        <w:rPr>
          <w:rFonts w:cs="ADLaM Display"/>
        </w:rPr>
        <w:t xml:space="preserve"> voorop</w:t>
      </w:r>
      <w:r w:rsidRPr="0073782A" w:rsidR="00F6325B">
        <w:rPr>
          <w:rFonts w:cs="ADLaM Display"/>
        </w:rPr>
        <w:t>:</w:t>
      </w:r>
      <w:r w:rsidRPr="0073782A">
        <w:rPr>
          <w:rFonts w:cs="ADLaM Display"/>
        </w:rPr>
        <w:t xml:space="preserve"> goede toegang tot het recht. De WAMCA </w:t>
      </w:r>
      <w:r w:rsidRPr="0073782A" w:rsidR="00D75D1C">
        <w:rPr>
          <w:rFonts w:cs="ADLaM Display"/>
        </w:rPr>
        <w:t xml:space="preserve">draagt daaraan bij en is dus meer dan alleen een technische regeling. Het is vooral </w:t>
      </w:r>
      <w:r w:rsidRPr="0073782A">
        <w:rPr>
          <w:rFonts w:cs="ADLaM Display"/>
        </w:rPr>
        <w:t xml:space="preserve">een middel </w:t>
      </w:r>
      <w:r w:rsidRPr="0073782A" w:rsidR="00D75D1C">
        <w:rPr>
          <w:rFonts w:cs="ADLaM Display"/>
        </w:rPr>
        <w:t xml:space="preserve">voor burgers en bedrijven </w:t>
      </w:r>
      <w:r w:rsidRPr="0073782A">
        <w:rPr>
          <w:rFonts w:cs="ADLaM Display"/>
        </w:rPr>
        <w:t>om samen naleving van wet- en regelgeving af te dwingen wanneer dat individueel niet lukt.</w:t>
      </w:r>
      <w:r w:rsidRPr="006E24F4">
        <w:rPr>
          <w:rFonts w:cs="ADLaM Display"/>
        </w:rPr>
        <w:t xml:space="preserve"> </w:t>
      </w:r>
    </w:p>
    <w:p w:rsidR="00F6325B" w:rsidP="001F35E7" w:rsidRDefault="00F6325B" w14:paraId="0CA45403" w14:textId="77777777">
      <w:pPr>
        <w:rPr>
          <w:rFonts w:cs="ADLaM Display"/>
          <w:i/>
          <w:iCs/>
        </w:rPr>
      </w:pPr>
    </w:p>
    <w:p w:rsidRPr="001F35E7" w:rsidR="001F35E7" w:rsidP="001F35E7" w:rsidRDefault="001F35E7" w14:paraId="20CB3F2A" w14:textId="42DDFAFF">
      <w:pPr>
        <w:rPr>
          <w:rFonts w:cs="ADLaM Display"/>
          <w:i/>
          <w:iCs/>
        </w:rPr>
      </w:pPr>
      <w:r w:rsidRPr="001F35E7">
        <w:rPr>
          <w:rFonts w:cs="ADLaM Display"/>
          <w:i/>
          <w:iCs/>
        </w:rPr>
        <w:t xml:space="preserve">Kern van de kabinetsreactie </w:t>
      </w:r>
    </w:p>
    <w:p w:rsidRPr="001F35E7" w:rsidR="001F35E7" w:rsidP="001F35E7" w:rsidRDefault="001F35E7" w14:paraId="3042E6AE" w14:textId="77777777">
      <w:pPr>
        <w:rPr>
          <w:rFonts w:cs="ADLaM Display"/>
        </w:rPr>
      </w:pPr>
      <w:r w:rsidRPr="001F35E7">
        <w:rPr>
          <w:rFonts w:cs="ADLaM Display"/>
        </w:rPr>
        <w:t xml:space="preserve">De rapporten getuigen van een gedegen onderzoek. Op basis van de aanbevelingen van de onderzoekers en de bespreking daarvan in de monitoringsbijeenkomst en de focusgroepen, is mijn conclusie dat er op dit moment onvoldoende aanleiding bestaat voor aanpassingen in de met de WAMCA ingevoerde wetgeving. Wel zie ik, in navolging van de onderzoekers, het commissiedebat en de moties van uw Kamer, aanleiding tot het doen van nader onderzoek. </w:t>
      </w:r>
    </w:p>
    <w:p w:rsidR="001F35E7" w:rsidP="001F35E7" w:rsidRDefault="001F35E7" w14:paraId="2E008311" w14:textId="77777777">
      <w:pPr>
        <w:rPr>
          <w:rFonts w:cs="ADLaM Display"/>
          <w:i/>
          <w:iCs/>
        </w:rPr>
      </w:pPr>
    </w:p>
    <w:p w:rsidRPr="001F35E7" w:rsidR="001F35E7" w:rsidP="001F35E7" w:rsidRDefault="001F35E7" w14:paraId="11987270" w14:textId="176F9053">
      <w:pPr>
        <w:rPr>
          <w:rFonts w:cs="ADLaM Display"/>
          <w:i/>
          <w:iCs/>
        </w:rPr>
      </w:pPr>
      <w:r w:rsidRPr="001F35E7">
        <w:rPr>
          <w:rFonts w:cs="ADLaM Display"/>
          <w:i/>
          <w:iCs/>
        </w:rPr>
        <w:t>Leeswijzer</w:t>
      </w:r>
    </w:p>
    <w:p w:rsidRPr="001F35E7" w:rsidR="001F35E7" w:rsidP="001F35E7" w:rsidRDefault="001F35E7" w14:paraId="206AE245" w14:textId="64859277">
      <w:pPr>
        <w:rPr>
          <w:rFonts w:cs="ADLaM Display"/>
        </w:rPr>
      </w:pPr>
      <w:r w:rsidRPr="001F35E7">
        <w:rPr>
          <w:rFonts w:cs="ADLaM Display"/>
        </w:rPr>
        <w:t xml:space="preserve">In par. 2 ga ik nader in op de aanleiding voor het onderzoek, in par. 3 op de opzet en de bevindingen </w:t>
      </w:r>
      <w:r w:rsidR="006A2732">
        <w:rPr>
          <w:rFonts w:cs="ADLaM Display"/>
        </w:rPr>
        <w:t>va</w:t>
      </w:r>
      <w:r w:rsidRPr="001F35E7">
        <w:rPr>
          <w:rFonts w:cs="ADLaM Display"/>
        </w:rPr>
        <w:t xml:space="preserve">n het rechtsvergelijkend rapport en in par. 4 op de opzet en bevindingen </w:t>
      </w:r>
      <w:r w:rsidR="006A2732">
        <w:rPr>
          <w:rFonts w:cs="ADLaM Display"/>
        </w:rPr>
        <w:t>va</w:t>
      </w:r>
      <w:r w:rsidRPr="001F35E7">
        <w:rPr>
          <w:rFonts w:cs="ADLaM Display"/>
        </w:rPr>
        <w:t xml:space="preserve">n het evaluatierapport. Mijn reactie op de rapporten en de aanbevelingen geef ik in par. 5. Vervolgens ga ik in par. 6 in op het vervolgonderzoek en in par. 7 op de overige punten. In par. 8 volgt </w:t>
      </w:r>
      <w:r w:rsidR="006A2732">
        <w:rPr>
          <w:rFonts w:cs="ADLaM Display"/>
        </w:rPr>
        <w:t>de</w:t>
      </w:r>
      <w:r w:rsidRPr="001F35E7" w:rsidR="006A2732">
        <w:rPr>
          <w:rFonts w:cs="ADLaM Display"/>
        </w:rPr>
        <w:t xml:space="preserve"> </w:t>
      </w:r>
      <w:r w:rsidRPr="001F35E7">
        <w:rPr>
          <w:rFonts w:cs="ADLaM Display"/>
        </w:rPr>
        <w:t>afsluiting.</w:t>
      </w:r>
    </w:p>
    <w:p w:rsidR="001F35E7" w:rsidP="001F35E7" w:rsidRDefault="001F35E7" w14:paraId="705568C2" w14:textId="77777777">
      <w:pPr>
        <w:rPr>
          <w:rFonts w:cs="ADLaM Display"/>
          <w:u w:val="single"/>
        </w:rPr>
      </w:pPr>
    </w:p>
    <w:p w:rsidR="001F35E7" w:rsidP="001F35E7" w:rsidRDefault="001F35E7" w14:paraId="0F45CA4E" w14:textId="77777777">
      <w:pPr>
        <w:rPr>
          <w:rFonts w:cs="ADLaM Display"/>
          <w:u w:val="single"/>
        </w:rPr>
      </w:pPr>
    </w:p>
    <w:p w:rsidRPr="001F35E7" w:rsidR="001F35E7" w:rsidP="001F35E7" w:rsidRDefault="001F35E7" w14:paraId="3F7731A8" w14:textId="17A0CF84">
      <w:pPr>
        <w:rPr>
          <w:rFonts w:cs="ADLaM Display"/>
          <w:u w:val="single"/>
        </w:rPr>
      </w:pPr>
      <w:r w:rsidRPr="001F35E7">
        <w:rPr>
          <w:rFonts w:cs="ADLaM Display"/>
          <w:u w:val="single"/>
        </w:rPr>
        <w:t>2. Aanleiding voor het evaluatieonderzoek</w:t>
      </w:r>
    </w:p>
    <w:p w:rsidR="001F35E7" w:rsidP="001F35E7" w:rsidRDefault="001F35E7" w14:paraId="26DCF19B" w14:textId="77777777">
      <w:pPr>
        <w:rPr>
          <w:rFonts w:cs="ADLaM Display"/>
        </w:rPr>
      </w:pPr>
    </w:p>
    <w:p w:rsidRPr="001F35E7" w:rsidR="001F35E7" w:rsidP="001F35E7" w:rsidRDefault="001F35E7" w14:paraId="5AB8C389" w14:textId="3118D751">
      <w:pPr>
        <w:rPr>
          <w:rFonts w:cs="ADLaM Display"/>
        </w:rPr>
      </w:pPr>
      <w:r w:rsidRPr="001F35E7">
        <w:rPr>
          <w:rFonts w:cs="ADLaM Display"/>
        </w:rPr>
        <w:t>De WAMCA heeft de regeling voor collectieve acties (artikel 3:305a van het Burgerlijk Wetboek</w:t>
      </w:r>
      <w:r w:rsidR="00A66462">
        <w:rPr>
          <w:rFonts w:cs="ADLaM Display"/>
        </w:rPr>
        <w:t xml:space="preserve">, </w:t>
      </w:r>
      <w:r w:rsidRPr="001F35E7">
        <w:rPr>
          <w:rFonts w:cs="ADLaM Display"/>
        </w:rPr>
        <w:t xml:space="preserve">hierna: BW) per 1 januari 2020 gewijzigd. </w:t>
      </w:r>
      <w:r w:rsidR="004D1413">
        <w:rPr>
          <w:rFonts w:cs="ADLaM Display"/>
        </w:rPr>
        <w:t>Het gezamenlijk kunnen procederen in een</w:t>
      </w:r>
      <w:r w:rsidRPr="001F35E7">
        <w:rPr>
          <w:rFonts w:cs="ADLaM Display"/>
        </w:rPr>
        <w:t xml:space="preserve"> collectieve actie draagt bij aan een goede toegang tot de rechter. Conflicten die een grote groep mensen raken en die anders onopgelost zouden blijven, of waarin anders heel veel verschillende individuele rechtszaken voor de rechter gebracht zouden worden, kunnen via één </w:t>
      </w:r>
      <w:r w:rsidR="004D1413">
        <w:rPr>
          <w:rFonts w:cs="ADLaM Display"/>
        </w:rPr>
        <w:t xml:space="preserve">collectieve </w:t>
      </w:r>
      <w:r w:rsidRPr="001F35E7">
        <w:rPr>
          <w:rFonts w:cs="ADLaM Display"/>
        </w:rPr>
        <w:t>procedure aan de rechter worden voorgelegd. Ook voor maatschappelijke organisaties is het recht om collectieve acties te voeren van groot belang. Zij kunnen namens groepen of in het algemeen belang opkomen voor kwesties die de samenleving als geheel raken en waarin individuele rechtsbescherming niet altijd haalbaar is.</w:t>
      </w:r>
      <w:r w:rsidRPr="001F35E7">
        <w:rPr>
          <w:rStyle w:val="Voetnootmarkering"/>
          <w:rFonts w:cs="ADLaM Display"/>
        </w:rPr>
        <w:footnoteReference w:id="8"/>
      </w:r>
      <w:r w:rsidR="00247B40">
        <w:rPr>
          <w:rFonts w:cs="ADLaM Display"/>
        </w:rPr>
        <w:t xml:space="preserve"> </w:t>
      </w:r>
    </w:p>
    <w:p w:rsidR="001F35E7" w:rsidP="001F35E7" w:rsidRDefault="001F35E7" w14:paraId="3D985982" w14:textId="77777777">
      <w:pPr>
        <w:rPr>
          <w:rFonts w:cs="ADLaM Display"/>
        </w:rPr>
      </w:pPr>
    </w:p>
    <w:p w:rsidRPr="001F35E7" w:rsidR="001F35E7" w:rsidP="001F35E7" w:rsidRDefault="001F35E7" w14:paraId="7D323FE0" w14:textId="0E8938F4">
      <w:pPr>
        <w:rPr>
          <w:rFonts w:cs="ADLaM Display"/>
        </w:rPr>
      </w:pPr>
      <w:r w:rsidRPr="001F35E7">
        <w:rPr>
          <w:rFonts w:cs="ADLaM Display"/>
        </w:rPr>
        <w:t>Artikel 3:305a BW biedt een vereniging of een stichting (hierna: een belangenorganisatie) de mogelijkheid een rechtsvordering instellen voor de gelijksoortige belangen van anderen. Deze vordering kan zien op een financieel belang, maar ook op een algemeen of ideëel belang, en kan worden gericht tegen individuen, ondernemingen en de overheid. Tot 1 januari 2020 kon een belangenorganisatie alleen een gebod, verbod of verklaring voor recht vorderen. Met de invoering van de WAMCA per die datum is ook een vordering tot schadevergoeding mogelijk. Verder zijn met de WAMCA de ontvankelijkheidsvereisten voor een belangenorganisatie aangescherpt voor alle vorderingen. Zo moet een belangenorganisatie voldoende representatief zijn om op te komen voor de belangen van de achterban</w:t>
      </w:r>
      <w:r w:rsidRPr="001F35E7">
        <w:rPr>
          <w:rStyle w:val="Voetnootmarkering"/>
          <w:rFonts w:cs="ADLaM Display"/>
        </w:rPr>
        <w:footnoteReference w:id="9"/>
      </w:r>
      <w:r w:rsidRPr="001F35E7">
        <w:rPr>
          <w:rFonts w:cs="ADLaM Display"/>
        </w:rPr>
        <w:t xml:space="preserve"> en gelden er eisen voor de inrichting van de belangenorganisatie (de </w:t>
      </w:r>
      <w:proofErr w:type="spellStart"/>
      <w:r w:rsidRPr="001F35E7">
        <w:rPr>
          <w:rFonts w:cs="ADLaM Display"/>
          <w:i/>
          <w:iCs/>
        </w:rPr>
        <w:t>governance</w:t>
      </w:r>
      <w:proofErr w:type="spellEnd"/>
      <w:r w:rsidRPr="001F35E7">
        <w:rPr>
          <w:rFonts w:cs="ADLaM Display"/>
        </w:rPr>
        <w:t>-eisen).</w:t>
      </w:r>
      <w:r w:rsidRPr="001F35E7">
        <w:rPr>
          <w:rStyle w:val="Voetnootmarkering"/>
          <w:rFonts w:cs="ADLaM Display"/>
        </w:rPr>
        <w:footnoteReference w:id="10"/>
      </w:r>
      <w:r w:rsidRPr="001F35E7">
        <w:rPr>
          <w:rFonts w:cs="ADLaM Display"/>
        </w:rPr>
        <w:t xml:space="preserve"> De rechter kan bepaalde ontvankelijkheidseisen die zien op </w:t>
      </w:r>
      <w:proofErr w:type="spellStart"/>
      <w:r w:rsidRPr="001F35E7">
        <w:rPr>
          <w:rFonts w:cs="ADLaM Display"/>
          <w:i/>
          <w:iCs/>
        </w:rPr>
        <w:t>governance</w:t>
      </w:r>
      <w:proofErr w:type="spellEnd"/>
      <w:r w:rsidRPr="001F35E7">
        <w:rPr>
          <w:rFonts w:cs="ADLaM Display"/>
        </w:rPr>
        <w:t xml:space="preserve"> niet toepassen als er sprake is van een ideëel doel en een zeer beperkt financieel belang of als de aard van de vordering of de achterban daartoe aanleiding geeft (artikel 3:305a lid 6 BW).</w:t>
      </w:r>
      <w:r w:rsidR="00A66462">
        <w:rPr>
          <w:rStyle w:val="Voetnootmarkering"/>
          <w:rFonts w:cs="ADLaM Display"/>
        </w:rPr>
        <w:footnoteReference w:id="11"/>
      </w:r>
      <w:r w:rsidRPr="001F35E7">
        <w:rPr>
          <w:rFonts w:cs="ADLaM Display"/>
        </w:rPr>
        <w:t xml:space="preserve"> Daarnaast is met de WAMCA een verplichte en duidelijk onderscheiden fasering ingevoerd, bestaande in een ontvankelijkheidsfase en een fase voor de inhoudelijke behandeling van de collectieve actie (titel 14A van het Wetboek van Burgerlijke Rechtsvordering</w:t>
      </w:r>
      <w:r w:rsidR="00A66462">
        <w:rPr>
          <w:rFonts w:cs="ADLaM Display"/>
        </w:rPr>
        <w:t>,</w:t>
      </w:r>
      <w:r w:rsidRPr="001F35E7">
        <w:rPr>
          <w:rFonts w:cs="ADLaM Display"/>
        </w:rPr>
        <w:t xml:space="preserve"> hierna: Rv).</w:t>
      </w:r>
    </w:p>
    <w:p w:rsidR="001F35E7" w:rsidP="001F35E7" w:rsidRDefault="001F35E7" w14:paraId="01D2E7ED" w14:textId="77777777">
      <w:pPr>
        <w:rPr>
          <w:rFonts w:cs="ADLaM Display"/>
        </w:rPr>
      </w:pPr>
    </w:p>
    <w:p w:rsidRPr="001F35E7" w:rsidR="001F35E7" w:rsidP="001F35E7" w:rsidRDefault="001F35E7" w14:paraId="0BC95DCD" w14:textId="059DFC50">
      <w:pPr>
        <w:rPr>
          <w:rFonts w:cs="ADLaM Display"/>
        </w:rPr>
      </w:pPr>
      <w:r w:rsidRPr="001F35E7">
        <w:rPr>
          <w:rFonts w:cs="ADLaM Display"/>
        </w:rPr>
        <w:t>Artikel IV van de WAMCA bepaalt dat de wet vijf jaar na inwerkingtreding wordt geëvalueerd.</w:t>
      </w:r>
      <w:r w:rsidRPr="001F35E7">
        <w:rPr>
          <w:rStyle w:val="Voetnootmarkering"/>
          <w:rFonts w:cs="ADLaM Display"/>
        </w:rPr>
        <w:footnoteReference w:id="12"/>
      </w:r>
      <w:r w:rsidRPr="001F35E7">
        <w:rPr>
          <w:rFonts w:cs="ADLaM Display"/>
        </w:rPr>
        <w:t xml:space="preserve"> </w:t>
      </w:r>
      <w:r w:rsidR="00D7684E">
        <w:rPr>
          <w:rFonts w:cs="ADLaM Display"/>
        </w:rPr>
        <w:t xml:space="preserve">Met het evaluatieonderzoek </w:t>
      </w:r>
      <w:r w:rsidR="00FB38CE">
        <w:rPr>
          <w:rFonts w:cs="ADLaM Display"/>
        </w:rPr>
        <w:t>is</w:t>
      </w:r>
      <w:r w:rsidR="00D7684E">
        <w:rPr>
          <w:rFonts w:cs="ADLaM Display"/>
        </w:rPr>
        <w:t xml:space="preserve"> opvolging gegeven aan deze bepaling. </w:t>
      </w:r>
      <w:r w:rsidRPr="001F35E7">
        <w:rPr>
          <w:rFonts w:cs="ADLaM Display"/>
        </w:rPr>
        <w:t xml:space="preserve">In </w:t>
      </w:r>
      <w:r w:rsidR="00D7684E">
        <w:rPr>
          <w:rFonts w:cs="ADLaM Display"/>
        </w:rPr>
        <w:t xml:space="preserve">het </w:t>
      </w:r>
      <w:r w:rsidRPr="001F35E7">
        <w:rPr>
          <w:rFonts w:cs="ADLaM Display"/>
        </w:rPr>
        <w:t xml:space="preserve">onderzoek staat de vraag centraal hoe de collectieve actie in de zin van artikel 3:305a BW in de praktijk werkt in het licht van de doelstellingen van de WAMCA. </w:t>
      </w:r>
    </w:p>
    <w:p w:rsidR="00AE50B0" w:rsidP="001F35E7" w:rsidRDefault="00AE50B0" w14:paraId="474EFFC6" w14:textId="77777777">
      <w:pPr>
        <w:rPr>
          <w:rFonts w:cs="ADLaM Display"/>
        </w:rPr>
      </w:pPr>
    </w:p>
    <w:p w:rsidRPr="001F35E7" w:rsidR="001F35E7" w:rsidP="001F35E7" w:rsidRDefault="001F35E7" w14:paraId="47204AD4" w14:textId="1D36F42C">
      <w:pPr>
        <w:rPr>
          <w:rFonts w:cs="ADLaM Display"/>
        </w:rPr>
      </w:pPr>
      <w:r w:rsidRPr="001F35E7">
        <w:rPr>
          <w:rFonts w:cs="ADLaM Display"/>
        </w:rPr>
        <w:t>Het evaluatieonderzoek geeft ook invulling aan de passage in het regeerprogramma van het kabinet-Schoof waarin wordt gemeld dat het kabinet onderzoekt of en zo ja, hoe nadere vereisten gesteld moeten worden aan de representativiteit van belangenorganisaties met een ideëel doel die een procedure kunnen voeren op basis van artikel 3:305a BW.</w:t>
      </w:r>
      <w:r w:rsidRPr="001F35E7">
        <w:rPr>
          <w:rStyle w:val="Voetnootmarkering"/>
          <w:rFonts w:cs="ADLaM Display"/>
        </w:rPr>
        <w:footnoteReference w:id="13"/>
      </w:r>
      <w:r w:rsidRPr="001F35E7">
        <w:rPr>
          <w:rFonts w:cs="ADLaM Display"/>
        </w:rPr>
        <w:t xml:space="preserve"> Het komt ook tegemoet aan </w:t>
      </w:r>
      <w:r>
        <w:rPr>
          <w:rFonts w:cs="ADLaM Display"/>
        </w:rPr>
        <w:t>m</w:t>
      </w:r>
      <w:r w:rsidRPr="001F35E7">
        <w:rPr>
          <w:rFonts w:cs="ADLaM Display"/>
        </w:rPr>
        <w:t>oties met een soortgelijke strekking van Stoffer c.s. en van Diederik van Dijk c.s., alsmede aan een aan de Eerste Kamer gedane toezegging.</w:t>
      </w:r>
      <w:r w:rsidRPr="001F35E7">
        <w:rPr>
          <w:rStyle w:val="Voetnootmarkering"/>
          <w:rFonts w:cs="ADLaM Display"/>
        </w:rPr>
        <w:footnoteReference w:id="14"/>
      </w:r>
      <w:r w:rsidRPr="001F35E7">
        <w:rPr>
          <w:rFonts w:cs="ADLaM Display"/>
        </w:rPr>
        <w:t xml:space="preserve"> </w:t>
      </w:r>
    </w:p>
    <w:p w:rsidR="00D7684E" w:rsidP="001F35E7" w:rsidRDefault="00D7684E" w14:paraId="1758E1A4" w14:textId="77777777">
      <w:pPr>
        <w:rPr>
          <w:rFonts w:cs="ADLaM Display"/>
        </w:rPr>
      </w:pPr>
    </w:p>
    <w:p w:rsidRPr="001F35E7" w:rsidR="001F35E7" w:rsidP="001F35E7" w:rsidRDefault="001F35E7" w14:paraId="3CE37A30" w14:textId="1B3690AC">
      <w:pPr>
        <w:rPr>
          <w:rFonts w:cs="ADLaM Display"/>
          <w:u w:val="single"/>
        </w:rPr>
      </w:pPr>
      <w:r w:rsidRPr="001F35E7">
        <w:rPr>
          <w:rFonts w:cs="ADLaM Display"/>
        </w:rPr>
        <w:t xml:space="preserve">Het WAMCA evaluatieonderzoek bestaat uit een rechtsvergelijkend rapport over toegang tot de rechter in algemeenbelangacties en een evaluatierapport over het functioneren van de wetswijzigingen die met de WAMCA zijn ingevoerd. De opzet en bevindingen van deze rapporten worden in de volgende paragrafen besproken. </w:t>
      </w:r>
    </w:p>
    <w:p w:rsidRPr="001F35E7" w:rsidR="001F35E7" w:rsidP="001F35E7" w:rsidRDefault="001F35E7" w14:paraId="7DD34EBD" w14:textId="77777777">
      <w:pPr>
        <w:rPr>
          <w:rFonts w:cs="ADLaM Display"/>
          <w:u w:val="single"/>
        </w:rPr>
      </w:pPr>
    </w:p>
    <w:p w:rsidR="001F35E7" w:rsidP="001F35E7" w:rsidRDefault="001F35E7" w14:paraId="40E651BA" w14:textId="77777777">
      <w:pPr>
        <w:rPr>
          <w:rFonts w:cs="ADLaM Display"/>
          <w:u w:val="single"/>
        </w:rPr>
      </w:pPr>
    </w:p>
    <w:p w:rsidRPr="001F35E7" w:rsidR="001F35E7" w:rsidP="001F35E7" w:rsidRDefault="001F35E7" w14:paraId="2E80978E" w14:textId="3D431BE4">
      <w:pPr>
        <w:rPr>
          <w:rFonts w:cs="ADLaM Display"/>
          <w:u w:val="single"/>
        </w:rPr>
      </w:pPr>
      <w:r w:rsidRPr="001F35E7">
        <w:rPr>
          <w:rFonts w:cs="ADLaM Display"/>
          <w:u w:val="single"/>
        </w:rPr>
        <w:t>3. Opzet en bevindingen rechtsvergelijkend rapport</w:t>
      </w:r>
    </w:p>
    <w:p w:rsidR="001F35E7" w:rsidP="001F35E7" w:rsidRDefault="001F35E7" w14:paraId="6F48BB1C" w14:textId="77777777">
      <w:pPr>
        <w:rPr>
          <w:rFonts w:cs="ADLaM Display"/>
        </w:rPr>
      </w:pPr>
    </w:p>
    <w:p w:rsidRPr="001F35E7" w:rsidR="001F35E7" w:rsidP="001F35E7" w:rsidRDefault="001F35E7" w14:paraId="1642F5D6" w14:textId="5F77B1EA">
      <w:pPr>
        <w:rPr>
          <w:rFonts w:cs="ADLaM Display"/>
        </w:rPr>
      </w:pPr>
      <w:r w:rsidRPr="001F35E7">
        <w:rPr>
          <w:rFonts w:cs="ADLaM Display"/>
        </w:rPr>
        <w:t>Het rechtsvergelijkend rapport vergelijkt de toegang tot de civiele rechter voor belangenorganisaties in algemeenbelangacties in Nederland, België, Duitsland, Engeland en Wales, Frankrijk, Noorwegen en Zweden. De onderzoekers gebruiken de aanduiding algemeenbelangactie voor vorderingen die in artikel 3:305a lid 6 BW worden aangeduid als vorderingen met een ideëel doel waarin geen schadevergoeding wordt gevorderd. Daarnaast bespreekt het rapport de representativiteitstoets van artikel 3:305a BW in het licht van het recht op effectieve toegang zoals dat wordt gewaarborgd in het Europees Verdrag voor de Rechten van de Mens en het Verdrag van Aarhus.</w:t>
      </w:r>
    </w:p>
    <w:p w:rsidR="001F35E7" w:rsidP="001F35E7" w:rsidRDefault="001F35E7" w14:paraId="7891C365" w14:textId="77777777">
      <w:pPr>
        <w:rPr>
          <w:rFonts w:cs="ADLaM Display"/>
        </w:rPr>
      </w:pPr>
    </w:p>
    <w:p w:rsidR="001F35E7" w:rsidP="001F35E7" w:rsidRDefault="001F35E7" w14:paraId="6601F62E" w14:textId="1B1355A8">
      <w:pPr>
        <w:rPr>
          <w:rFonts w:cs="ADLaM Display"/>
        </w:rPr>
      </w:pPr>
      <w:r w:rsidRPr="001F35E7">
        <w:rPr>
          <w:rFonts w:cs="ADLaM Display"/>
        </w:rPr>
        <w:t xml:space="preserve">De onderzoekers stellen vast dat alle onderzochte jurisdicties belangenorganisaties de bevoegdheid geven om voor de bescherming van een ruime variëteit aan belangen en rechten van anderen een algemeenbelangactie (of een variant daarop) aanhangig te maken. De </w:t>
      </w:r>
      <w:proofErr w:type="spellStart"/>
      <w:r w:rsidRPr="001F35E7">
        <w:rPr>
          <w:rFonts w:cs="ADLaM Display"/>
        </w:rPr>
        <w:t>jursdicties</w:t>
      </w:r>
      <w:proofErr w:type="spellEnd"/>
      <w:r w:rsidRPr="001F35E7">
        <w:rPr>
          <w:rFonts w:cs="ADLaM Display"/>
        </w:rPr>
        <w:t xml:space="preserve"> verschillen in bij welke rechter belangenorganisaties zulke zaken kunnen aanbrengen (bijvoorbeeld de civiele of constitutionele rechter).</w:t>
      </w:r>
      <w:r w:rsidRPr="001F35E7">
        <w:rPr>
          <w:rStyle w:val="Voetnootmarkering"/>
          <w:rFonts w:cs="ADLaM Display"/>
        </w:rPr>
        <w:footnoteReference w:id="15"/>
      </w:r>
      <w:r w:rsidRPr="001F35E7">
        <w:rPr>
          <w:rFonts w:cs="ADLaM Display"/>
        </w:rPr>
        <w:t xml:space="preserve"> Het beeld dat uit het rechtsvergelijkend rapport naar voren komt, is dat in alle onderzochte jurisdicties, inclusief Nederland, </w:t>
      </w:r>
      <w:r w:rsidRPr="001F35E7" w:rsidR="00771380">
        <w:rPr>
          <w:rFonts w:cs="ADLaM Display"/>
        </w:rPr>
        <w:t xml:space="preserve">in de ontvankelijkheidsbeoordeling </w:t>
      </w:r>
      <w:r w:rsidRPr="001F35E7">
        <w:rPr>
          <w:rFonts w:cs="ADLaM Display"/>
        </w:rPr>
        <w:t>gekeken wordt naar de representativiteit van de procederende belangenorganisatie. Niet alle jurisdicties hanteren expliciet de term representativiteit maar alle jurisdicties hanteren ontvankelijkheidscriteria die hier betrekking op hebben. De nadere uitwerking van de notie van representativiteit is veelal niet nader geconcretiseerd en wordt aan de rechter overgelaten. Met name criteria die zien op de geschiktheid van de belangenorganisatie om op te komen voor de belangen van de achterban spelen daarbij een rol. Aan criteria die zien op de relatie van de belangenorganisatie tot de achterban komt minder gewicht toe.</w:t>
      </w:r>
      <w:r w:rsidRPr="001F35E7">
        <w:rPr>
          <w:rStyle w:val="Voetnootmarkering"/>
          <w:rFonts w:cs="ADLaM Display"/>
        </w:rPr>
        <w:footnoteReference w:id="16"/>
      </w:r>
      <w:r w:rsidRPr="001F35E7">
        <w:rPr>
          <w:rFonts w:cs="ADLaM Display"/>
        </w:rPr>
        <w:t xml:space="preserve"> </w:t>
      </w:r>
    </w:p>
    <w:p w:rsidR="001F35E7" w:rsidP="001F35E7" w:rsidRDefault="001F35E7" w14:paraId="771117B5" w14:textId="77777777">
      <w:pPr>
        <w:rPr>
          <w:rFonts w:cs="ADLaM Display"/>
        </w:rPr>
      </w:pPr>
    </w:p>
    <w:p w:rsidRPr="001F35E7" w:rsidR="001F35E7" w:rsidP="001F35E7" w:rsidRDefault="001F35E7" w14:paraId="21DDBEA7" w14:textId="744E3340">
      <w:pPr>
        <w:rPr>
          <w:rFonts w:cs="ADLaM Display"/>
        </w:rPr>
      </w:pPr>
      <w:r w:rsidRPr="001F35E7">
        <w:rPr>
          <w:rFonts w:cs="ADLaM Display"/>
        </w:rPr>
        <w:t>Uit het onderzoek blijkt niet dat er een noodzaak is tot het stellen van nadere vereisten aan de representativiteit van belangenorganisaties in algemeenbelangacties. Voor milieuzaken wijzen de onderzoekers in dit verband nog op artikel 9 van het Verdrag van Aarhus.</w:t>
      </w:r>
      <w:r w:rsidRPr="001F35E7">
        <w:rPr>
          <w:rStyle w:val="Voetnootmarkering"/>
          <w:rFonts w:cs="ADLaM Display"/>
        </w:rPr>
        <w:footnoteReference w:id="17"/>
      </w:r>
      <w:r w:rsidRPr="001F35E7">
        <w:rPr>
          <w:rFonts w:cs="ADLaM Display"/>
        </w:rPr>
        <w:t xml:space="preserve"> Uitgangspunt van het Verdrag is dat belangenorganisaties ruime toegang dienen te hebben tot de rechter om op te komen voor de bescherming van (door het Verdrag bestreken) milieubelangen. De nationale toepasselijke regels en criteria mogen het voor belangenorganisaties in elk geval niet feitelijk onmogelijk of uiterst moeilijk maken om via rechtszaken te verzekeren dat (door het Verdrag bestreken) milieuregels worden nageleefd. Met name de criteria die betrekking hebben op de relatie van de belangenorganisatie met de achterban in het huidige representativiteitsvereiste, staan bij milieubelangen op gespannen voet met het Verdrag van Aarhus. Die criteria zijn immers niet goed hanteerbaar bij milieubelangen, waar de achterban vaak diffuus en </w:t>
      </w:r>
      <w:proofErr w:type="spellStart"/>
      <w:r w:rsidRPr="001F35E7">
        <w:rPr>
          <w:rFonts w:cs="ADLaM Display"/>
        </w:rPr>
        <w:t>onbepaalbaar</w:t>
      </w:r>
      <w:proofErr w:type="spellEnd"/>
      <w:r w:rsidRPr="001F35E7">
        <w:rPr>
          <w:rFonts w:cs="ADLaM Display"/>
        </w:rPr>
        <w:t xml:space="preserve"> is.</w:t>
      </w:r>
      <w:r w:rsidRPr="001F35E7">
        <w:rPr>
          <w:rStyle w:val="Voetnootmarkering"/>
          <w:rFonts w:cs="ADLaM Display"/>
        </w:rPr>
        <w:footnoteReference w:id="18"/>
      </w:r>
      <w:r w:rsidRPr="001F35E7">
        <w:rPr>
          <w:rFonts w:cs="ADLaM Display"/>
        </w:rPr>
        <w:t xml:space="preserve"> </w:t>
      </w:r>
    </w:p>
    <w:p w:rsidRPr="001F35E7" w:rsidR="001F35E7" w:rsidP="001F35E7" w:rsidRDefault="001F35E7" w14:paraId="52E7D114" w14:textId="77777777">
      <w:pPr>
        <w:rPr>
          <w:rFonts w:cs="ADLaM Display"/>
          <w:u w:val="single"/>
        </w:rPr>
      </w:pPr>
    </w:p>
    <w:p w:rsidR="001F35E7" w:rsidP="001F35E7" w:rsidRDefault="001F35E7" w14:paraId="527A9E07" w14:textId="77777777">
      <w:pPr>
        <w:rPr>
          <w:rFonts w:cs="ADLaM Display"/>
          <w:u w:val="single"/>
        </w:rPr>
      </w:pPr>
    </w:p>
    <w:p w:rsidRPr="001F35E7" w:rsidR="001F35E7" w:rsidP="001F35E7" w:rsidRDefault="001F35E7" w14:paraId="224CBFE3" w14:textId="411187CA">
      <w:pPr>
        <w:rPr>
          <w:rFonts w:cs="ADLaM Display"/>
          <w:u w:val="single"/>
        </w:rPr>
      </w:pPr>
      <w:r w:rsidRPr="001F35E7">
        <w:rPr>
          <w:rFonts w:cs="ADLaM Display"/>
          <w:u w:val="single"/>
        </w:rPr>
        <w:t>4. Opzet en bevindingen evaluatierapport</w:t>
      </w:r>
    </w:p>
    <w:p w:rsidR="001F35E7" w:rsidP="001F35E7" w:rsidRDefault="001F35E7" w14:paraId="2CC1C00C" w14:textId="77777777">
      <w:pPr>
        <w:rPr>
          <w:rFonts w:cs="ADLaM Display"/>
          <w:i/>
          <w:iCs/>
        </w:rPr>
      </w:pPr>
    </w:p>
    <w:p w:rsidRPr="001F35E7" w:rsidR="001F35E7" w:rsidP="001F35E7" w:rsidRDefault="001F35E7" w14:paraId="756A3636" w14:textId="450D5D51">
      <w:pPr>
        <w:rPr>
          <w:rFonts w:cs="ADLaM Display"/>
          <w:i/>
          <w:iCs/>
        </w:rPr>
      </w:pPr>
      <w:r w:rsidRPr="001F35E7">
        <w:rPr>
          <w:rFonts w:cs="ADLaM Display"/>
          <w:i/>
          <w:iCs/>
        </w:rPr>
        <w:t>4.1 Opzet</w:t>
      </w:r>
    </w:p>
    <w:p w:rsidR="001F35E7" w:rsidP="001F35E7" w:rsidRDefault="001F35E7" w14:paraId="09411758" w14:textId="3872D3C6">
      <w:pPr>
        <w:rPr>
          <w:rFonts w:cs="ADLaM Display"/>
        </w:rPr>
      </w:pPr>
      <w:r w:rsidRPr="001F35E7">
        <w:rPr>
          <w:rFonts w:cs="ADLaM Display"/>
        </w:rPr>
        <w:t xml:space="preserve">In het evaluatierapport staan de vragen centraal hoe de WAMCA in de praktijk werkt en of met de invoering van de wet de daarmee beoogde doelen zijn bereikt. De onderzoekers maken bij de collectieve acties onderscheid tussen wat zij ‘reguliere acties’ noemen op basis van artikel 3:305a BW en ‘lid-6-acties’. Reguliere acties verwijzen daarbij naar collectieve acties waarvoor een belangenorganisatie aan alle ontvankelijkheidseisen moet voldoen, ongeacht of het gaat om een schadevergoedingsactie of om een verbods- of gebodsactie. Lid-6-acties zijn in het rapport de collectieve acties waarin de rechter op grond van lid 6 van artikel 3:305a BW een aantal </w:t>
      </w:r>
      <w:proofErr w:type="spellStart"/>
      <w:r w:rsidRPr="001F35E7">
        <w:rPr>
          <w:rFonts w:cs="ADLaM Display"/>
          <w:i/>
          <w:iCs/>
        </w:rPr>
        <w:t>governance</w:t>
      </w:r>
      <w:proofErr w:type="spellEnd"/>
      <w:r w:rsidRPr="001F35E7">
        <w:rPr>
          <w:rFonts w:cs="ADLaM Display"/>
        </w:rPr>
        <w:t xml:space="preserve">-eisen niet toepast voor beoordeling van de ontvankelijkheid van de belangenorganisatie. </w:t>
      </w:r>
    </w:p>
    <w:p w:rsidR="001F35E7" w:rsidP="001F35E7" w:rsidRDefault="001F35E7" w14:paraId="45A6B496" w14:textId="77777777">
      <w:pPr>
        <w:rPr>
          <w:rFonts w:cs="ADLaM Display"/>
        </w:rPr>
      </w:pPr>
    </w:p>
    <w:p w:rsidRPr="001F35E7" w:rsidR="001F35E7" w:rsidP="001F35E7" w:rsidRDefault="001F35E7" w14:paraId="06AEB227" w14:textId="21293A1A">
      <w:pPr>
        <w:rPr>
          <w:rFonts w:cs="ADLaM Display"/>
        </w:rPr>
      </w:pPr>
      <w:r w:rsidRPr="001F35E7">
        <w:rPr>
          <w:rFonts w:cs="ADLaM Display"/>
        </w:rPr>
        <w:t>Op basis van de parlementaire geschiedenis van de WAMCA onderscheiden de onderzoekers de volgende doelstellingen:</w:t>
      </w:r>
    </w:p>
    <w:p w:rsidRPr="001F35E7" w:rsidR="001F35E7" w:rsidP="001F35E7" w:rsidRDefault="001F35E7" w14:paraId="76F53172" w14:textId="77777777">
      <w:pPr>
        <w:pStyle w:val="Lijstalinea"/>
        <w:numPr>
          <w:ilvl w:val="0"/>
          <w:numId w:val="10"/>
        </w:numPr>
        <w:rPr>
          <w:rFonts w:cs="ADLaM Display"/>
          <w:szCs w:val="18"/>
        </w:rPr>
      </w:pPr>
      <w:r w:rsidRPr="001F35E7">
        <w:rPr>
          <w:rFonts w:cs="ADLaM Display"/>
          <w:szCs w:val="18"/>
        </w:rPr>
        <w:t>het mogelijk maken van collectieve schadeafwikkeling;</w:t>
      </w:r>
    </w:p>
    <w:p w:rsidRPr="001F35E7" w:rsidR="001F35E7" w:rsidP="001F35E7" w:rsidRDefault="001F35E7" w14:paraId="3776D3DB" w14:textId="77777777">
      <w:pPr>
        <w:pStyle w:val="Lijstalinea"/>
        <w:numPr>
          <w:ilvl w:val="0"/>
          <w:numId w:val="10"/>
        </w:numPr>
        <w:rPr>
          <w:rFonts w:cs="ADLaM Display"/>
          <w:szCs w:val="18"/>
        </w:rPr>
      </w:pPr>
      <w:r w:rsidRPr="001F35E7">
        <w:rPr>
          <w:rFonts w:cs="ADLaM Display"/>
          <w:szCs w:val="18"/>
        </w:rPr>
        <w:t>een gecoördineerde, efficiënte en effectieve afwikkeling van collectieve acties;</w:t>
      </w:r>
    </w:p>
    <w:p w:rsidRPr="001F35E7" w:rsidR="001F35E7" w:rsidP="001F35E7" w:rsidRDefault="001F35E7" w14:paraId="64AA52B2" w14:textId="77777777">
      <w:pPr>
        <w:pStyle w:val="Lijstalinea"/>
        <w:numPr>
          <w:ilvl w:val="0"/>
          <w:numId w:val="10"/>
        </w:numPr>
        <w:rPr>
          <w:rFonts w:cs="ADLaM Display"/>
          <w:szCs w:val="18"/>
        </w:rPr>
      </w:pPr>
      <w:r w:rsidRPr="001F35E7">
        <w:rPr>
          <w:rFonts w:cs="ADLaM Display"/>
          <w:szCs w:val="18"/>
        </w:rPr>
        <w:t>het verbeteren van de kwaliteit van belangenorganisaties ten behoeve van de bescherming van benadeelden;</w:t>
      </w:r>
    </w:p>
    <w:p w:rsidRPr="001F35E7" w:rsidR="001F35E7" w:rsidP="001F35E7" w:rsidRDefault="001F35E7" w14:paraId="75336435" w14:textId="77777777">
      <w:pPr>
        <w:pStyle w:val="Lijstalinea"/>
        <w:numPr>
          <w:ilvl w:val="0"/>
          <w:numId w:val="10"/>
        </w:numPr>
        <w:rPr>
          <w:rFonts w:cs="ADLaM Display"/>
          <w:szCs w:val="18"/>
        </w:rPr>
      </w:pPr>
      <w:r w:rsidRPr="001F35E7">
        <w:rPr>
          <w:rFonts w:cs="ADLaM Display"/>
          <w:szCs w:val="18"/>
        </w:rPr>
        <w:t>het voorkomen van excessen;</w:t>
      </w:r>
    </w:p>
    <w:p w:rsidRPr="001F35E7" w:rsidR="001F35E7" w:rsidP="001F35E7" w:rsidRDefault="001F35E7" w14:paraId="4F983486" w14:textId="77777777">
      <w:pPr>
        <w:pStyle w:val="Lijstalinea"/>
        <w:numPr>
          <w:ilvl w:val="0"/>
          <w:numId w:val="10"/>
        </w:numPr>
        <w:rPr>
          <w:rFonts w:cs="ADLaM Display"/>
          <w:szCs w:val="18"/>
        </w:rPr>
      </w:pPr>
      <w:r w:rsidRPr="001F35E7">
        <w:rPr>
          <w:rFonts w:cs="ADLaM Display"/>
          <w:szCs w:val="18"/>
        </w:rPr>
        <w:t>het stimuleren van overleg en schikken;</w:t>
      </w:r>
    </w:p>
    <w:p w:rsidRPr="001F35E7" w:rsidR="001F35E7" w:rsidP="001F35E7" w:rsidRDefault="001F35E7" w14:paraId="1D23C87B" w14:textId="77777777">
      <w:pPr>
        <w:pStyle w:val="Lijstalinea"/>
        <w:numPr>
          <w:ilvl w:val="0"/>
          <w:numId w:val="10"/>
        </w:numPr>
        <w:rPr>
          <w:rFonts w:cs="ADLaM Display"/>
          <w:szCs w:val="18"/>
        </w:rPr>
      </w:pPr>
      <w:r w:rsidRPr="001F35E7">
        <w:rPr>
          <w:rFonts w:cs="ADLaM Display"/>
          <w:szCs w:val="18"/>
        </w:rPr>
        <w:t>het voorkomen van een aanzuigende werking op buitenlandse partijen;</w:t>
      </w:r>
    </w:p>
    <w:p w:rsidRPr="001F35E7" w:rsidR="001F35E7" w:rsidP="001F35E7" w:rsidRDefault="001F35E7" w14:paraId="00CEDB52" w14:textId="77777777">
      <w:pPr>
        <w:pStyle w:val="Lijstalinea"/>
        <w:numPr>
          <w:ilvl w:val="0"/>
          <w:numId w:val="10"/>
        </w:numPr>
        <w:rPr>
          <w:rFonts w:cs="ADLaM Display"/>
          <w:szCs w:val="18"/>
        </w:rPr>
      </w:pPr>
      <w:r w:rsidRPr="001F35E7">
        <w:rPr>
          <w:rFonts w:cs="ADLaM Display"/>
          <w:szCs w:val="18"/>
        </w:rPr>
        <w:t>het achterwege laten van toetsing aan alle ontvankelijkheidseisen wanneer dat niet opportuun is.</w:t>
      </w:r>
    </w:p>
    <w:p w:rsidRPr="001F35E7" w:rsidR="001F35E7" w:rsidP="001F35E7" w:rsidRDefault="001F35E7" w14:paraId="1AC09AF4" w14:textId="77777777">
      <w:pPr>
        <w:rPr>
          <w:rFonts w:cs="ADLaM Display"/>
        </w:rPr>
      </w:pPr>
      <w:r w:rsidRPr="001F35E7">
        <w:rPr>
          <w:rFonts w:cs="ADLaM Display"/>
        </w:rPr>
        <w:t xml:space="preserve">Het onderzoek omvat een analyse van de collectieve acties die vanaf de inwerkingtreding op 1 januari 2020 tot en met 30 april 2025 in het Centraal register voor collectieve vorderingen zijn opgenomen. De onderzoekers hebben ook zes bijeenkomsten met het veld gehouden en een vragenlijstonderzoek uitgevoerd onder advocaten zowel aan eisende als aan gedaagde kant, belangenorganisaties, gedaagde partijen en rechters, en daarnaast literatuuronderzoek verricht. </w:t>
      </w:r>
    </w:p>
    <w:p w:rsidR="001F35E7" w:rsidP="001F35E7" w:rsidRDefault="001F35E7" w14:paraId="517D4D53" w14:textId="77777777">
      <w:pPr>
        <w:rPr>
          <w:rFonts w:cs="ADLaM Display"/>
          <w:i/>
          <w:iCs/>
        </w:rPr>
      </w:pPr>
    </w:p>
    <w:p w:rsidRPr="001F35E7" w:rsidR="001F35E7" w:rsidP="001F35E7" w:rsidRDefault="001F35E7" w14:paraId="6A054507" w14:textId="2B6B6137">
      <w:pPr>
        <w:rPr>
          <w:rFonts w:cs="ADLaM Display"/>
          <w:i/>
          <w:iCs/>
        </w:rPr>
      </w:pPr>
      <w:r w:rsidRPr="001F35E7">
        <w:rPr>
          <w:rFonts w:cs="ADLaM Display"/>
          <w:i/>
          <w:iCs/>
        </w:rPr>
        <w:t>4.2 Algehele conclusie</w:t>
      </w:r>
    </w:p>
    <w:p w:rsidRPr="001F35E7" w:rsidR="001F35E7" w:rsidP="001F35E7" w:rsidRDefault="001F35E7" w14:paraId="67360055" w14:textId="4E4680EF">
      <w:pPr>
        <w:rPr>
          <w:rFonts w:cs="ADLaM Display"/>
        </w:rPr>
      </w:pPr>
      <w:r w:rsidRPr="001F35E7">
        <w:rPr>
          <w:rFonts w:cs="ADLaM Display"/>
        </w:rPr>
        <w:t xml:space="preserve">De onderzoekers concluderen dat er geen redenen zijn voor een beperking of een fundamentele aanpassing van de met de WAMCA ingevoerde regeling. Wel stellen zij vast dat de tweede doelstelling – een gecoördineerde, efficiënte en effectieve afwikkeling van collectieve acties – van alle doelstellingen het minst lijkt te zijn bereikt. Dit geldt op het punt van efficiëntie en effectiviteit, met name door de lange duur van de ontvankelijkheidsfase van een procedure onder het WAMCA-regime (door de onderzoekers aangeduid als de voorfase). De onderzoekers concluderen dat uit de rechtspraktijk blijkt dat juist vanuit het oogpunt van efficiëntie en effectiviteit van de collectieve actie sommige verplichte onderdelen die coördinatie beogen, beter zouden kunnen worden losgelaten of aangepast. Zij geven daarbij de overweging mee dat iedere wetswijziging waarschijnlijk resulteert in een bepaalde mate van (nieuwe) onzekerheid en dat de belangen van benadeelden niet uit het oog moeten worden verloren. Het blijft in die zin volgens de onderzoekers (altijd) een zoektocht naar een goede balans. Over doelstelling 6 merken de onderzoekers op dat er (vooralsnog) geen aanwijzingen zijn dat de collectieve actie onder de WAMCA een aanzuigende werking heeft op buitenlandse partijen. </w:t>
      </w:r>
    </w:p>
    <w:p w:rsidR="001F35E7" w:rsidP="001F35E7" w:rsidRDefault="001F35E7" w14:paraId="7D29B425" w14:textId="77777777">
      <w:pPr>
        <w:rPr>
          <w:rFonts w:cs="ADLaM Display"/>
          <w:i/>
          <w:iCs/>
        </w:rPr>
      </w:pPr>
    </w:p>
    <w:p w:rsidRPr="001F35E7" w:rsidR="001F35E7" w:rsidP="001F35E7" w:rsidRDefault="001F35E7" w14:paraId="1DB7BCDC" w14:textId="0416E3B1">
      <w:pPr>
        <w:rPr>
          <w:rFonts w:cs="ADLaM Display"/>
          <w:i/>
          <w:iCs/>
        </w:rPr>
      </w:pPr>
      <w:r w:rsidRPr="001F35E7">
        <w:rPr>
          <w:rFonts w:cs="ADLaM Display"/>
          <w:i/>
          <w:iCs/>
        </w:rPr>
        <w:t>4.3 Bevindingen over aantallen acties</w:t>
      </w:r>
    </w:p>
    <w:p w:rsidRPr="001F35E7" w:rsidR="001F35E7" w:rsidP="001F35E7" w:rsidRDefault="001F35E7" w14:paraId="2CD500B1" w14:textId="0BB55EF0">
      <w:pPr>
        <w:rPr>
          <w:rFonts w:cs="ADLaM Display"/>
        </w:rPr>
      </w:pPr>
      <w:r w:rsidRPr="001F35E7">
        <w:rPr>
          <w:rFonts w:cs="ADLaM Display"/>
        </w:rPr>
        <w:t>Wat de aantallen collectieve acties betreft, zijn de bevindingen van de onderzoekers als volgt. Tussen 1 januari 2020 en 30 april 2025 zijn in het register in totaal 95 WAMCA-acties opgenomen. Daarvan betreffen er 71 een bodemprocedure en 25 een kortgedingprocedure, waarbij één zaak in beide categorieën valt. Vergeleken met de periode vóór 2020 lijkt het gemiddelde aantal collectieve acties te zijn gedaald; in elk geval heeft de WAMCA niet tot een toename van collectieve acties geleid.</w:t>
      </w:r>
      <w:r w:rsidRPr="001F35E7">
        <w:rPr>
          <w:rStyle w:val="Voetnootmarkering"/>
          <w:rFonts w:cs="ADLaM Display"/>
        </w:rPr>
        <w:footnoteReference w:id="19"/>
      </w:r>
      <w:r w:rsidRPr="001F35E7">
        <w:rPr>
          <w:rFonts w:cs="ADLaM Display"/>
        </w:rPr>
        <w:t xml:space="preserve"> Van de 26 afgeronde bodemprocedures is het merendeel (73%) een collectieve actie op basis van lid 6 van artikel 3:305a BW; slechts vijf reguliere WAMCA-bodemprocedures (23%) zijn afgerond.</w:t>
      </w:r>
      <w:r w:rsidRPr="001F35E7">
        <w:rPr>
          <w:rStyle w:val="Voetnootmarkering"/>
          <w:rFonts w:cs="ADLaM Display"/>
        </w:rPr>
        <w:footnoteReference w:id="20"/>
      </w:r>
      <w:r w:rsidRPr="001F35E7">
        <w:rPr>
          <w:rFonts w:cs="ADLaM Display"/>
        </w:rPr>
        <w:t xml:space="preserve"> Uit de rechtspraakanalyse volgt dat de ontvankelijkheidsbeoordeling in collectieve acties op basis van lid 6 van artikel 3:305a BW</w:t>
      </w:r>
      <w:r w:rsidR="00247B40">
        <w:rPr>
          <w:rFonts w:cs="ADLaM Display"/>
        </w:rPr>
        <w:t xml:space="preserve"> </w:t>
      </w:r>
      <w:r w:rsidRPr="001F35E7">
        <w:rPr>
          <w:rFonts w:cs="ADLaM Display"/>
        </w:rPr>
        <w:t>vlotter verloopt dan in reguliere WAMCA-acties: tot 30 april 2025 zijn 25 collectieve acties op basis van lid 6 van artikel 3:305a BW ontvankelijk verklaard tegenover 10 reguliere acties. Hoewel het aantal bodemprocedures per regime dicht bij elkaar ligt (29 op basis van 3:305a lid 6 BW tegenover 25 regulier), is het percentage afgeronde zaken bij collectieve acties op basis van lid 6 van artikel 3:305a BW aanzienlijk hoger (55% versus 21%). In de onderzochte periode was er nog geen procedure waarin een collectieve schadeafwikkeling heeft plaatsgevonden op basis van het WAMCA-regime.</w:t>
      </w:r>
      <w:r w:rsidRPr="001F35E7">
        <w:rPr>
          <w:rStyle w:val="Voetnootmarkering"/>
          <w:rFonts w:cs="ADLaM Display"/>
        </w:rPr>
        <w:footnoteReference w:id="21"/>
      </w:r>
    </w:p>
    <w:p w:rsidR="001F35E7" w:rsidP="001F35E7" w:rsidRDefault="001F35E7" w14:paraId="0CECE147" w14:textId="77777777">
      <w:pPr>
        <w:rPr>
          <w:rFonts w:cs="ADLaM Display"/>
          <w:i/>
          <w:iCs/>
        </w:rPr>
      </w:pPr>
    </w:p>
    <w:p w:rsidRPr="001F35E7" w:rsidR="001F35E7" w:rsidP="001F35E7" w:rsidRDefault="001F35E7" w14:paraId="028845B2" w14:textId="6017B3C8">
      <w:pPr>
        <w:rPr>
          <w:rFonts w:cs="ADLaM Display"/>
          <w:i/>
          <w:iCs/>
        </w:rPr>
      </w:pPr>
      <w:r w:rsidRPr="001F35E7">
        <w:rPr>
          <w:rFonts w:cs="ADLaM Display"/>
          <w:i/>
          <w:iCs/>
        </w:rPr>
        <w:t>4.</w:t>
      </w:r>
      <w:r w:rsidR="00AE50B0">
        <w:rPr>
          <w:rFonts w:cs="ADLaM Display"/>
          <w:i/>
          <w:iCs/>
        </w:rPr>
        <w:t>4</w:t>
      </w:r>
      <w:r w:rsidRPr="001F35E7">
        <w:rPr>
          <w:rFonts w:cs="ADLaM Display"/>
          <w:i/>
          <w:iCs/>
        </w:rPr>
        <w:t xml:space="preserve"> Algemene bevindingen</w:t>
      </w:r>
    </w:p>
    <w:p w:rsidRPr="001F35E7" w:rsidR="001F35E7" w:rsidP="001F35E7" w:rsidRDefault="001F35E7" w14:paraId="40E66467" w14:textId="7F77213C">
      <w:pPr>
        <w:rPr>
          <w:rFonts w:cs="ADLaM Display"/>
        </w:rPr>
      </w:pPr>
      <w:r w:rsidRPr="001F35E7">
        <w:rPr>
          <w:rFonts w:cs="ADLaM Display"/>
        </w:rPr>
        <w:t xml:space="preserve">Het evaluatierapport komt tot vier algemene bevindingen. Daarnaast staan in het rapport meer specifieke bevindingen waaraan de onderzoekers twintig aanbevelingen hebben gekoppeld, waarvan negentien aan de hand van de hiervoor genoemde zeven doelstellingen van de WAMCA. De aanbevelingen zijn mede gebaseerd op het rechtsvergelijkend rapport. Ik noem hierna de algemene bevindingen van de onderzoekers. De meer specifieke bevindingen komen terug in mijn reactie op de verschillende aanbevelingen in par. 5 van deze brief. </w:t>
      </w:r>
    </w:p>
    <w:p w:rsidR="001F35E7" w:rsidP="001F35E7" w:rsidRDefault="001F35E7" w14:paraId="5269F7A8" w14:textId="77777777">
      <w:pPr>
        <w:rPr>
          <w:rFonts w:cs="ADLaM Display"/>
        </w:rPr>
      </w:pPr>
    </w:p>
    <w:p w:rsidRPr="001F35E7" w:rsidR="001F35E7" w:rsidP="001F35E7" w:rsidRDefault="001F35E7" w14:paraId="61A699BC" w14:textId="768B207B">
      <w:pPr>
        <w:rPr>
          <w:rFonts w:cs="ADLaM Display"/>
        </w:rPr>
      </w:pPr>
      <w:r w:rsidRPr="001F35E7">
        <w:rPr>
          <w:rFonts w:cs="ADLaM Display"/>
        </w:rPr>
        <w:t>De eerste algemene bevinding is dat personen en organisaties die actief zijn op het gebied van collectieve acties in de zin van artikel 3:305a BW, positief zijn over het bestaan van de collectieve (</w:t>
      </w:r>
      <w:proofErr w:type="spellStart"/>
      <w:r w:rsidRPr="001F35E7">
        <w:rPr>
          <w:rFonts w:cs="ADLaM Display"/>
        </w:rPr>
        <w:t>schadevergoedings</w:t>
      </w:r>
      <w:proofErr w:type="spellEnd"/>
      <w:r w:rsidRPr="001F35E7">
        <w:rPr>
          <w:rFonts w:cs="ADLaM Display"/>
        </w:rPr>
        <w:t xml:space="preserve">)actie. Ten tweede blijkt dat het wettelijk voorgeschreven duidelijke onderscheid tussen de ontvankelijkheidsfase en de fase van inhoudelijke behandeling ervoor zorgt dat de voortgang van de collectieve actie een aandachtspunt is en dat de wet op dit punt weinig flexibiliteit kent voor de rechter. Het beeld van de onderzoekers is dat de gewenste coördinatie van de collectieve actie ten koste gaat van de effectiviteit en efficiëntie daarvan. Verschillende concrete aanbevelingen van de onderzoekers zien op deze algemene bevinding. In het verlengde daarvan constateren de onderzoekers ten derde dat op het moment van het onderzoek de rechter nog geen collectieve schadeafwikkeling heeft vastgesteld onder het WAMCA-regime; de voorfase lijkt dusdanig veel tijd te kosten dat de meeste collectieve schadevergoedingsvorderingen in de evaluatieperiode nog niet inhoudelijk zijn behandeld. De vierde algemene bevinding is dat elke wetswijziging van een omvang als die van de WAMCA tot onduidelijkheden en knelpunten in de rechtspraktijk leidt, wat ook hier dus het geval is. </w:t>
      </w:r>
    </w:p>
    <w:p w:rsidR="001F35E7" w:rsidP="001F35E7" w:rsidRDefault="001F35E7" w14:paraId="70103408" w14:textId="77777777">
      <w:pPr>
        <w:rPr>
          <w:rFonts w:cs="ADLaM Display"/>
          <w:i/>
          <w:iCs/>
        </w:rPr>
      </w:pPr>
    </w:p>
    <w:p w:rsidRPr="001F35E7" w:rsidR="001F35E7" w:rsidP="001F35E7" w:rsidRDefault="001F35E7" w14:paraId="4F64BBBB" w14:textId="535D71A7">
      <w:pPr>
        <w:rPr>
          <w:rFonts w:cs="ADLaM Display"/>
          <w:i/>
          <w:iCs/>
        </w:rPr>
      </w:pPr>
      <w:r w:rsidRPr="001F35E7">
        <w:rPr>
          <w:rFonts w:cs="ADLaM Display"/>
          <w:i/>
          <w:iCs/>
        </w:rPr>
        <w:t>4.</w:t>
      </w:r>
      <w:r w:rsidR="00AE50B0">
        <w:rPr>
          <w:rFonts w:cs="ADLaM Display"/>
          <w:i/>
          <w:iCs/>
        </w:rPr>
        <w:t>5</w:t>
      </w:r>
      <w:r w:rsidRPr="001F35E7">
        <w:rPr>
          <w:rFonts w:cs="ADLaM Display"/>
          <w:i/>
          <w:iCs/>
        </w:rPr>
        <w:t xml:space="preserve"> Verschillende soorten aanbevelingen</w:t>
      </w:r>
    </w:p>
    <w:p w:rsidRPr="001F35E7" w:rsidR="001F35E7" w:rsidP="001F35E7" w:rsidRDefault="001F35E7" w14:paraId="6682C721" w14:textId="68411E59">
      <w:pPr>
        <w:rPr>
          <w:rFonts w:cs="ADLaM Display"/>
        </w:rPr>
      </w:pPr>
      <w:r w:rsidRPr="001F35E7">
        <w:rPr>
          <w:rFonts w:cs="ADLaM Display"/>
        </w:rPr>
        <w:t xml:space="preserve">De onderzoekers maken een onderverdeling in de aanbevelingen in vier categorieën: (1) aanbevelingen die zien op verduidelijking van </w:t>
      </w:r>
      <w:r w:rsidR="00946A17">
        <w:rPr>
          <w:rFonts w:cs="ADLaM Display"/>
        </w:rPr>
        <w:t xml:space="preserve">wettelijke </w:t>
      </w:r>
      <w:r w:rsidRPr="001F35E7">
        <w:rPr>
          <w:rFonts w:cs="ADLaM Display"/>
        </w:rPr>
        <w:t>begrippen of onderdelen van de procedure, (2) aanbevelingen die zien op</w:t>
      </w:r>
      <w:r w:rsidR="00247B40">
        <w:rPr>
          <w:rFonts w:cs="ADLaM Display"/>
        </w:rPr>
        <w:t xml:space="preserve"> </w:t>
      </w:r>
      <w:r w:rsidRPr="001F35E7">
        <w:rPr>
          <w:rFonts w:cs="ADLaM Display"/>
        </w:rPr>
        <w:t xml:space="preserve">concrete suggesties voor wetswijzigingen, (3) aanbevelingen die zien op het maken van </w:t>
      </w:r>
      <w:proofErr w:type="spellStart"/>
      <w:r w:rsidRPr="001F35E7">
        <w:rPr>
          <w:rFonts w:cs="ADLaM Display"/>
        </w:rPr>
        <w:t>wetssystematische</w:t>
      </w:r>
      <w:proofErr w:type="spellEnd"/>
      <w:r w:rsidRPr="001F35E7">
        <w:rPr>
          <w:rFonts w:cs="ADLaM Display"/>
        </w:rPr>
        <w:t xml:space="preserve"> keuzes en (4) suggesties voor monitoring door de wetgever van de collectieve actie. </w:t>
      </w:r>
    </w:p>
    <w:p w:rsidRPr="001F35E7" w:rsidR="001F35E7" w:rsidP="001F35E7" w:rsidRDefault="001F35E7" w14:paraId="421E20CB" w14:textId="77777777">
      <w:pPr>
        <w:rPr>
          <w:rFonts w:cs="ADLaM Display"/>
          <w:u w:val="single"/>
        </w:rPr>
      </w:pPr>
    </w:p>
    <w:p w:rsidR="001F35E7" w:rsidP="001F35E7" w:rsidRDefault="001F35E7" w14:paraId="478FA569" w14:textId="77777777">
      <w:pPr>
        <w:rPr>
          <w:rFonts w:cs="ADLaM Display"/>
          <w:u w:val="single"/>
        </w:rPr>
      </w:pPr>
    </w:p>
    <w:p w:rsidRPr="001F35E7" w:rsidR="001F35E7" w:rsidP="001F35E7" w:rsidRDefault="001F35E7" w14:paraId="18DCE37D" w14:textId="38A90773">
      <w:pPr>
        <w:rPr>
          <w:rFonts w:cs="ADLaM Display"/>
          <w:u w:val="single"/>
        </w:rPr>
      </w:pPr>
      <w:r w:rsidRPr="001F35E7">
        <w:rPr>
          <w:rFonts w:cs="ADLaM Display"/>
          <w:u w:val="single"/>
        </w:rPr>
        <w:t xml:space="preserve">5. Kabinetsreactie op de aanbevelingen </w:t>
      </w:r>
    </w:p>
    <w:p w:rsidR="001F35E7" w:rsidP="001F35E7" w:rsidRDefault="001F35E7" w14:paraId="0CAAC7EF" w14:textId="77777777">
      <w:pPr>
        <w:rPr>
          <w:rFonts w:cs="ADLaM Display"/>
          <w:i/>
          <w:iCs/>
        </w:rPr>
      </w:pPr>
    </w:p>
    <w:p w:rsidRPr="001F35E7" w:rsidR="001F35E7" w:rsidP="001F35E7" w:rsidRDefault="001F35E7" w14:paraId="6D1000C8" w14:textId="6CC996CA">
      <w:pPr>
        <w:rPr>
          <w:rFonts w:cs="ADLaM Display"/>
          <w:i/>
          <w:iCs/>
        </w:rPr>
      </w:pPr>
      <w:r w:rsidRPr="001F35E7">
        <w:rPr>
          <w:rFonts w:cs="ADLaM Display"/>
          <w:i/>
          <w:iCs/>
        </w:rPr>
        <w:t xml:space="preserve">5.1 Inleiding kabinetsreactie </w:t>
      </w:r>
    </w:p>
    <w:p w:rsidRPr="001F35E7" w:rsidR="001F35E7" w:rsidP="001F35E7" w:rsidRDefault="001F35E7" w14:paraId="19FAF8B6" w14:textId="77777777">
      <w:pPr>
        <w:rPr>
          <w:rFonts w:cs="ADLaM Display"/>
        </w:rPr>
      </w:pPr>
      <w:r w:rsidRPr="001F35E7">
        <w:rPr>
          <w:rFonts w:cs="ADLaM Display"/>
        </w:rPr>
        <w:t xml:space="preserve">Hieronder ga ik in op de aanbevelingen waarbij ik deze heb genummerd aan de hand van de tabellen opgenomen in pagina’s 235-237 van het onderzoek (zie de bijlage). </w:t>
      </w:r>
      <w:r w:rsidRPr="001F35E7" w:rsidDel="00734A92">
        <w:rPr>
          <w:rFonts w:cs="ADLaM Display"/>
        </w:rPr>
        <w:t xml:space="preserve">Ik verwijs </w:t>
      </w:r>
      <w:r w:rsidRPr="001F35E7">
        <w:rPr>
          <w:rFonts w:cs="ADLaM Display"/>
        </w:rPr>
        <w:t>daarbij</w:t>
      </w:r>
      <w:r w:rsidRPr="001F35E7" w:rsidDel="00734A92">
        <w:rPr>
          <w:rFonts w:cs="ADLaM Display"/>
        </w:rPr>
        <w:t xml:space="preserve"> naar collectieve </w:t>
      </w:r>
      <w:r w:rsidRPr="001F35E7">
        <w:rPr>
          <w:rFonts w:cs="ADLaM Display"/>
        </w:rPr>
        <w:t>(</w:t>
      </w:r>
      <w:proofErr w:type="spellStart"/>
      <w:r w:rsidRPr="001F35E7">
        <w:rPr>
          <w:rFonts w:cs="ADLaM Display"/>
        </w:rPr>
        <w:t>schadevergoedings</w:t>
      </w:r>
      <w:proofErr w:type="spellEnd"/>
      <w:r w:rsidRPr="001F35E7">
        <w:rPr>
          <w:rFonts w:cs="ADLaM Display"/>
        </w:rPr>
        <w:t>)</w:t>
      </w:r>
      <w:r w:rsidRPr="001F35E7" w:rsidDel="00734A92">
        <w:rPr>
          <w:rFonts w:cs="ADLaM Display"/>
        </w:rPr>
        <w:t>acties als het gaat over door de onderzoekers als ‘305a-acties’ aangeduide procedures en naar ideële vorderingen op basis van lid 6 van artikel 3:305a BW als het gaat over acties die de onderzoekers aanduiden met ‘lid-6-acties’.</w:t>
      </w:r>
      <w:r w:rsidRPr="001F35E7">
        <w:rPr>
          <w:rStyle w:val="Voetnootmarkering"/>
          <w:rFonts w:cs="ADLaM Display"/>
        </w:rPr>
        <w:footnoteReference w:id="22"/>
      </w:r>
    </w:p>
    <w:p w:rsidR="001F35E7" w:rsidP="001F35E7" w:rsidRDefault="001F35E7" w14:paraId="312EB92D" w14:textId="77777777">
      <w:pPr>
        <w:rPr>
          <w:rFonts w:cs="ADLaM Display"/>
        </w:rPr>
      </w:pPr>
    </w:p>
    <w:p w:rsidRPr="001F35E7" w:rsidR="001F35E7" w:rsidP="001F35E7" w:rsidRDefault="001F35E7" w14:paraId="4C2421ED" w14:textId="0EC4DBBE">
      <w:pPr>
        <w:rPr>
          <w:rFonts w:cs="ADLaM Display"/>
        </w:rPr>
      </w:pPr>
      <w:r w:rsidRPr="001F35E7">
        <w:rPr>
          <w:rFonts w:cs="ADLaM Display"/>
        </w:rPr>
        <w:t>Ik stel voorop dat ik blij ben dat uit het onderzoek volgt dat het bestaan van een collectieve (</w:t>
      </w:r>
      <w:proofErr w:type="spellStart"/>
      <w:r w:rsidRPr="001F35E7">
        <w:rPr>
          <w:rFonts w:cs="ADLaM Display"/>
        </w:rPr>
        <w:t>schadevergoedings</w:t>
      </w:r>
      <w:proofErr w:type="spellEnd"/>
      <w:r w:rsidRPr="001F35E7">
        <w:rPr>
          <w:rFonts w:cs="ADLaM Display"/>
        </w:rPr>
        <w:t xml:space="preserve">)actie van artikel 3:305a BW positief wordt beoordeeld door degenen die hiermee vanuit verschillende achtergronden ervaring hebben. In lijn met de conclusies van het evaluatieonderzoek, zie ik geen aanleiding voor een beperking of fundamentele aanpassing van artikel 3:305a BW of de procedure in titel 14A Rv. </w:t>
      </w:r>
    </w:p>
    <w:p w:rsidR="001F35E7" w:rsidP="001F35E7" w:rsidRDefault="001F35E7" w14:paraId="7DEC71C3" w14:textId="77777777">
      <w:pPr>
        <w:rPr>
          <w:rFonts w:cs="ADLaM Display"/>
        </w:rPr>
      </w:pPr>
    </w:p>
    <w:p w:rsidRPr="001F35E7" w:rsidR="001F35E7" w:rsidP="001F35E7" w:rsidRDefault="001F35E7" w14:paraId="213669B3" w14:textId="6ED4A58B">
      <w:pPr>
        <w:rPr>
          <w:rFonts w:cs="ADLaM Display"/>
        </w:rPr>
      </w:pPr>
      <w:r w:rsidRPr="001F35E7">
        <w:rPr>
          <w:rFonts w:cs="ADLaM Display"/>
        </w:rPr>
        <w:t xml:space="preserve">Zoals de onderzoekers concluderen, moet een nieuwe wettelijke regeling de tijd krijgen om volledig tot wasdom te komen. Dit geldt ook voor de WAMCA. De evaluatieperiode van vijf jaar is in dit geval te kort, mede omdat de afwikkeling van </w:t>
      </w:r>
      <w:proofErr w:type="spellStart"/>
      <w:r w:rsidRPr="001F35E7">
        <w:rPr>
          <w:rFonts w:cs="ADLaM Display"/>
        </w:rPr>
        <w:t>massaschadezaken</w:t>
      </w:r>
      <w:proofErr w:type="spellEnd"/>
      <w:r w:rsidRPr="001F35E7">
        <w:rPr>
          <w:rFonts w:cs="ADLaM Display"/>
        </w:rPr>
        <w:t xml:space="preserve"> per definitie veel tijd vergt. Dat de WAMCA nog in ontwikkeling is, is ook zichtbaar in rechterlijke uitspraken die zijn </w:t>
      </w:r>
      <w:r w:rsidR="00B513EF">
        <w:rPr>
          <w:rFonts w:cs="ADLaM Display"/>
        </w:rPr>
        <w:t>gedaan</w:t>
      </w:r>
      <w:r w:rsidRPr="001F35E7" w:rsidR="00B513EF">
        <w:rPr>
          <w:rFonts w:cs="ADLaM Display"/>
        </w:rPr>
        <w:t xml:space="preserve"> </w:t>
      </w:r>
      <w:r w:rsidRPr="001F35E7">
        <w:rPr>
          <w:rFonts w:cs="ADLaM Display"/>
        </w:rPr>
        <w:t xml:space="preserve">sinds 30 april 2025 (de einddatum van de onderzoeksperiode). Een aantal aspecten waarvoor de onderzoekers verduidelijking aanbevelen, is met die uitspraken verhelderd. Dit komt nog nader aan de orde in paragrafen 5.2 en 5.3. Een verdere reden voor terughoudendheid in wettelijke aanpassingen is dat – zoals de onderzoekers terecht overwegen – iedere (substantiële) wettelijke interventie aanleiding kan geven tot nieuwe rechtsvragen en nieuwe vertraging van de procedures. Ik zie daarom op dit moment geen aanleiding voor wettelijk ingrijpen. De praktijk heeft meer tijd nodig om via jurisprudentie duidelijkheid te verkrijgen over bepaalde aspecten van de met de WAMCA ingevoerde regels, alvorens de wetgever eventueel weer aan zet is. </w:t>
      </w:r>
    </w:p>
    <w:p w:rsidR="001F35E7" w:rsidP="001F35E7" w:rsidRDefault="001F35E7" w14:paraId="0E3D59C3" w14:textId="77777777">
      <w:pPr>
        <w:rPr>
          <w:rFonts w:cs="ADLaM Display"/>
        </w:rPr>
      </w:pPr>
    </w:p>
    <w:p w:rsidRPr="001F35E7" w:rsidR="001F35E7" w:rsidP="001F35E7" w:rsidRDefault="001F35E7" w14:paraId="3F81C162" w14:textId="5211C19C">
      <w:pPr>
        <w:rPr>
          <w:rFonts w:cs="ADLaM Display"/>
        </w:rPr>
      </w:pPr>
      <w:r w:rsidRPr="001F35E7">
        <w:rPr>
          <w:rFonts w:cs="ADLaM Display"/>
        </w:rPr>
        <w:t xml:space="preserve">Ik voel mij in deze terughoudendheid om wettelijk in te grijpen gesteund door de uitkomsten van de monitoringsbijeenkomst en de focusgroepen over het rechtsvergelijkend rapport, het evaluatierapport en de daaruit voortvloeiende aanbevelingen. De deelnemers spraken daarin hun waardering uit voor het onderzoek. Zij vonden het rapport geruststellend, maar benoemden ook enkele knelpunten in de praktijk, waaronder de financiering van procedures (procesfinanciering) en doorlooptijden. De deelnemers zagen, met de onderzoekers, ruimte om de procedure te versnellen en de toegankelijkheid ervan te verbeteren. Tegelijkertijd zagen zij ook ruimte om dit voor dit moment over te laten aan de rechtsontwikkeling, die in volle gang is. </w:t>
      </w:r>
    </w:p>
    <w:p w:rsidR="001F35E7" w:rsidP="001F35E7" w:rsidRDefault="001F35E7" w14:paraId="13976274" w14:textId="77777777">
      <w:pPr>
        <w:rPr>
          <w:rFonts w:cs="ADLaM Display"/>
        </w:rPr>
      </w:pPr>
    </w:p>
    <w:p w:rsidRPr="001F35E7" w:rsidR="001F35E7" w:rsidP="001F35E7" w:rsidRDefault="001F35E7" w14:paraId="6FE49FC5" w14:textId="62A94A61">
      <w:pPr>
        <w:rPr>
          <w:rFonts w:cs="ADLaM Display"/>
        </w:rPr>
      </w:pPr>
      <w:r w:rsidRPr="001F35E7">
        <w:rPr>
          <w:rFonts w:cs="ADLaM Display"/>
        </w:rPr>
        <w:t xml:space="preserve">Voor de leesbaarheid van deze kabinetsreactie hanteer ik bij het bespreken van de aanbevelingen de volgende indeling. Ik maak onderscheid tussen: </w:t>
      </w:r>
    </w:p>
    <w:p w:rsidRPr="001F35E7" w:rsidR="001F35E7" w:rsidP="001F35E7" w:rsidRDefault="001F35E7" w14:paraId="30D23A3C" w14:textId="41B0196C">
      <w:pPr>
        <w:pStyle w:val="Lijstalinea"/>
        <w:numPr>
          <w:ilvl w:val="0"/>
          <w:numId w:val="14"/>
        </w:numPr>
        <w:rPr>
          <w:rFonts w:cs="ADLaM Display"/>
          <w:szCs w:val="18"/>
        </w:rPr>
      </w:pPr>
      <w:r w:rsidRPr="001F35E7">
        <w:rPr>
          <w:rFonts w:cs="ADLaM Display"/>
          <w:szCs w:val="18"/>
        </w:rPr>
        <w:t xml:space="preserve">aanbevelingen </w:t>
      </w:r>
      <w:r w:rsidR="00151D80">
        <w:rPr>
          <w:rFonts w:cs="ADLaM Display"/>
          <w:szCs w:val="18"/>
        </w:rPr>
        <w:t>voor</w:t>
      </w:r>
      <w:r w:rsidRPr="001F35E7">
        <w:rPr>
          <w:rFonts w:cs="ADLaM Display"/>
          <w:szCs w:val="18"/>
        </w:rPr>
        <w:t xml:space="preserve"> verduidelijking van wettelijke begrippen of de procedure, die </w:t>
      </w:r>
      <w:r w:rsidR="00CC50D4">
        <w:rPr>
          <w:rFonts w:cs="ADLaM Display"/>
          <w:szCs w:val="18"/>
        </w:rPr>
        <w:t>ook door de rechter kan worden gegeven</w:t>
      </w:r>
      <w:r w:rsidRPr="001F35E7">
        <w:rPr>
          <w:rFonts w:cs="ADLaM Display"/>
          <w:szCs w:val="18"/>
        </w:rPr>
        <w:t xml:space="preserve"> (par. 5.2);</w:t>
      </w:r>
    </w:p>
    <w:p w:rsidR="00151D80" w:rsidP="00151D80" w:rsidRDefault="001F35E7" w14:paraId="3ECC8274" w14:textId="77777777">
      <w:pPr>
        <w:pStyle w:val="Lijstalinea"/>
        <w:numPr>
          <w:ilvl w:val="0"/>
          <w:numId w:val="14"/>
        </w:numPr>
        <w:rPr>
          <w:rFonts w:cs="ADLaM Display"/>
          <w:szCs w:val="18"/>
        </w:rPr>
      </w:pPr>
      <w:r w:rsidRPr="00151D80">
        <w:rPr>
          <w:rFonts w:cs="ADLaM Display"/>
          <w:szCs w:val="18"/>
        </w:rPr>
        <w:t>aanbevelingen gericht tot de wetgever (par. 5.3) over:</w:t>
      </w:r>
    </w:p>
    <w:p w:rsidR="00151D80" w:rsidP="00151D80" w:rsidRDefault="001F35E7" w14:paraId="03236595" w14:textId="12883D7F">
      <w:pPr>
        <w:pStyle w:val="Lijstalinea"/>
        <w:ind w:left="360"/>
        <w:rPr>
          <w:rFonts w:cs="ADLaM Display"/>
          <w:szCs w:val="18"/>
        </w:rPr>
      </w:pPr>
      <w:r w:rsidRPr="00151D80">
        <w:rPr>
          <w:rFonts w:cs="ADLaM Display"/>
          <w:szCs w:val="18"/>
        </w:rPr>
        <w:t>- ideële vorderingen op basis van lid 6 van artikel 3:305a BW (par 5.3.1);</w:t>
      </w:r>
    </w:p>
    <w:p w:rsidR="00151D80" w:rsidP="00151D80" w:rsidRDefault="001F35E7" w14:paraId="5D57C5CF" w14:textId="77777777">
      <w:pPr>
        <w:pStyle w:val="Lijstalinea"/>
        <w:ind w:left="360"/>
        <w:rPr>
          <w:rFonts w:cs="ADLaM Display"/>
          <w:szCs w:val="18"/>
        </w:rPr>
      </w:pPr>
      <w:r w:rsidRPr="001F35E7">
        <w:rPr>
          <w:rFonts w:cs="ADLaM Display"/>
          <w:szCs w:val="18"/>
        </w:rPr>
        <w:t>- collectieve schadevergoedingsacties (par. 5.3.2); en</w:t>
      </w:r>
    </w:p>
    <w:p w:rsidRPr="001F35E7" w:rsidR="001F35E7" w:rsidP="00151D80" w:rsidRDefault="001F35E7" w14:paraId="07D2153A" w14:textId="16DB37CC">
      <w:pPr>
        <w:pStyle w:val="Lijstalinea"/>
        <w:ind w:left="360"/>
        <w:rPr>
          <w:rFonts w:cs="ADLaM Display"/>
          <w:szCs w:val="18"/>
        </w:rPr>
      </w:pPr>
      <w:r w:rsidRPr="001F35E7">
        <w:rPr>
          <w:rFonts w:cs="ADLaM Display"/>
          <w:szCs w:val="18"/>
        </w:rPr>
        <w:t xml:space="preserve">- alle </w:t>
      </w:r>
      <w:r w:rsidR="00946A17">
        <w:rPr>
          <w:rFonts w:cs="ADLaM Display"/>
          <w:szCs w:val="18"/>
        </w:rPr>
        <w:t xml:space="preserve">collectieve </w:t>
      </w:r>
      <w:r w:rsidRPr="001F35E7">
        <w:rPr>
          <w:rFonts w:cs="ADLaM Display"/>
          <w:szCs w:val="18"/>
        </w:rPr>
        <w:t>acties (par. 5.3.3);</w:t>
      </w:r>
    </w:p>
    <w:p w:rsidRPr="001F35E7" w:rsidR="001F35E7" w:rsidP="001F35E7" w:rsidRDefault="001F35E7" w14:paraId="218502C7" w14:textId="77777777">
      <w:pPr>
        <w:pStyle w:val="Lijstalinea"/>
        <w:numPr>
          <w:ilvl w:val="0"/>
          <w:numId w:val="15"/>
        </w:numPr>
        <w:rPr>
          <w:rFonts w:cs="ADLaM Display"/>
          <w:szCs w:val="18"/>
        </w:rPr>
      </w:pPr>
      <w:r w:rsidRPr="001F35E7">
        <w:rPr>
          <w:rFonts w:cs="ADLaM Display"/>
          <w:szCs w:val="18"/>
        </w:rPr>
        <w:t xml:space="preserve">aanbevelingen over monitoring (par. 5.4). </w:t>
      </w:r>
    </w:p>
    <w:p w:rsidRPr="001F35E7" w:rsidR="001F35E7" w:rsidP="001F35E7" w:rsidRDefault="001F35E7" w14:paraId="06C84252" w14:textId="77777777">
      <w:pPr>
        <w:rPr>
          <w:rFonts w:cs="ADLaM Display"/>
          <w:i/>
          <w:iCs/>
        </w:rPr>
      </w:pPr>
    </w:p>
    <w:p w:rsidRPr="001F35E7" w:rsidR="001F35E7" w:rsidP="001F35E7" w:rsidRDefault="001F35E7" w14:paraId="4BA4F5D7" w14:textId="68542F74">
      <w:pPr>
        <w:rPr>
          <w:rFonts w:cs="ADLaM Display"/>
          <w:i/>
          <w:iCs/>
        </w:rPr>
      </w:pPr>
      <w:r w:rsidRPr="001F35E7">
        <w:rPr>
          <w:rFonts w:cs="ADLaM Display"/>
          <w:i/>
          <w:iCs/>
        </w:rPr>
        <w:t>5.2 Aanbevelingen voor verduidelijking van wettelijke begrippen of de procedure</w:t>
      </w:r>
    </w:p>
    <w:p w:rsidRPr="001F35E7" w:rsidR="001F35E7" w:rsidP="001F35E7" w:rsidRDefault="001F35E7" w14:paraId="12781FD6" w14:textId="729AF92D">
      <w:pPr>
        <w:rPr>
          <w:rFonts w:cs="ADLaM Display"/>
        </w:rPr>
      </w:pPr>
      <w:r w:rsidRPr="001F35E7">
        <w:rPr>
          <w:rFonts w:cs="ADLaM Display"/>
        </w:rPr>
        <w:t>Een groot deel van de aanbevelingen van de onderzoekers ziet op het creëren van duidelijkheid in de interpretatie van wettelijke begrippen of de procedure. Dit betreft de aanbevelingen 1 tot en met 8. Deze aanbevelingen zien op gewenste duidelijkheid over twee technische procedurele punten,</w:t>
      </w:r>
      <w:r w:rsidRPr="001F35E7">
        <w:rPr>
          <w:rStyle w:val="Voetnootmarkering"/>
          <w:rFonts w:cs="ADLaM Display"/>
        </w:rPr>
        <w:footnoteReference w:id="23"/>
      </w:r>
      <w:r w:rsidRPr="001F35E7">
        <w:rPr>
          <w:rFonts w:cs="ADLaM Display"/>
        </w:rPr>
        <w:t xml:space="preserve"> uitgangspunten voor hoger beroep en cassatie (aanbeveling 3) en de interpretatie van de representativiteitseis (aanbeveling 4). Daarnaast gaat het over de interpretatie van het begrip ‘zeggenschap over de vordering</w:t>
      </w:r>
      <w:r w:rsidR="007D6CA9">
        <w:rPr>
          <w:rFonts w:cs="ADLaM Display"/>
        </w:rPr>
        <w:t>’</w:t>
      </w:r>
      <w:r w:rsidRPr="001F35E7">
        <w:rPr>
          <w:rFonts w:cs="ADLaM Display"/>
        </w:rPr>
        <w:t xml:space="preserve"> bij financiering door procesfinanciers (aanbeveling 5) en van het begrip ‘opmaat tot schadevergoeding’ (aanbeveling 6). Omdat de uitleg van de wet een taak van de rechter is, lees ik deze aanbevelingen als aanbevelingen </w:t>
      </w:r>
      <w:r w:rsidRPr="001F35E7" w:rsidR="00B513EF">
        <w:rPr>
          <w:rFonts w:cs="ADLaM Display"/>
        </w:rPr>
        <w:t xml:space="preserve">primair </w:t>
      </w:r>
      <w:r w:rsidRPr="001F35E7">
        <w:rPr>
          <w:rFonts w:cs="ADLaM Display"/>
        </w:rPr>
        <w:t>gericht op het verkrijgen van duidelijkheid door rechterlijke uitspraken. Ook de onderzoekers gaan ervan uit dat duidelijkheid van deze punten door jurisprudentie kan komen.</w:t>
      </w:r>
      <w:r w:rsidRPr="001F35E7">
        <w:rPr>
          <w:rStyle w:val="Voetnootmarkering"/>
          <w:rFonts w:cs="ADLaM Display"/>
        </w:rPr>
        <w:footnoteReference w:id="24"/>
      </w:r>
      <w:r w:rsidRPr="001F35E7">
        <w:rPr>
          <w:rFonts w:cs="ADLaM Display"/>
        </w:rPr>
        <w:t xml:space="preserve"> De rechtspraak moet de ruimte krijgen om deze punten te verhelderen; sommige onduidelijkheden kristalliseren zich ook pas uit in concrete zaken. Verschillende van de in de wetsevaluatie genoemde onduidelijkheden liggen reeds voor bij de rechterlijke macht of zijn inmiddels al beslist. Zo heeft de Hoge Raad recent helderheid verschaft over enkele procesrechtelijke aspecten van het hoger beroep in collectieve acties (aanbeveling 3). De Hoge Raad heeft beslist dat in een collectieve actie op basis van artikel 3:305a BW de rechter in hoger beroep, anders dan in andere zaken, soms wel mag terugwijzen naar de rechter in eerste aanleg.</w:t>
      </w:r>
      <w:r w:rsidRPr="001F35E7">
        <w:rPr>
          <w:rStyle w:val="Voetnootmarkering"/>
          <w:rFonts w:cs="ADLaM Display"/>
        </w:rPr>
        <w:footnoteReference w:id="25"/>
      </w:r>
      <w:r w:rsidRPr="001F35E7">
        <w:rPr>
          <w:rFonts w:cs="ADLaM Display"/>
        </w:rPr>
        <w:t xml:space="preserve"> Ook heeft de Hoge Raad verduidelijkt dat de toetsing of een belangenorganisatie voldoet aan de ontvankelijkheidseisen moet plaatsvinden op het moment van het sluiten van het onderzoek ter zitting.</w:t>
      </w:r>
      <w:r w:rsidRPr="001F35E7">
        <w:rPr>
          <w:rStyle w:val="Voetnootmarkering"/>
          <w:rFonts w:cs="ADLaM Display"/>
        </w:rPr>
        <w:footnoteReference w:id="26"/>
      </w:r>
      <w:r w:rsidRPr="001F35E7">
        <w:rPr>
          <w:rFonts w:cs="ADLaM Display"/>
        </w:rPr>
        <w:t xml:space="preserve"> </w:t>
      </w:r>
    </w:p>
    <w:p w:rsidRPr="001F35E7" w:rsidR="001F35E7" w:rsidP="001F35E7" w:rsidRDefault="001F35E7" w14:paraId="256A0958" w14:textId="014B8956">
      <w:pPr>
        <w:rPr>
          <w:rFonts w:cs="ADLaM Display"/>
        </w:rPr>
      </w:pPr>
      <w:r w:rsidRPr="001F35E7">
        <w:rPr>
          <w:rFonts w:cs="ADLaM Display"/>
        </w:rPr>
        <w:t>Ik ben van mening dat de gewenste duidelijkheid over de interpretatie van de in het rapport genoemde punten het beste kan worden gegeven door de rechtspraak en dat het daarom raadzaam is de verdere ontwikkelingen in de jurisprudentie af te wachten.</w:t>
      </w:r>
    </w:p>
    <w:p w:rsidR="00151D80" w:rsidP="001F35E7" w:rsidRDefault="00151D80" w14:paraId="56D036B7" w14:textId="77777777">
      <w:pPr>
        <w:rPr>
          <w:rFonts w:cs="ADLaM Display"/>
          <w:i/>
          <w:iCs/>
        </w:rPr>
      </w:pPr>
    </w:p>
    <w:p w:rsidRPr="001F35E7" w:rsidR="001F35E7" w:rsidP="001F35E7" w:rsidRDefault="001F35E7" w14:paraId="6FF53C13" w14:textId="38EF7E62">
      <w:pPr>
        <w:rPr>
          <w:rFonts w:cs="ADLaM Display"/>
          <w:i/>
          <w:iCs/>
        </w:rPr>
      </w:pPr>
      <w:r w:rsidRPr="001F35E7">
        <w:rPr>
          <w:rFonts w:cs="ADLaM Display"/>
          <w:i/>
          <w:iCs/>
        </w:rPr>
        <w:t>5.3 Aanbevelingen gericht tot de wetgever</w:t>
      </w:r>
    </w:p>
    <w:p w:rsidRPr="001F35E7" w:rsidR="001F35E7" w:rsidP="001F35E7" w:rsidRDefault="001F35E7" w14:paraId="2E0E8D34" w14:textId="15E3F128">
      <w:pPr>
        <w:rPr>
          <w:rFonts w:cs="ADLaM Display"/>
        </w:rPr>
      </w:pPr>
      <w:r w:rsidRPr="001F35E7">
        <w:rPr>
          <w:rFonts w:cs="ADLaM Display"/>
        </w:rPr>
        <w:t>De onderzoekers doen ook aanbevelingen die (uitsluitend) tot de wetgever zijn gericht. Die vallen uiteen in concrete aanbevelingen op veelal technisch</w:t>
      </w:r>
      <w:r w:rsidR="007D6CA9">
        <w:rPr>
          <w:rFonts w:cs="ADLaM Display"/>
        </w:rPr>
        <w:t>-</w:t>
      </w:r>
      <w:r w:rsidRPr="001F35E7">
        <w:rPr>
          <w:rFonts w:cs="ADLaM Display"/>
        </w:rPr>
        <w:t xml:space="preserve">juridisch vlak (aanbevelingen 7 tot en met 14) en aanbevelingen over </w:t>
      </w:r>
      <w:proofErr w:type="spellStart"/>
      <w:r w:rsidRPr="001F35E7">
        <w:rPr>
          <w:rFonts w:cs="ADLaM Display"/>
        </w:rPr>
        <w:t>wetssystematische</w:t>
      </w:r>
      <w:proofErr w:type="spellEnd"/>
      <w:r w:rsidRPr="001F35E7">
        <w:rPr>
          <w:rFonts w:cs="ADLaM Display"/>
        </w:rPr>
        <w:t xml:space="preserve"> keuzes (aanbevelingen 15, 16 en 17).</w:t>
      </w:r>
      <w:r w:rsidRPr="001F35E7">
        <w:rPr>
          <w:rStyle w:val="Voetnootmarkering"/>
          <w:rFonts w:cs="ADLaM Display"/>
        </w:rPr>
        <w:footnoteReference w:id="27"/>
      </w:r>
      <w:r w:rsidRPr="001F35E7">
        <w:rPr>
          <w:rFonts w:cs="ADLaM Display"/>
        </w:rPr>
        <w:t xml:space="preserve"> Eerstgenoemde aanbevelingen zien met name op het bevorderen van de voortgang van de voorfase of ontvankelijkheidsfase van de collectieve actie. Dit houdt verband met doelstelling 2: een gecoördineerde, efficiënte en effectieve collectieve actie. Om de onderdelen ‘efficiëntie en effectiviteit van de collectieve actie’ van </w:t>
      </w:r>
      <w:r w:rsidR="00B513EF">
        <w:rPr>
          <w:rFonts w:cs="ADLaM Display"/>
        </w:rPr>
        <w:t xml:space="preserve">deze </w:t>
      </w:r>
      <w:r w:rsidRPr="001F35E7">
        <w:rPr>
          <w:rFonts w:cs="ADLaM Display"/>
        </w:rPr>
        <w:t xml:space="preserve">doelstelling te bereiken, zouden volgens de onderzoekers sommige verplichte onderdelen die zijn gericht op het onderdeel coördinatie met een wetswijziging kunnen worden losgelaten of aangepast. </w:t>
      </w:r>
    </w:p>
    <w:p w:rsidR="00151D80" w:rsidP="001F35E7" w:rsidRDefault="00151D80" w14:paraId="1D93D9AE" w14:textId="77777777">
      <w:pPr>
        <w:rPr>
          <w:rFonts w:cs="ADLaM Display"/>
        </w:rPr>
      </w:pPr>
    </w:p>
    <w:p w:rsidRPr="001F35E7" w:rsidR="001F35E7" w:rsidP="001F35E7" w:rsidRDefault="001F35E7" w14:paraId="7F4BD7BB" w14:textId="439618E9">
      <w:pPr>
        <w:rPr>
          <w:rFonts w:cs="ADLaM Display"/>
        </w:rPr>
      </w:pPr>
      <w:r w:rsidRPr="001F35E7">
        <w:rPr>
          <w:rFonts w:cs="ADLaM Display"/>
        </w:rPr>
        <w:t xml:space="preserve">Ik kan mij vinden in de gedachte achter verschillende van de aanbevelingen aan de wetgever (aanbevelingen 8 tot en met 11, 13 en 14), maar zie hiervoor geen noodzaak tot wetsaanpassing. Naar mijn mening biedt het huidige recht voldoende ruimte en ik zie ook dat de rechtspraak hiermee inmiddels uit de voeten kan. Er zijn ook enkele aanbevelingen voor concrete wetswijziging die ik niet deel (aanbevelingen 7 en 13). Ook zijn er aanbevelingen voor het maken van een </w:t>
      </w:r>
      <w:proofErr w:type="spellStart"/>
      <w:r w:rsidRPr="001F35E7">
        <w:rPr>
          <w:rFonts w:cs="ADLaM Display"/>
        </w:rPr>
        <w:t>wetssystematische</w:t>
      </w:r>
      <w:proofErr w:type="spellEnd"/>
      <w:r w:rsidRPr="001F35E7">
        <w:rPr>
          <w:rFonts w:cs="ADLaM Display"/>
        </w:rPr>
        <w:t xml:space="preserve"> keuze óf iets mogelijk moet zijn, waarbij ik meen dat dit niet mogelijk moet zijn (aanbevelingen</w:t>
      </w:r>
      <w:r w:rsidR="00247B40">
        <w:rPr>
          <w:rFonts w:cs="ADLaM Display"/>
        </w:rPr>
        <w:t xml:space="preserve"> </w:t>
      </w:r>
      <w:r w:rsidRPr="001F35E7">
        <w:rPr>
          <w:rFonts w:cs="ADLaM Display"/>
        </w:rPr>
        <w:t>15, 16 en 17). Hieronder ga ik nader in op de verschillende aan de wetgever gerichte aanbevelingen.</w:t>
      </w:r>
      <w:r w:rsidR="00247B40">
        <w:rPr>
          <w:rFonts w:cs="ADLaM Display"/>
        </w:rPr>
        <w:t xml:space="preserve"> </w:t>
      </w:r>
    </w:p>
    <w:p w:rsidR="00151D80" w:rsidP="001F35E7" w:rsidRDefault="00151D80" w14:paraId="03A60130" w14:textId="77777777">
      <w:pPr>
        <w:rPr>
          <w:rFonts w:cs="ADLaM Display"/>
          <w:i/>
          <w:iCs/>
        </w:rPr>
      </w:pPr>
    </w:p>
    <w:p w:rsidRPr="001F35E7" w:rsidR="001F35E7" w:rsidP="001F35E7" w:rsidRDefault="001F35E7" w14:paraId="1BA02AF4" w14:textId="0BF118E8">
      <w:pPr>
        <w:rPr>
          <w:rFonts w:cs="ADLaM Display"/>
          <w:i/>
          <w:iCs/>
        </w:rPr>
      </w:pPr>
      <w:r w:rsidRPr="001F35E7">
        <w:rPr>
          <w:rFonts w:cs="ADLaM Display"/>
          <w:i/>
          <w:iCs/>
        </w:rPr>
        <w:t xml:space="preserve">5.3.1 Aanbevelingen voor ideële vorderingen op basis van artikel 3:305a </w:t>
      </w:r>
      <w:r w:rsidRPr="001F35E7" w:rsidR="00514832">
        <w:rPr>
          <w:rFonts w:cs="ADLaM Display"/>
          <w:i/>
          <w:iCs/>
        </w:rPr>
        <w:t>lid 6</w:t>
      </w:r>
      <w:r w:rsidR="00514832">
        <w:rPr>
          <w:rFonts w:cs="ADLaM Display"/>
          <w:i/>
          <w:iCs/>
        </w:rPr>
        <w:t xml:space="preserve"> </w:t>
      </w:r>
      <w:r w:rsidRPr="001F35E7">
        <w:rPr>
          <w:rFonts w:cs="ADLaM Display"/>
          <w:i/>
          <w:iCs/>
        </w:rPr>
        <w:t xml:space="preserve">BW </w:t>
      </w:r>
    </w:p>
    <w:p w:rsidRPr="001F35E7" w:rsidR="001F35E7" w:rsidP="001F35E7" w:rsidRDefault="001F35E7" w14:paraId="6A9C9C98" w14:textId="78F6F814">
      <w:pPr>
        <w:rPr>
          <w:rFonts w:cs="ADLaM Display"/>
        </w:rPr>
      </w:pPr>
      <w:r w:rsidRPr="001F35E7">
        <w:rPr>
          <w:rFonts w:cs="ADLaM Display"/>
        </w:rPr>
        <w:t>Aanbevelingen</w:t>
      </w:r>
      <w:r w:rsidR="00247B40">
        <w:rPr>
          <w:rFonts w:cs="ADLaM Display"/>
        </w:rPr>
        <w:t xml:space="preserve"> </w:t>
      </w:r>
      <w:r w:rsidRPr="001F35E7">
        <w:rPr>
          <w:rFonts w:cs="ADLaM Display"/>
        </w:rPr>
        <w:t xml:space="preserve">8, 9, 10, en 11 zien op het voorstel om het bij wet mogelijk te maken dat enkele verplichte procedurele stappen in de WAMCA-procedure worden overgeslagen. Bij de aanbevelingen 8 en 11 blijkt uit de formulering al dat zij beperkt zijn tot </w:t>
      </w:r>
      <w:r w:rsidRPr="001F35E7" w:rsidR="00D66900">
        <w:rPr>
          <w:rFonts w:cs="ADLaM Display"/>
        </w:rPr>
        <w:t>ideële vorderingen op basis van lid 6 van artikel 3:305a BW</w:t>
      </w:r>
      <w:r w:rsidRPr="001F35E7">
        <w:rPr>
          <w:rFonts w:cs="ADLaM Display"/>
        </w:rPr>
        <w:t xml:space="preserve"> maar ook bij de aanbeveling 9 en 10 zal het logischerwijs enkel om </w:t>
      </w:r>
      <w:r w:rsidR="00D66900">
        <w:rPr>
          <w:rFonts w:cs="ADLaM Display"/>
        </w:rPr>
        <w:t xml:space="preserve">dit type </w:t>
      </w:r>
      <w:r w:rsidRPr="001F35E7">
        <w:rPr>
          <w:rFonts w:cs="ADLaM Display"/>
        </w:rPr>
        <w:t xml:space="preserve">vorderingen gaan. Het gaat bij dit soort acties, waarin geen schadevergoeding wordt gevorderd, in de praktijk vrijwel altijd om acties met een ideëel doel en een zeer beperkt financieel belang. Aanbeveling 13 ziet op een aanvulling van de wet. Aanbevolen is om een kwalitatieve toets te introduceren voor de representativiteit bij ideële vorderingen op basis van lid 6 van artikel 3:305a BW. Hieronder leg ik uit dat uit de rechtspraktijk blijkt dat de wet op de genoemde punten voldoende flexibiliteit biedt. Ik neem deze aanbevelingen voor wetsaanpassing dan ook niet over. </w:t>
      </w:r>
    </w:p>
    <w:p w:rsidRPr="001F35E7" w:rsidR="001F35E7" w:rsidP="001F35E7" w:rsidRDefault="001F35E7" w14:paraId="153057C7" w14:textId="77777777">
      <w:pPr>
        <w:ind w:firstLine="720"/>
        <w:rPr>
          <w:rFonts w:cs="ADLaM Display"/>
          <w:i/>
          <w:iCs/>
        </w:rPr>
      </w:pPr>
      <w:r w:rsidRPr="001F35E7">
        <w:rPr>
          <w:rFonts w:cs="ADLaM Display"/>
          <w:i/>
          <w:iCs/>
        </w:rPr>
        <w:t>Aanbeveling 8 Overslaan van de wachttermijn van 3 tot 6 maanden</w:t>
      </w:r>
    </w:p>
    <w:p w:rsidRPr="001F35E7" w:rsidR="001F35E7" w:rsidP="001F35E7" w:rsidRDefault="001F35E7" w14:paraId="7AA417A0" w14:textId="34A29B95">
      <w:pPr>
        <w:rPr>
          <w:rFonts w:cs="ADLaM Display"/>
        </w:rPr>
      </w:pPr>
      <w:r w:rsidRPr="001F35E7">
        <w:rPr>
          <w:rFonts w:cs="ADLaM Display"/>
        </w:rPr>
        <w:t>Aanbeveling 8 is om bij een ideële vordering op basis van lid 6 van artikel 3:305a BW wettelijk mogelijk te maken dat de wachttermijn wordt overgeslagen nadat een belangenorganisatie een collectieve actie heeft ingesteld als het onwaarschijnlijk is dat een andere belangenorganisatie zich gaat melden. De wachttermijn biedt andere belangenorganisaties de gelegenheid om kenbaar te maken dat zij voor dezelfde gebeurtenis ook een collectieve vordering willen instellen. De rechter wijst daarna een of meer organisaties aan als exclusieve belangenbehartiger(s). De onderzoekers verbinden aan deze aanbeveling de voorwaarde dat de reguliere regels over voeging en tussenkomst aan</w:t>
      </w:r>
      <w:r w:rsidR="00754318">
        <w:rPr>
          <w:rFonts w:cs="ADLaM Display"/>
        </w:rPr>
        <w:t xml:space="preserve"> de kant van</w:t>
      </w:r>
      <w:r w:rsidRPr="001F35E7">
        <w:rPr>
          <w:rFonts w:cs="ADLaM Display"/>
        </w:rPr>
        <w:t xml:space="preserve"> eisers onverkort van toepassing blijven. </w:t>
      </w:r>
    </w:p>
    <w:p w:rsidR="00CC50D4" w:rsidP="001F35E7" w:rsidRDefault="00CC50D4" w14:paraId="09ECB36A" w14:textId="77777777">
      <w:pPr>
        <w:rPr>
          <w:rFonts w:cs="ADLaM Display"/>
        </w:rPr>
      </w:pPr>
    </w:p>
    <w:p w:rsidRPr="001F35E7" w:rsidR="001F35E7" w:rsidP="001F35E7" w:rsidRDefault="001F35E7" w14:paraId="042B4705" w14:textId="33C9D90A">
      <w:pPr>
        <w:rPr>
          <w:rFonts w:cs="ADLaM Display"/>
        </w:rPr>
      </w:pPr>
      <w:r w:rsidRPr="001F35E7">
        <w:rPr>
          <w:rFonts w:cs="ADLaM Display"/>
        </w:rPr>
        <w:t xml:space="preserve">Ik begrijp de gedachte achter deze aanbeveling, namelijk om geen onnodige vertraging op te lopen wanneer duidelijk is dat zich geen andere belangenorganisatieorganisatie zal melden. Toch neem ik deze aanbeveling niet over. Het zal in de praktijk steeds gaan om een wachttermijn van drie maanden; de </w:t>
      </w:r>
      <w:proofErr w:type="spellStart"/>
      <w:r w:rsidRPr="001F35E7">
        <w:rPr>
          <w:rFonts w:cs="ADLaM Display"/>
        </w:rPr>
        <w:t>zesmaandenwachttermijn</w:t>
      </w:r>
      <w:proofErr w:type="spellEnd"/>
      <w:r w:rsidRPr="001F35E7">
        <w:rPr>
          <w:rFonts w:cs="ADLaM Display"/>
        </w:rPr>
        <w:t xml:space="preserve"> geldt alleen als de rechter op verzoek van een andere belangenorganisatie de termijn van drie maanden verlengt (tot maximaal zes maanden). Dat is niet aan de orde als zich geen andere belangenorganisatie meldt. De wachttermijn valt in de praktijk bovendien samen met de termijn die de gedaagde krijgt voor het indienen van een verweerschrift, zodat het schrappen van de wachttermijn niet noodzakelijkerwijs tot een kortere voorfase leidt. De Hoge Raad heeft zich inmiddels uitgelaten over de voorwaarde dat de reguliere regels over voeging en tussenkomst ook aan </w:t>
      </w:r>
      <w:r w:rsidR="00754318">
        <w:rPr>
          <w:rFonts w:cs="ADLaM Display"/>
        </w:rPr>
        <w:t xml:space="preserve">de kant van </w:t>
      </w:r>
      <w:r w:rsidRPr="001F35E7">
        <w:rPr>
          <w:rFonts w:cs="ADLaM Display"/>
        </w:rPr>
        <w:t xml:space="preserve">eisers onverkort van toepassing blijven. In een overweging ten overvloede heeft de Hoge Raad gezegd dat een andere belangenorganisatie zich niet kan voegen aan de </w:t>
      </w:r>
      <w:r w:rsidR="00754318">
        <w:rPr>
          <w:rFonts w:cs="ADLaM Display"/>
        </w:rPr>
        <w:t>kant</w:t>
      </w:r>
      <w:r w:rsidRPr="001F35E7">
        <w:rPr>
          <w:rFonts w:cs="ADLaM Display"/>
        </w:rPr>
        <w:t xml:space="preserve"> van eiser in een WAMCA-zaak.</w:t>
      </w:r>
      <w:r w:rsidRPr="001F35E7">
        <w:rPr>
          <w:rStyle w:val="Voetnootmarkering"/>
          <w:rFonts w:cs="ADLaM Display"/>
        </w:rPr>
        <w:footnoteReference w:id="28"/>
      </w:r>
      <w:r w:rsidRPr="001F35E7">
        <w:rPr>
          <w:rFonts w:cs="ADLaM Display"/>
        </w:rPr>
        <w:t xml:space="preserve"> Ik kom hier bij de bespreking van aanbeveling 7 nog op terug. Ik zie geen reden om door een wetsaanpassing voeging en tussenkomst aan de </w:t>
      </w:r>
      <w:r w:rsidR="00754318">
        <w:rPr>
          <w:rFonts w:cs="ADLaM Display"/>
        </w:rPr>
        <w:t>kant</w:t>
      </w:r>
      <w:r w:rsidRPr="001F35E7">
        <w:rPr>
          <w:rFonts w:cs="ADLaM Display"/>
        </w:rPr>
        <w:t xml:space="preserve"> van de eisende belangenorganisatie door een andere belangenorganisatie alsnog mogelijk te maken. Bovendien zie ik meer in regie door de rechter op het punt van het voorkomen van onnodige vertraging, bijvoorbeeld door al voor het einde van de wachttermijn een planning voor de volgende processtappen te maken. In de monitor</w:t>
      </w:r>
      <w:r w:rsidR="00754318">
        <w:rPr>
          <w:rFonts w:cs="ADLaM Display"/>
        </w:rPr>
        <w:t>ings</w:t>
      </w:r>
      <w:r w:rsidRPr="001F35E7">
        <w:rPr>
          <w:rFonts w:cs="ADLaM Display"/>
        </w:rPr>
        <w:t>bijeenkomst kwam naar voren dat rechters dit soort regiemaatregelen steeds vaker lijken toe te passen.</w:t>
      </w:r>
      <w:r w:rsidR="00247B40">
        <w:rPr>
          <w:rFonts w:cs="ADLaM Display"/>
        </w:rPr>
        <w:t xml:space="preserve"> </w:t>
      </w:r>
    </w:p>
    <w:p w:rsidR="00CC50D4" w:rsidP="001F35E7" w:rsidRDefault="00CC50D4" w14:paraId="4A3C6685" w14:textId="77777777">
      <w:pPr>
        <w:ind w:firstLine="720"/>
        <w:rPr>
          <w:rFonts w:cs="ADLaM Display"/>
          <w:i/>
          <w:iCs/>
        </w:rPr>
      </w:pPr>
    </w:p>
    <w:p w:rsidRPr="001F35E7" w:rsidR="001F35E7" w:rsidP="001F35E7" w:rsidRDefault="001F35E7" w14:paraId="0B5041E4" w14:textId="2F2E1AFA">
      <w:pPr>
        <w:ind w:firstLine="720"/>
        <w:rPr>
          <w:rFonts w:cs="ADLaM Display"/>
          <w:i/>
          <w:iCs/>
        </w:rPr>
      </w:pPr>
      <w:r w:rsidRPr="001F35E7">
        <w:rPr>
          <w:rFonts w:cs="ADLaM Display"/>
          <w:i/>
          <w:iCs/>
        </w:rPr>
        <w:t xml:space="preserve">Aanbeveling 9 </w:t>
      </w:r>
      <w:r w:rsidR="008F36A6">
        <w:rPr>
          <w:rFonts w:cs="ADLaM Display"/>
          <w:i/>
          <w:iCs/>
        </w:rPr>
        <w:t>N</w:t>
      </w:r>
      <w:r w:rsidRPr="001F35E7">
        <w:rPr>
          <w:rFonts w:cs="ADLaM Display"/>
          <w:i/>
          <w:iCs/>
        </w:rPr>
        <w:t>iet aanwijzen exclusieve belangenbehartiger</w:t>
      </w:r>
    </w:p>
    <w:p w:rsidRPr="001F35E7" w:rsidR="001F35E7" w:rsidP="001F35E7" w:rsidRDefault="001F35E7" w14:paraId="20FC8EB6" w14:textId="77777777">
      <w:pPr>
        <w:rPr>
          <w:rFonts w:cs="ADLaM Display"/>
        </w:rPr>
      </w:pPr>
      <w:r w:rsidRPr="001F35E7">
        <w:rPr>
          <w:rFonts w:cs="ADLaM Display"/>
        </w:rPr>
        <w:t xml:space="preserve">Aanbeveling 9 is om het wettelijk mogelijk te maken dat niet altijd een exclusieve belangenbehartiger wordt aangewezen. Ik lees deze aanbeveling in het licht van ideële vorderingen op basis van lid 6 van artikel 3:305a BW. De wettelijke bepalingen over de exclusieve belangenbehartiger hebben alle te maken met de rol die de belangenorganisatie krijgt als exclusieve belangenbehartiger wanneer meerdere belangenorganisaties procederen en met de informatievoorziening door de exclusieve belangenbehartiger aan de nauw omschreven groep (onder meer over de </w:t>
      </w:r>
      <w:proofErr w:type="spellStart"/>
      <w:r w:rsidRPr="001F35E7">
        <w:rPr>
          <w:rFonts w:cs="ADLaM Display"/>
        </w:rPr>
        <w:t>opt</w:t>
      </w:r>
      <w:proofErr w:type="spellEnd"/>
      <w:r w:rsidRPr="001F35E7">
        <w:rPr>
          <w:rFonts w:cs="ADLaM Display"/>
        </w:rPr>
        <w:t>-out bij een vordering tot schadevergoeding).</w:t>
      </w:r>
      <w:r w:rsidRPr="001F35E7">
        <w:rPr>
          <w:rStyle w:val="Voetnootmarkering"/>
          <w:rFonts w:cs="ADLaM Display"/>
        </w:rPr>
        <w:footnoteReference w:id="29"/>
      </w:r>
      <w:r w:rsidRPr="001F35E7">
        <w:rPr>
          <w:rFonts w:cs="ADLaM Display"/>
        </w:rPr>
        <w:t xml:space="preserve"> In gevallen waarin geen andere belangenorganisatie zich heeft gemeld of waarin verschillende belangenorganisaties zich hebben gemeld, maar op één gezamenlijke dagvaarding, heeft de aanwijzing van een exclusieve belangenbehartiger geen meerwaarde. Ik kan mij voorstellen dat de rechter de aanwijzing van een exclusieve belangenbehartiger in dit type gevallen achterwege laat en meen dat de wet daarvoor reeds ruimte laat. Deze zienswijze is ook terug te vinden in de rechtspraak; in het evaluatierapport wordt geconstateerd dat rechters in vrij veel gevallen geen exclusieve belangenbehartiger hebben aangewezen, omdat dit geen redelijk doel diende en wel tot vertraging van de zaak zou leiden.</w:t>
      </w:r>
      <w:r w:rsidRPr="001F35E7">
        <w:rPr>
          <w:rStyle w:val="Voetnootmarkering"/>
          <w:rFonts w:cs="ADLaM Display"/>
        </w:rPr>
        <w:footnoteReference w:id="30"/>
      </w:r>
      <w:r w:rsidRPr="001F35E7">
        <w:rPr>
          <w:rFonts w:cs="ADLaM Display"/>
        </w:rPr>
        <w:t xml:space="preserve"> Wettelijk ingrijpen is daarom naar mijn mening niet nodig.</w:t>
      </w:r>
    </w:p>
    <w:p w:rsidR="00D97784" w:rsidP="001F35E7" w:rsidRDefault="00D97784" w14:paraId="630CE1B4" w14:textId="77777777">
      <w:pPr>
        <w:ind w:firstLine="720"/>
        <w:rPr>
          <w:rFonts w:cs="ADLaM Display"/>
          <w:i/>
          <w:iCs/>
        </w:rPr>
      </w:pPr>
    </w:p>
    <w:p w:rsidRPr="001F35E7" w:rsidR="001F35E7" w:rsidP="00514832" w:rsidRDefault="001F35E7" w14:paraId="13FBAF84" w14:textId="154CCED3">
      <w:pPr>
        <w:ind w:left="708" w:firstLine="12"/>
        <w:rPr>
          <w:rFonts w:cs="ADLaM Display"/>
          <w:i/>
          <w:iCs/>
        </w:rPr>
      </w:pPr>
      <w:r w:rsidRPr="001F35E7">
        <w:rPr>
          <w:rFonts w:cs="ADLaM Display"/>
          <w:i/>
          <w:iCs/>
        </w:rPr>
        <w:t xml:space="preserve">Aanbevelingen 10 en 11 </w:t>
      </w:r>
      <w:r w:rsidR="008F36A6">
        <w:rPr>
          <w:rFonts w:cs="ADLaM Display"/>
          <w:i/>
          <w:iCs/>
        </w:rPr>
        <w:t>N</w:t>
      </w:r>
      <w:r w:rsidRPr="001F35E7">
        <w:rPr>
          <w:rFonts w:cs="ADLaM Display"/>
          <w:i/>
          <w:iCs/>
        </w:rPr>
        <w:t xml:space="preserve">iet vaststellen nauw omschreven groep en overslaan </w:t>
      </w:r>
      <w:proofErr w:type="spellStart"/>
      <w:r w:rsidRPr="001F35E7">
        <w:rPr>
          <w:rFonts w:cs="ADLaM Display"/>
          <w:i/>
          <w:iCs/>
        </w:rPr>
        <w:t>opt</w:t>
      </w:r>
      <w:proofErr w:type="spellEnd"/>
      <w:r w:rsidRPr="001F35E7">
        <w:rPr>
          <w:rFonts w:cs="ADLaM Display"/>
          <w:i/>
          <w:iCs/>
        </w:rPr>
        <w:t>-out</w:t>
      </w:r>
    </w:p>
    <w:p w:rsidRPr="001F35E7" w:rsidR="001F35E7" w:rsidP="001F35E7" w:rsidRDefault="001F35E7" w14:paraId="398914CC" w14:textId="77777777">
      <w:pPr>
        <w:rPr>
          <w:rFonts w:cs="ADLaM Display"/>
        </w:rPr>
      </w:pPr>
      <w:r w:rsidRPr="001F35E7">
        <w:rPr>
          <w:rFonts w:cs="ADLaM Display"/>
        </w:rPr>
        <w:t xml:space="preserve">Aanbeveling 10 is om het wettelijk mogelijk te maken dat niet altijd een nauw omschreven groep wordt vastgesteld. Ook deze aanbeveling lees ik in het licht van ideële vorderingen op basis van lid 6 van artikel 3:305a BW. Aanbeveling 11 is om bij dergelijke ideële vorderingen wettelijk mogelijk te maken dat de </w:t>
      </w:r>
      <w:proofErr w:type="spellStart"/>
      <w:r w:rsidRPr="001F35E7">
        <w:rPr>
          <w:rFonts w:cs="ADLaM Display"/>
        </w:rPr>
        <w:t>opt</w:t>
      </w:r>
      <w:proofErr w:type="spellEnd"/>
      <w:r w:rsidRPr="001F35E7">
        <w:rPr>
          <w:rFonts w:cs="ADLaM Display"/>
        </w:rPr>
        <w:t xml:space="preserve">-out-fase wordt overgeslagen. Bij ideële vorderingen met een diffuse en onbepaalde achterban is het vaststellen van een nauw omschreven groep niet mogelijk en het bieden van een </w:t>
      </w:r>
      <w:proofErr w:type="spellStart"/>
      <w:r w:rsidRPr="001F35E7">
        <w:rPr>
          <w:rFonts w:cs="ADLaM Display"/>
        </w:rPr>
        <w:t>opt</w:t>
      </w:r>
      <w:proofErr w:type="spellEnd"/>
      <w:r w:rsidRPr="001F35E7">
        <w:rPr>
          <w:rFonts w:cs="ADLaM Display"/>
        </w:rPr>
        <w:t>-out-mogelijkheid dus niet aan de orde. De uitspraak in de zaak, of dit nu een verklaring voor recht of de toe- of afwijzing van een eventueel gevorderd gebod of verbod is, geldt bovendien jegens de gehele diffuse en onbepaalde achterban. Het kan ook voorkomen dat het wel mogelijk is om een nauw omschreven groep vast te stellen, bijvoorbeeld als het gaat om de omwonenden van een vervuild meer of om bepaalde groepen werkenden, maar dat de uitspraak naar haar aard toch bindend zal zijn voor de hele groep. Dit is het geval als de vordering naar haar aard tot een uitkomst leidt die bindend is voor de hele groep. Ook dan is het onmogelijk om je als lid van de groep aan de werking van de uitspraak te onttrekken.</w:t>
      </w:r>
      <w:r w:rsidRPr="001F35E7">
        <w:rPr>
          <w:rStyle w:val="Voetnootmarkering"/>
          <w:rFonts w:cs="ADLaM Display"/>
        </w:rPr>
        <w:footnoteReference w:id="31"/>
      </w:r>
      <w:r w:rsidRPr="001F35E7">
        <w:rPr>
          <w:rFonts w:cs="ADLaM Display"/>
        </w:rPr>
        <w:t xml:space="preserve"> Het bieden van een </w:t>
      </w:r>
      <w:proofErr w:type="spellStart"/>
      <w:r w:rsidRPr="001F35E7">
        <w:rPr>
          <w:rFonts w:cs="ADLaM Display"/>
        </w:rPr>
        <w:t>opt</w:t>
      </w:r>
      <w:proofErr w:type="spellEnd"/>
      <w:r w:rsidRPr="001F35E7">
        <w:rPr>
          <w:rFonts w:cs="ADLaM Display"/>
        </w:rPr>
        <w:t xml:space="preserve">-out-mogelijkheid is dan theoretisch beschouwd niet onmogelijk, maar wel zinloos omdat een </w:t>
      </w:r>
      <w:proofErr w:type="spellStart"/>
      <w:r w:rsidRPr="001F35E7">
        <w:rPr>
          <w:rFonts w:cs="ADLaM Display"/>
        </w:rPr>
        <w:t>opt</w:t>
      </w:r>
      <w:proofErr w:type="spellEnd"/>
      <w:r w:rsidRPr="001F35E7">
        <w:rPr>
          <w:rFonts w:cs="ADLaM Display"/>
        </w:rPr>
        <w:t>-out zonder gevolgen blijft.</w:t>
      </w:r>
      <w:r w:rsidRPr="001F35E7">
        <w:rPr>
          <w:rStyle w:val="Voetnootmarkering"/>
          <w:rFonts w:cs="ADLaM Display"/>
        </w:rPr>
        <w:footnoteReference w:id="32"/>
      </w:r>
      <w:r w:rsidRPr="001F35E7">
        <w:rPr>
          <w:rFonts w:cs="ADLaM Display"/>
        </w:rPr>
        <w:t xml:space="preserve"> De lagere rechtspraak heeft in voorliggende zaken al een weg gevonden voor het omgaan met dit door de onderzoekers geconstateerde knelpunt. Rechters laten de bepalingen in Rv over de nauw omschreven groep en </w:t>
      </w:r>
      <w:proofErr w:type="spellStart"/>
      <w:r w:rsidRPr="001F35E7">
        <w:rPr>
          <w:rFonts w:cs="ADLaM Display"/>
        </w:rPr>
        <w:t>opt</w:t>
      </w:r>
      <w:proofErr w:type="spellEnd"/>
      <w:r w:rsidRPr="001F35E7">
        <w:rPr>
          <w:rFonts w:cs="ADLaM Display"/>
        </w:rPr>
        <w:t>-out buiten toepassing bij ideële vorderingen waarin toepassing feitelijk onmogelijk is vanwege de diffuse en onbepaalde achterban en de aard van de vordering.</w:t>
      </w:r>
      <w:r w:rsidRPr="001F35E7">
        <w:rPr>
          <w:rStyle w:val="Voetnootmarkering"/>
          <w:rFonts w:cs="ADLaM Display"/>
        </w:rPr>
        <w:footnoteReference w:id="33"/>
      </w:r>
      <w:r w:rsidRPr="001F35E7">
        <w:rPr>
          <w:rFonts w:cs="ADLaM Display"/>
        </w:rPr>
        <w:t xml:space="preserve"> Ik kan mij vinden in de wijze waarop de rechtspraak hiermee omgaat en zie daarom op dit moment geen aanleiding voor een wetswijziging. </w:t>
      </w:r>
    </w:p>
    <w:p w:rsidR="00D97784" w:rsidP="001F35E7" w:rsidRDefault="00D97784" w14:paraId="0180E22D" w14:textId="77777777">
      <w:pPr>
        <w:ind w:firstLine="720"/>
        <w:rPr>
          <w:rFonts w:cs="ADLaM Display"/>
          <w:i/>
          <w:iCs/>
        </w:rPr>
      </w:pPr>
    </w:p>
    <w:p w:rsidRPr="001F35E7" w:rsidR="001F35E7" w:rsidP="001F35E7" w:rsidRDefault="001F35E7" w14:paraId="5AEFB8A4" w14:textId="3BA7328D">
      <w:pPr>
        <w:ind w:firstLine="720"/>
        <w:rPr>
          <w:rFonts w:cs="ADLaM Display"/>
          <w:i/>
          <w:iCs/>
        </w:rPr>
      </w:pPr>
      <w:r w:rsidRPr="001F35E7">
        <w:rPr>
          <w:rFonts w:cs="ADLaM Display"/>
          <w:i/>
          <w:iCs/>
        </w:rPr>
        <w:t xml:space="preserve">Aanbeveling 13 </w:t>
      </w:r>
      <w:r w:rsidR="008F36A6">
        <w:rPr>
          <w:rFonts w:cs="ADLaM Display"/>
          <w:i/>
          <w:iCs/>
        </w:rPr>
        <w:t>I</w:t>
      </w:r>
      <w:r w:rsidRPr="001F35E7">
        <w:rPr>
          <w:rFonts w:cs="ADLaM Display"/>
          <w:i/>
          <w:iCs/>
        </w:rPr>
        <w:t xml:space="preserve">nterpretatie van representativiteit </w:t>
      </w:r>
    </w:p>
    <w:p w:rsidRPr="001F35E7" w:rsidR="001F35E7" w:rsidP="001F35E7" w:rsidRDefault="001F35E7" w14:paraId="398B3FF3" w14:textId="08AF9F9D">
      <w:pPr>
        <w:contextualSpacing/>
        <w:rPr>
          <w:rFonts w:cs="ADLaM Display"/>
        </w:rPr>
      </w:pPr>
      <w:r w:rsidRPr="001F35E7">
        <w:rPr>
          <w:rFonts w:cs="ADLaM Display"/>
        </w:rPr>
        <w:t>Aanbeveling 13 is om in artikel 3:305a BW (in elk geval) voor ideële vorderingen op basis van lid 6 van artikel 3:305a BW een kwalitatieve representativiteitstoets in de wet te introduceren. Bij een kwalitatieve representativiteitstoets gaat het om de geschiktheid van de belangenorganisatie om op te komen voor de belangen. Deze aanbeveling voor een wetsaanpassing neem ik op dit moment niet over. Ze ligt in het verlengde van aanbeveling 4 om meer duidelijkheid te geven over de interpretatie van de representativiteitseis van artikel 3:305a BW in alle soorten collectieve acties.</w:t>
      </w:r>
      <w:r w:rsidRPr="001F35E7">
        <w:rPr>
          <w:rStyle w:val="Voetnootmarkering"/>
          <w:rFonts w:cs="ADLaM Display"/>
        </w:rPr>
        <w:footnoteReference w:id="34"/>
      </w:r>
      <w:r w:rsidRPr="001F35E7">
        <w:rPr>
          <w:rFonts w:cs="ADLaM Display"/>
        </w:rPr>
        <w:t xml:space="preserve"> Die laatste aanbeveling is mede tot de rechter gericht. Ik wil die rechtsontwikkeling niet doorkruisen.</w:t>
      </w:r>
    </w:p>
    <w:p w:rsidRPr="001F35E7" w:rsidR="001F35E7" w:rsidP="001F35E7" w:rsidRDefault="001F35E7" w14:paraId="2E2114FC" w14:textId="77777777">
      <w:pPr>
        <w:contextualSpacing/>
        <w:rPr>
          <w:rFonts w:cs="ADLaM Display"/>
        </w:rPr>
      </w:pPr>
    </w:p>
    <w:p w:rsidRPr="001F35E7" w:rsidR="001F35E7" w:rsidP="001F35E7" w:rsidRDefault="001F35E7" w14:paraId="0E8F4FE4" w14:textId="548B0D65">
      <w:pPr>
        <w:contextualSpacing/>
        <w:rPr>
          <w:rFonts w:cs="ADLaM Display"/>
        </w:rPr>
      </w:pPr>
      <w:r w:rsidRPr="001F35E7">
        <w:rPr>
          <w:rFonts w:cs="ADLaM Display"/>
        </w:rPr>
        <w:t xml:space="preserve">De onderzoekers koppelen beide aanbevelingen aan doelstelling </w:t>
      </w:r>
      <w:r w:rsidR="00946A17">
        <w:rPr>
          <w:rFonts w:cs="ADLaM Display"/>
        </w:rPr>
        <w:t xml:space="preserve">3 </w:t>
      </w:r>
      <w:r w:rsidRPr="001F35E7">
        <w:rPr>
          <w:rFonts w:cs="ADLaM Display"/>
        </w:rPr>
        <w:t>van de WAMCA</w:t>
      </w:r>
      <w:r w:rsidR="00946A17">
        <w:rPr>
          <w:rFonts w:cs="ADLaM Display"/>
        </w:rPr>
        <w:t>: het verbeteren van</w:t>
      </w:r>
      <w:r w:rsidRPr="001F35E7">
        <w:rPr>
          <w:rFonts w:cs="ADLaM Display"/>
        </w:rPr>
        <w:t xml:space="preserve"> de kwaliteit van belangenorganisaties die een collectieve actie kunnen instellen op basis van artikel 3:305a BW</w:t>
      </w:r>
      <w:r w:rsidR="00946A17">
        <w:rPr>
          <w:rFonts w:cs="ADLaM Display"/>
        </w:rPr>
        <w:t xml:space="preserve"> </w:t>
      </w:r>
      <w:r w:rsidRPr="001F35E7">
        <w:rPr>
          <w:rFonts w:cs="ADLaM Display"/>
        </w:rPr>
        <w:t>voor de bescherming van benadeelden. Ik stel voorop dat de Hoge Raad inmiddels een uitspraak heeft gedaan over het representativiteitsvereiste van artikel 3:305a BW in een collectieve schadevergoedingsactie.</w:t>
      </w:r>
      <w:r w:rsidRPr="001F35E7">
        <w:rPr>
          <w:rStyle w:val="Voetnootmarkering"/>
          <w:rFonts w:cs="ADLaM Display"/>
        </w:rPr>
        <w:footnoteReference w:id="35"/>
      </w:r>
      <w:r w:rsidRPr="001F35E7">
        <w:rPr>
          <w:rFonts w:cs="ADLaM Display"/>
        </w:rPr>
        <w:t xml:space="preserve"> De Hoge Raad oordeelt dat de wettelijke eis dat een belangenorganisatie voldoende representatief moet zijn, gelet op de omvang van de vertegenwoordigde vorderingen en de achterban, geen getalsmatig criterium is. Er bestaat volgens de Hoge Raad geen allesbepalend criterium voor de invulling van dit vereiste en een evenwichtige afspiegeling van de achterban kan voldoende kan zijn. Het gaat naar het oordeel van de Hoge Raad om een gevalsafhankelijke beoordeling, waarbij alle omstandigheden kunnen meewegen.</w:t>
      </w:r>
      <w:r w:rsidRPr="001F35E7">
        <w:rPr>
          <w:rStyle w:val="Voetnootmarkering"/>
          <w:rFonts w:cs="ADLaM Display"/>
        </w:rPr>
        <w:footnoteReference w:id="36"/>
      </w:r>
      <w:r w:rsidRPr="001F35E7">
        <w:rPr>
          <w:rFonts w:cs="ADLaM Display"/>
        </w:rPr>
        <w:t xml:space="preserve"> De uitleg van het representativiteitsvereiste in een collectieve schadevergoedingsactie door de Hoge Raad vereist dus geen keuze tussen een kwantitatieve of kwalitatieve invulling. Welke elementen zwaarder wegen, hangt af van de omstandigheden van het geval.</w:t>
      </w:r>
      <w:r w:rsidRPr="001F35E7">
        <w:rPr>
          <w:rStyle w:val="Voetnootmarkering"/>
          <w:rFonts w:cs="ADLaM Display"/>
        </w:rPr>
        <w:footnoteReference w:id="37"/>
      </w:r>
      <w:r w:rsidRPr="001F35E7">
        <w:rPr>
          <w:rFonts w:cs="ADLaM Display"/>
        </w:rPr>
        <w:t xml:space="preserve"> </w:t>
      </w:r>
    </w:p>
    <w:p w:rsidRPr="001F35E7" w:rsidR="001F35E7" w:rsidP="001F35E7" w:rsidRDefault="001F35E7" w14:paraId="2AF89E1E" w14:textId="77777777">
      <w:pPr>
        <w:contextualSpacing/>
        <w:rPr>
          <w:rFonts w:cs="ADLaM Display"/>
        </w:rPr>
      </w:pPr>
    </w:p>
    <w:p w:rsidRPr="001F35E7" w:rsidR="001F35E7" w:rsidP="001F35E7" w:rsidRDefault="001F35E7" w14:paraId="2E7FF46C" w14:textId="2CBFFD84">
      <w:pPr>
        <w:contextualSpacing/>
        <w:rPr>
          <w:rFonts w:cs="ADLaM Display"/>
        </w:rPr>
      </w:pPr>
      <w:r w:rsidRPr="001F35E7">
        <w:rPr>
          <w:rFonts w:cs="ADLaM Display"/>
        </w:rPr>
        <w:t>De Hoge Raad heeft zich nog niet hoeven uitlaten over de invulling van het representativiteitsvereiste bij een ideële vordering op basis van lid 6 van artikel 3:305a BW. Uit het rechtsvergelijkend rapport blijkt geen noodzaak tot het stellen van nadere eisen aan de representativiteit van belangenorganisaties voor deze acties.</w:t>
      </w:r>
      <w:r w:rsidRPr="001F35E7">
        <w:rPr>
          <w:rStyle w:val="Voetnootmarkering"/>
          <w:rFonts w:cs="ADLaM Display"/>
        </w:rPr>
        <w:footnoteReference w:id="38"/>
      </w:r>
      <w:r w:rsidRPr="001F35E7">
        <w:rPr>
          <w:rFonts w:cs="ADLaM Display"/>
        </w:rPr>
        <w:t xml:space="preserve"> In zowel het rechtsvergelijkend rapport als het evaluatierapport concluderen de onderzoekers wel dat hiervoor een meer kwalitatieve benadering van het representativiteitsvereiste de voorkeur verdient.</w:t>
      </w:r>
      <w:r w:rsidRPr="001F35E7">
        <w:rPr>
          <w:rStyle w:val="Voetnootmarkering"/>
          <w:rFonts w:cs="ADLaM Display"/>
        </w:rPr>
        <w:footnoteReference w:id="39"/>
      </w:r>
      <w:r w:rsidRPr="001F35E7">
        <w:rPr>
          <w:rFonts w:cs="ADLaM Display"/>
        </w:rPr>
        <w:t xml:space="preserve"> In het evaluatierapport noemen de onderzoekers ter invulling hiervan het spreekbuiscriterium als oplossing. Het gaat dan om de vraag of een bepaalde belangenorganisatie daadwerkelijk het belang verwoordt en behartigt dat centraal staat in de collectieve actie. De onderzoekers</w:t>
      </w:r>
      <w:r w:rsidR="00F72727">
        <w:rPr>
          <w:rFonts w:cs="ADLaM Display"/>
        </w:rPr>
        <w:t xml:space="preserve"> </w:t>
      </w:r>
      <w:r w:rsidRPr="001F35E7">
        <w:rPr>
          <w:rFonts w:cs="ADLaM Display"/>
        </w:rPr>
        <w:t>wijzen in het rechtsvergelijkend rapport voor milieuzaken op het Verdrag van Aarhus, waarmee het hanteren van criteria die zien op de relatie tussen de belangenorganisatie en de achterban (kwantitatieve criteria) op gespannen voet staat.</w:t>
      </w:r>
      <w:r w:rsidRPr="001F35E7">
        <w:rPr>
          <w:rStyle w:val="Voetnootmarkering"/>
          <w:rFonts w:cs="ADLaM Display"/>
        </w:rPr>
        <w:footnoteReference w:id="40"/>
      </w:r>
    </w:p>
    <w:p w:rsidRPr="001F35E7" w:rsidR="001F35E7" w:rsidP="001F35E7" w:rsidRDefault="001F35E7" w14:paraId="7DD094CB" w14:textId="77777777">
      <w:pPr>
        <w:contextualSpacing/>
        <w:rPr>
          <w:rFonts w:cs="ADLaM Display"/>
        </w:rPr>
      </w:pPr>
    </w:p>
    <w:p w:rsidRPr="001F35E7" w:rsidR="001F35E7" w:rsidP="001F35E7" w:rsidRDefault="001F35E7" w14:paraId="45E92D7A" w14:textId="77777777">
      <w:pPr>
        <w:contextualSpacing/>
        <w:rPr>
          <w:rFonts w:cs="ADLaM Display"/>
        </w:rPr>
      </w:pPr>
      <w:r w:rsidRPr="001F35E7">
        <w:rPr>
          <w:rFonts w:cs="ADLaM Display"/>
        </w:rPr>
        <w:t>Ik deel de onderliggende analyse van de onderzoekers. Gelet op de aard van de vordering ligt voor de hand om bij een ideële vordering op basis van lid 6 van artikel 3:305a BW de representativiteit te beoordelen op basis van de geschiktheid van de belangenorganisatie om de belangen te behartigen die in de procedure aan de orde zijn. Het huidige recht biedt hiervoor voldoende aanknopingspunten en uit het evaluatierapport blijkt dat in de lagere rechtspraak hier in toenemende mate vanuit wordt gegaan. De rechter kijkt bij ideële vorderingen op basis van lid 6 van artikel 3:305a BW steeds nadrukkelijker naar de vraag of de belangenorganisatie een adequate spreekbuis is voor de groep voor wie zij optreedt.</w:t>
      </w:r>
      <w:r w:rsidRPr="001F35E7">
        <w:rPr>
          <w:rStyle w:val="Voetnootmarkering"/>
          <w:rFonts w:cs="ADLaM Display"/>
        </w:rPr>
        <w:footnoteReference w:id="41"/>
      </w:r>
      <w:r w:rsidRPr="001F35E7">
        <w:rPr>
          <w:rFonts w:cs="ADLaM Display"/>
        </w:rPr>
        <w:t xml:space="preserve"> Gelet op deze ontwikkelingen in de rechtspraak zie ik vooralsnog geen aanleiding tot wettelijk ingrijpen.</w:t>
      </w:r>
      <w:r w:rsidRPr="001F35E7">
        <w:rPr>
          <w:rStyle w:val="Voetnootmarkering"/>
          <w:rFonts w:cs="ADLaM Display"/>
        </w:rPr>
        <w:footnoteReference w:id="42"/>
      </w:r>
      <w:r w:rsidRPr="001F35E7">
        <w:rPr>
          <w:rFonts w:cs="ADLaM Display"/>
          <w:highlight w:val="yellow"/>
        </w:rPr>
        <w:t xml:space="preserve"> </w:t>
      </w:r>
    </w:p>
    <w:p w:rsidRPr="001F35E7" w:rsidR="001F35E7" w:rsidP="001F35E7" w:rsidRDefault="001F35E7" w14:paraId="1D82735F" w14:textId="77777777">
      <w:pPr>
        <w:contextualSpacing/>
        <w:rPr>
          <w:rFonts w:cs="ADLaM Display"/>
        </w:rPr>
      </w:pPr>
    </w:p>
    <w:p w:rsidRPr="001F35E7" w:rsidR="001F35E7" w:rsidP="001F35E7" w:rsidRDefault="001F35E7" w14:paraId="3090B304" w14:textId="77777777">
      <w:pPr>
        <w:rPr>
          <w:rFonts w:cs="ADLaM Display"/>
          <w:i/>
          <w:iCs/>
        </w:rPr>
      </w:pPr>
      <w:r w:rsidRPr="001F35E7">
        <w:rPr>
          <w:rFonts w:cs="ADLaM Display"/>
          <w:i/>
          <w:iCs/>
        </w:rPr>
        <w:t>5.3.2 Aanbevelingen voor collectieve schadevergoedingsacties</w:t>
      </w:r>
    </w:p>
    <w:p w:rsidR="00514832" w:rsidP="001F35E7" w:rsidRDefault="00514832" w14:paraId="556722FE" w14:textId="77777777">
      <w:pPr>
        <w:ind w:firstLine="720"/>
        <w:rPr>
          <w:rFonts w:cs="ADLaM Display"/>
          <w:i/>
          <w:iCs/>
        </w:rPr>
      </w:pPr>
    </w:p>
    <w:p w:rsidRPr="001F35E7" w:rsidR="00514832" w:rsidP="00514832" w:rsidRDefault="00514832" w14:paraId="2E8EB6AC" w14:textId="2DC56D87">
      <w:pPr>
        <w:ind w:firstLine="720"/>
        <w:rPr>
          <w:rFonts w:cs="ADLaM Display"/>
          <w:i/>
          <w:iCs/>
        </w:rPr>
      </w:pPr>
      <w:r w:rsidRPr="001F35E7">
        <w:rPr>
          <w:rFonts w:cs="ADLaM Display"/>
          <w:i/>
          <w:iCs/>
        </w:rPr>
        <w:t xml:space="preserve">Aanbeveling 7 </w:t>
      </w:r>
      <w:proofErr w:type="spellStart"/>
      <w:r w:rsidR="008F36A6">
        <w:rPr>
          <w:rFonts w:cs="ADLaM Display"/>
          <w:i/>
          <w:iCs/>
        </w:rPr>
        <w:t>A</w:t>
      </w:r>
      <w:r w:rsidRPr="001F35E7">
        <w:rPr>
          <w:rFonts w:cs="ADLaM Display"/>
          <w:i/>
          <w:iCs/>
        </w:rPr>
        <w:t>micus</w:t>
      </w:r>
      <w:proofErr w:type="spellEnd"/>
      <w:r w:rsidRPr="001F35E7">
        <w:rPr>
          <w:rFonts w:cs="ADLaM Display"/>
          <w:i/>
          <w:iCs/>
        </w:rPr>
        <w:t xml:space="preserve"> </w:t>
      </w:r>
      <w:proofErr w:type="spellStart"/>
      <w:r w:rsidRPr="001F35E7">
        <w:rPr>
          <w:rFonts w:cs="ADLaM Display"/>
          <w:i/>
          <w:iCs/>
        </w:rPr>
        <w:t>curiae</w:t>
      </w:r>
      <w:proofErr w:type="spellEnd"/>
      <w:r w:rsidRPr="001F35E7">
        <w:rPr>
          <w:rFonts w:cs="ADLaM Display"/>
          <w:i/>
          <w:iCs/>
        </w:rPr>
        <w:t xml:space="preserve"> bij schadeafwikkeling</w:t>
      </w:r>
    </w:p>
    <w:p w:rsidRPr="001F35E7" w:rsidR="00514832" w:rsidP="00514832" w:rsidRDefault="00514832" w14:paraId="3402A2E7" w14:textId="043B7DAF">
      <w:pPr>
        <w:rPr>
          <w:rFonts w:cs="ADLaM Display"/>
        </w:rPr>
      </w:pPr>
      <w:r w:rsidRPr="001F35E7">
        <w:rPr>
          <w:rFonts w:cs="ADLaM Display"/>
        </w:rPr>
        <w:t>Aanbeveling 7 is om in 305a</w:t>
      </w:r>
      <w:r w:rsidRPr="001F35E7">
        <w:rPr>
          <w:rFonts w:ascii="Cambria Math" w:hAnsi="Cambria Math" w:cs="Cambria Math"/>
        </w:rPr>
        <w:t>‑</w:t>
      </w:r>
      <w:r w:rsidRPr="001F35E7">
        <w:rPr>
          <w:rFonts w:cs="ADLaM Display"/>
        </w:rPr>
        <w:t xml:space="preserve">acties een wettelijke grondslag te creëren voor de inzet van </w:t>
      </w:r>
      <w:proofErr w:type="spellStart"/>
      <w:r w:rsidRPr="001F35E7">
        <w:rPr>
          <w:rFonts w:cs="ADLaM Display"/>
          <w:i/>
          <w:iCs/>
        </w:rPr>
        <w:t>amicus</w:t>
      </w:r>
      <w:proofErr w:type="spellEnd"/>
      <w:r w:rsidRPr="001F35E7">
        <w:rPr>
          <w:rFonts w:cs="ADLaM Display"/>
          <w:i/>
          <w:iCs/>
        </w:rPr>
        <w:t xml:space="preserve"> </w:t>
      </w:r>
      <w:proofErr w:type="spellStart"/>
      <w:r w:rsidRPr="001F35E7">
        <w:rPr>
          <w:rFonts w:cs="ADLaM Display"/>
          <w:i/>
          <w:iCs/>
        </w:rPr>
        <w:t>curiae</w:t>
      </w:r>
      <w:proofErr w:type="spellEnd"/>
      <w:r w:rsidRPr="001F35E7">
        <w:rPr>
          <w:rFonts w:cs="ADLaM Display"/>
        </w:rPr>
        <w:t>, specifiek ter ondersteuning van de rechter bij het oordeel over de schadeafwikkeling.</w:t>
      </w:r>
      <w:r w:rsidRPr="001F35E7">
        <w:rPr>
          <w:rStyle w:val="Voetnootmarkering"/>
          <w:rFonts w:cs="ADLaM Display"/>
        </w:rPr>
        <w:footnoteReference w:id="43"/>
      </w:r>
      <w:r w:rsidRPr="001F35E7">
        <w:rPr>
          <w:rFonts w:cs="ADLaM Display"/>
        </w:rPr>
        <w:t xml:space="preserve"> Het instrument van </w:t>
      </w:r>
      <w:proofErr w:type="spellStart"/>
      <w:r w:rsidRPr="001F35E7">
        <w:rPr>
          <w:rFonts w:cs="ADLaM Display"/>
          <w:i/>
          <w:iCs/>
        </w:rPr>
        <w:t>amicus</w:t>
      </w:r>
      <w:proofErr w:type="spellEnd"/>
      <w:r w:rsidRPr="001F35E7">
        <w:rPr>
          <w:rFonts w:cs="ADLaM Display"/>
          <w:i/>
          <w:iCs/>
        </w:rPr>
        <w:t xml:space="preserve"> </w:t>
      </w:r>
      <w:proofErr w:type="spellStart"/>
      <w:r w:rsidRPr="001F35E7">
        <w:rPr>
          <w:rFonts w:cs="ADLaM Display"/>
          <w:i/>
          <w:iCs/>
        </w:rPr>
        <w:t>curiae</w:t>
      </w:r>
      <w:proofErr w:type="spellEnd"/>
      <w:r w:rsidRPr="001F35E7">
        <w:rPr>
          <w:rFonts w:cs="ADLaM Display"/>
        </w:rPr>
        <w:t xml:space="preserve"> houdt in algemene zin in dat anderen dan de direct betrokken partijen in de gelegenheid worden gesteld hun mening te geven over (een aspect van) een bepaalde zaak. Ik zie op dit moment geen aanleiding om gevolg te geven aan deze aanbeveling van de onderzoekers. Ik stel voorop dat dat in geen van de WAMCA</w:t>
      </w:r>
      <w:r w:rsidRPr="001F35E7">
        <w:rPr>
          <w:rFonts w:ascii="Cambria Math" w:hAnsi="Cambria Math" w:cs="Cambria Math"/>
        </w:rPr>
        <w:t>‑</w:t>
      </w:r>
      <w:r w:rsidRPr="001F35E7">
        <w:rPr>
          <w:rFonts w:cs="ADLaM Display"/>
        </w:rPr>
        <w:t xml:space="preserve">zaken de fase van schadeafwikkeling is bereikt, zodat nog geen ervaring is opgedaan met collectieve schadeafwikkeling en een eventuele rol van een deskundige daarin. Daarbij komt dat het instrument van </w:t>
      </w:r>
      <w:proofErr w:type="spellStart"/>
      <w:r w:rsidRPr="001F35E7">
        <w:rPr>
          <w:rFonts w:cs="ADLaM Display"/>
          <w:i/>
          <w:iCs/>
        </w:rPr>
        <w:t>amicus</w:t>
      </w:r>
      <w:proofErr w:type="spellEnd"/>
      <w:r w:rsidRPr="001F35E7">
        <w:rPr>
          <w:rFonts w:cs="ADLaM Display"/>
          <w:i/>
          <w:iCs/>
        </w:rPr>
        <w:t xml:space="preserve"> </w:t>
      </w:r>
      <w:proofErr w:type="spellStart"/>
      <w:r w:rsidRPr="001F35E7">
        <w:rPr>
          <w:rFonts w:cs="ADLaM Display"/>
          <w:i/>
          <w:iCs/>
        </w:rPr>
        <w:t>curiae</w:t>
      </w:r>
      <w:proofErr w:type="spellEnd"/>
      <w:r w:rsidRPr="001F35E7">
        <w:rPr>
          <w:rFonts w:cs="ADLaM Display"/>
        </w:rPr>
        <w:t xml:space="preserve"> in civiele zaken alleen wordt toegepast in de prejudiciële procedure bij de Hoge Raad.</w:t>
      </w:r>
      <w:r w:rsidRPr="001F35E7">
        <w:rPr>
          <w:rStyle w:val="Voetnootmarkering"/>
          <w:rFonts w:cs="ADLaM Display"/>
        </w:rPr>
        <w:footnoteReference w:id="44"/>
      </w:r>
      <w:r w:rsidRPr="001F35E7">
        <w:rPr>
          <w:rFonts w:cs="ADLaM Display"/>
        </w:rPr>
        <w:t xml:space="preserve"> Ook bij collectieve acties zijn prejudiciële vragen en dus de inzet van een </w:t>
      </w:r>
      <w:proofErr w:type="spellStart"/>
      <w:r w:rsidRPr="001F35E7">
        <w:rPr>
          <w:rFonts w:cs="ADLaM Display"/>
          <w:i/>
          <w:iCs/>
        </w:rPr>
        <w:t>amicus</w:t>
      </w:r>
      <w:proofErr w:type="spellEnd"/>
      <w:r w:rsidRPr="001F35E7">
        <w:rPr>
          <w:rFonts w:cs="ADLaM Display"/>
          <w:i/>
          <w:iCs/>
        </w:rPr>
        <w:t xml:space="preserve"> </w:t>
      </w:r>
      <w:proofErr w:type="spellStart"/>
      <w:r w:rsidRPr="001F35E7">
        <w:rPr>
          <w:rFonts w:cs="ADLaM Display"/>
          <w:i/>
          <w:iCs/>
        </w:rPr>
        <w:t>curiae</w:t>
      </w:r>
      <w:proofErr w:type="spellEnd"/>
      <w:r w:rsidRPr="001F35E7">
        <w:rPr>
          <w:rFonts w:cs="ADLaM Display"/>
        </w:rPr>
        <w:t xml:space="preserve"> mogelijk. Ik ben er niet van overtuigd dat de specifieke kenmerken van collectieve schadeafwikkeling een bredere inzet van de </w:t>
      </w:r>
      <w:proofErr w:type="spellStart"/>
      <w:r w:rsidRPr="001F35E7">
        <w:rPr>
          <w:rFonts w:cs="ADLaM Display"/>
          <w:i/>
          <w:iCs/>
        </w:rPr>
        <w:t>amicus</w:t>
      </w:r>
      <w:proofErr w:type="spellEnd"/>
      <w:r w:rsidRPr="001F35E7">
        <w:rPr>
          <w:rFonts w:cs="ADLaM Display"/>
          <w:i/>
          <w:iCs/>
        </w:rPr>
        <w:t xml:space="preserve"> </w:t>
      </w:r>
      <w:proofErr w:type="spellStart"/>
      <w:r w:rsidRPr="001F35E7">
        <w:rPr>
          <w:rFonts w:cs="ADLaM Display"/>
          <w:i/>
          <w:iCs/>
        </w:rPr>
        <w:t>curiae</w:t>
      </w:r>
      <w:proofErr w:type="spellEnd"/>
      <w:r w:rsidRPr="001F35E7">
        <w:rPr>
          <w:rFonts w:cs="ADLaM Display"/>
        </w:rPr>
        <w:t xml:space="preserve"> rechtvaardigen. Ik denk dat het deskundigenonderzoek dat de rechter op verzoek van partijen of ambtshalve kan laten uitvoeren, op dit moment toereikend is. Dat de benoeming van een deskundige en het deskundigenonderzoek onderwerp kunnen zijn van partijdebat, vormt op zichzelf onvoldoende grond voor inzet van de </w:t>
      </w:r>
      <w:proofErr w:type="spellStart"/>
      <w:r w:rsidRPr="001F35E7">
        <w:rPr>
          <w:rFonts w:cs="ADLaM Display"/>
          <w:i/>
          <w:iCs/>
        </w:rPr>
        <w:t>amicus</w:t>
      </w:r>
      <w:proofErr w:type="spellEnd"/>
      <w:r w:rsidRPr="001F35E7">
        <w:rPr>
          <w:rFonts w:cs="ADLaM Display"/>
          <w:i/>
          <w:iCs/>
        </w:rPr>
        <w:t xml:space="preserve"> </w:t>
      </w:r>
      <w:proofErr w:type="spellStart"/>
      <w:r w:rsidRPr="001F35E7">
        <w:rPr>
          <w:rFonts w:cs="ADLaM Display"/>
          <w:i/>
          <w:iCs/>
        </w:rPr>
        <w:t>curiae</w:t>
      </w:r>
      <w:proofErr w:type="spellEnd"/>
      <w:r w:rsidRPr="001F35E7">
        <w:rPr>
          <w:rFonts w:cs="ADLaM Display"/>
        </w:rPr>
        <w:t xml:space="preserve">; partijen zullen daarop immers eveneens moeten reageren. Indien een partij het oneens is met een </w:t>
      </w:r>
      <w:proofErr w:type="spellStart"/>
      <w:r w:rsidRPr="001F35E7">
        <w:rPr>
          <w:rFonts w:cs="ADLaM Display"/>
          <w:i/>
          <w:iCs/>
        </w:rPr>
        <w:t>amicus</w:t>
      </w:r>
      <w:proofErr w:type="spellEnd"/>
      <w:r w:rsidRPr="001F35E7">
        <w:rPr>
          <w:rFonts w:cs="ADLaM Display"/>
          <w:i/>
          <w:iCs/>
        </w:rPr>
        <w:t xml:space="preserve"> </w:t>
      </w:r>
      <w:proofErr w:type="spellStart"/>
      <w:r w:rsidRPr="001F35E7">
        <w:rPr>
          <w:rFonts w:cs="ADLaM Display"/>
          <w:i/>
          <w:iCs/>
        </w:rPr>
        <w:t>curiae</w:t>
      </w:r>
      <w:proofErr w:type="spellEnd"/>
      <w:r w:rsidRPr="001F35E7">
        <w:rPr>
          <w:rFonts w:cs="ADLaM Display"/>
        </w:rPr>
        <w:t xml:space="preserve"> kan de weerlegging van diens advies bovendien nader onderzoek vergen. </w:t>
      </w:r>
    </w:p>
    <w:p w:rsidR="00514832" w:rsidP="00514832" w:rsidRDefault="00514832" w14:paraId="6D1E870F" w14:textId="77777777">
      <w:pPr>
        <w:ind w:left="708" w:firstLine="12"/>
        <w:rPr>
          <w:rFonts w:cs="ADLaM Display"/>
          <w:i/>
          <w:iCs/>
        </w:rPr>
      </w:pPr>
    </w:p>
    <w:p w:rsidRPr="001F35E7" w:rsidR="001F35E7" w:rsidP="00514832" w:rsidRDefault="001F35E7" w14:paraId="3A308070" w14:textId="39165DBA">
      <w:pPr>
        <w:ind w:left="708" w:firstLine="12"/>
        <w:rPr>
          <w:rFonts w:cs="ADLaM Display"/>
          <w:i/>
          <w:iCs/>
        </w:rPr>
      </w:pPr>
      <w:r w:rsidRPr="001F35E7">
        <w:rPr>
          <w:rFonts w:cs="ADLaM Display"/>
          <w:i/>
          <w:iCs/>
        </w:rPr>
        <w:t xml:space="preserve">Aanbeveling 14 </w:t>
      </w:r>
      <w:r w:rsidR="008F36A6">
        <w:rPr>
          <w:rFonts w:cs="ADLaM Display"/>
          <w:i/>
          <w:iCs/>
        </w:rPr>
        <w:t xml:space="preserve">Overslaan </w:t>
      </w:r>
      <w:r w:rsidRPr="001F35E7">
        <w:rPr>
          <w:rFonts w:cs="ADLaM Display"/>
          <w:i/>
          <w:iCs/>
        </w:rPr>
        <w:t>schikk</w:t>
      </w:r>
      <w:r w:rsidR="008F36A6">
        <w:rPr>
          <w:rFonts w:cs="ADLaM Display"/>
          <w:i/>
          <w:iCs/>
        </w:rPr>
        <w:t>ingspoging</w:t>
      </w:r>
      <w:r w:rsidRPr="001F35E7">
        <w:rPr>
          <w:rFonts w:cs="ADLaM Display"/>
          <w:i/>
          <w:iCs/>
        </w:rPr>
        <w:t xml:space="preserve"> na aanwijzing exclusieve belangenbehartiger</w:t>
      </w:r>
    </w:p>
    <w:p w:rsidRPr="001F35E7" w:rsidR="001F35E7" w:rsidP="001F35E7" w:rsidRDefault="001F35E7" w14:paraId="71BC164F" w14:textId="7FE84048">
      <w:pPr>
        <w:rPr>
          <w:rFonts w:cs="ADLaM Display"/>
          <w:u w:val="single"/>
        </w:rPr>
      </w:pPr>
      <w:r w:rsidRPr="001F35E7">
        <w:rPr>
          <w:rFonts w:cs="ADLaM Display"/>
        </w:rPr>
        <w:t>Aanbeveling 14 is om bij wet mogelijk te maken om de voorgeschreven schikkingspoging na aanwijzing van de exclusieve belangenbehartiger (artikel 1018g Rv) over te slaan of uit te stellen.</w:t>
      </w:r>
      <w:r w:rsidRPr="001F35E7">
        <w:rPr>
          <w:rStyle w:val="Voetnootmarkering"/>
          <w:rFonts w:cs="ADLaM Display"/>
        </w:rPr>
        <w:footnoteReference w:id="45"/>
      </w:r>
      <w:r w:rsidRPr="001F35E7">
        <w:rPr>
          <w:rFonts w:cs="ADLaM Display"/>
        </w:rPr>
        <w:t xml:space="preserve"> Hoewel algemener geformuleerd, lees ik deze aanbeveling vooral in het licht van collectieve schadevergoedingsacties. Ook voor deze aanbeveling is wat mij betreft geen aanpassing van de wet nodig. Het voorschrift om na aanwijzing van een exclusieve belangenbehartiger een schikking te beproeven sluit aan bij doelstelling </w:t>
      </w:r>
      <w:r w:rsidR="00946A17">
        <w:rPr>
          <w:rFonts w:cs="ADLaM Display"/>
        </w:rPr>
        <w:t xml:space="preserve">5 </w:t>
      </w:r>
      <w:r w:rsidRPr="001F35E7">
        <w:rPr>
          <w:rFonts w:cs="ADLaM Display"/>
        </w:rPr>
        <w:t>van de WAMCA om overleg en schikkingen te stimuleren. Ik kan mij vinden in de strekking van deze aanbeveling, namelijk dat de rechter partijen op elk passend moment in de procedure de gelegenheid moet kunnen geven om een schikking te beproeven. Anders dan de onderzoekers meen ik dat deze ruimte al onder het huidige recht bestaat. De algemene opdracht aan de rechter om de beslissingen te nemen die nodig zijn (artikel 19 lid 2 Rv), te waken tegen onredelijke vertraging van de procedure (artikel 20 Rv) en waar mogelijk schikkingen te beproeven (artikel 87 Rv), biedt de rechter voldoende ruimte om af te zien van de voorgeschreven schikkingspoging waar de rechter dit zinloos acht en op elk passend ander moment in de procedure partijen tot een schikkingspoging te bewegen. Ik zie daarom geen noodzaak tot een wetswijziging op dit punt.</w:t>
      </w:r>
    </w:p>
    <w:p w:rsidR="00514832" w:rsidP="001F35E7" w:rsidRDefault="00514832" w14:paraId="6D9DA0FC" w14:textId="77777777">
      <w:pPr>
        <w:ind w:firstLine="720"/>
        <w:rPr>
          <w:rFonts w:cs="ADLaM Display"/>
          <w:i/>
          <w:iCs/>
        </w:rPr>
      </w:pPr>
    </w:p>
    <w:p w:rsidRPr="001F35E7" w:rsidR="001F35E7" w:rsidP="001F35E7" w:rsidRDefault="001F35E7" w14:paraId="39842F0F" w14:textId="3680D91E">
      <w:pPr>
        <w:ind w:firstLine="720"/>
        <w:rPr>
          <w:rFonts w:cs="ADLaM Display"/>
          <w:i/>
          <w:iCs/>
        </w:rPr>
      </w:pPr>
      <w:r w:rsidRPr="001F35E7">
        <w:rPr>
          <w:rFonts w:cs="ADLaM Display"/>
          <w:i/>
          <w:iCs/>
        </w:rPr>
        <w:t xml:space="preserve">Aanbeveling 15 </w:t>
      </w:r>
      <w:r w:rsidR="008F36A6">
        <w:rPr>
          <w:rFonts w:cs="ADLaM Display"/>
          <w:i/>
          <w:iCs/>
        </w:rPr>
        <w:t>S</w:t>
      </w:r>
      <w:r w:rsidRPr="001F35E7">
        <w:rPr>
          <w:rFonts w:cs="ADLaM Display"/>
          <w:i/>
          <w:iCs/>
        </w:rPr>
        <w:t xml:space="preserve">chadestaatprocedure </w:t>
      </w:r>
    </w:p>
    <w:p w:rsidRPr="001F35E7" w:rsidR="001F35E7" w:rsidP="001F35E7" w:rsidRDefault="001F35E7" w14:paraId="1F0E18A9" w14:textId="739A49EB">
      <w:pPr>
        <w:rPr>
          <w:rFonts w:cs="ADLaM Display"/>
        </w:rPr>
      </w:pPr>
      <w:r w:rsidRPr="001F35E7">
        <w:rPr>
          <w:rFonts w:cs="ADLaM Display"/>
        </w:rPr>
        <w:t xml:space="preserve">Aanbeveling 15 is om de </w:t>
      </w:r>
      <w:proofErr w:type="spellStart"/>
      <w:r w:rsidRPr="001F35E7">
        <w:rPr>
          <w:rFonts w:cs="ADLaM Display"/>
        </w:rPr>
        <w:t>wetssystematische</w:t>
      </w:r>
      <w:proofErr w:type="spellEnd"/>
      <w:r w:rsidRPr="001F35E7">
        <w:rPr>
          <w:rFonts w:cs="ADLaM Display"/>
        </w:rPr>
        <w:t xml:space="preserve"> keuze te maken of in een 305a-procedure een verwijzing naar de schadestaatprocedure past. De onderzoekers koppelen dit aan doelstelling </w:t>
      </w:r>
      <w:r w:rsidR="00AE50B0">
        <w:rPr>
          <w:rFonts w:cs="ADLaM Display"/>
        </w:rPr>
        <w:t xml:space="preserve">1 </w:t>
      </w:r>
      <w:r w:rsidRPr="001F35E7">
        <w:rPr>
          <w:rFonts w:cs="ADLaM Display"/>
        </w:rPr>
        <w:t xml:space="preserve">van </w:t>
      </w:r>
      <w:r w:rsidR="00AE50B0">
        <w:rPr>
          <w:rFonts w:cs="ADLaM Display"/>
        </w:rPr>
        <w:t xml:space="preserve">de WAMCA: </w:t>
      </w:r>
      <w:r w:rsidRPr="001F35E7">
        <w:rPr>
          <w:rFonts w:cs="ADLaM Display"/>
        </w:rPr>
        <w:t xml:space="preserve">het mogelijk maken van een collectieve schadeafwikkeling. Ook voor deze aanbeveling geldt zij voorbarig is, nu nog geen enkele ervaring is opgedaan met collectieve schadeafwikkeling op basis van het WAMCA-regime. De schadestaatprocedure is een mogelijkheid in een dagvaardingsprocedure om eerst een procedure te voeren over de aansprakelijkheid, waarna een min of meer separate procedure volgt over de (hoogte van de) schade. Met name bij complexe schadeprocedures in individuele (letsel)schadezaken kan deze splitsing soms een uitkomst bieden. Bovendien kan een uitspraak over de aansprakelijkheid leiden tot schikkingsonderhandelingen die een schadestaatprocedure uiteindelijk overbodig maken. Bij de collectieve actie op basis van artikel 3:305a BW is het om verschillende redenen moeilijk voorstelbaar en niet nodig om verwijzing naar een schadestaatprocedure mogelijk te maken. Allereerst veronderstelt artikel 3:305a BW dat een belangenorganisatie in een collectieve schadevergoedingsactie voor haar achterban op voorhand al een indicatie moet geven van de schade. Dit blijkt onder meer uit de formulering van het representativiteitsvereiste (‘gelet op de achterban en de omvang van de vertegenwoordigde vorderingen’). Daarnaast ligt voor de hand dat de inhoudelijke beoordeling door de rechter zich sowieso als eerste richt op de aansprakelijkheid, al was het maar om partijen in staat te stellen om op basis van dat oordeel eventueel een schikking te beproeven. Het oordeel over de aansprakelijkheid zal de rechter in de regel in een tussenvonnis geven. Als de belangenorganisatie onder geen beding in de collectieve actie een uitspraak wil over de schadeafwikkeling, ligt voor de hand dat zij haar vordering beperkt tot een verklaring voor recht (en eventueel een ge- of verbod). </w:t>
      </w:r>
    </w:p>
    <w:p w:rsidR="00514832" w:rsidP="001F35E7" w:rsidRDefault="00514832" w14:paraId="0A2996CA" w14:textId="77777777">
      <w:pPr>
        <w:rPr>
          <w:rFonts w:cs="ADLaM Display"/>
          <w:i/>
          <w:iCs/>
        </w:rPr>
      </w:pPr>
    </w:p>
    <w:p w:rsidRPr="001F35E7" w:rsidR="001F35E7" w:rsidP="001F35E7" w:rsidRDefault="001F35E7" w14:paraId="7AD4C66F" w14:textId="7CA76411">
      <w:pPr>
        <w:rPr>
          <w:rFonts w:cs="ADLaM Display"/>
          <w:i/>
          <w:iCs/>
        </w:rPr>
      </w:pPr>
      <w:r w:rsidRPr="001F35E7">
        <w:rPr>
          <w:rFonts w:cs="ADLaM Display"/>
          <w:i/>
          <w:iCs/>
        </w:rPr>
        <w:t xml:space="preserve">5.3.3 Aanbevelingen voor alle </w:t>
      </w:r>
      <w:r w:rsidR="00946A17">
        <w:rPr>
          <w:rFonts w:cs="ADLaM Display"/>
          <w:i/>
          <w:iCs/>
        </w:rPr>
        <w:t xml:space="preserve">collectieve </w:t>
      </w:r>
      <w:r w:rsidRPr="001F35E7">
        <w:rPr>
          <w:rFonts w:cs="ADLaM Display"/>
          <w:i/>
          <w:iCs/>
        </w:rPr>
        <w:t>acties</w:t>
      </w:r>
    </w:p>
    <w:p w:rsidR="00514832" w:rsidP="001F35E7" w:rsidRDefault="00514832" w14:paraId="72B9AAB2" w14:textId="77777777">
      <w:pPr>
        <w:ind w:firstLine="720"/>
        <w:rPr>
          <w:rFonts w:cs="ADLaM Display"/>
          <w:i/>
          <w:iCs/>
        </w:rPr>
      </w:pPr>
    </w:p>
    <w:p w:rsidRPr="001F35E7" w:rsidR="001F35E7" w:rsidP="001F35E7" w:rsidRDefault="001F35E7" w14:paraId="4FCD959F" w14:textId="727D979C">
      <w:pPr>
        <w:ind w:firstLine="720"/>
        <w:rPr>
          <w:rFonts w:cs="ADLaM Display"/>
          <w:i/>
          <w:iCs/>
        </w:rPr>
      </w:pPr>
      <w:r w:rsidRPr="001F35E7">
        <w:rPr>
          <w:rFonts w:cs="ADLaM Display"/>
          <w:i/>
          <w:iCs/>
        </w:rPr>
        <w:t xml:space="preserve">Aanbeveling 16 </w:t>
      </w:r>
      <w:r w:rsidR="008F36A6">
        <w:rPr>
          <w:rFonts w:cs="ADLaM Display"/>
          <w:i/>
          <w:iCs/>
        </w:rPr>
        <w:t>T</w:t>
      </w:r>
      <w:r w:rsidRPr="001F35E7">
        <w:rPr>
          <w:rFonts w:cs="ADLaM Display"/>
          <w:i/>
          <w:iCs/>
        </w:rPr>
        <w:t>weesporensysteem voor de ontvankelijkheid</w:t>
      </w:r>
    </w:p>
    <w:p w:rsidRPr="001F35E7" w:rsidR="001F35E7" w:rsidP="001F35E7" w:rsidRDefault="001F35E7" w14:paraId="1CF1D3FF" w14:textId="159B7F71">
      <w:pPr>
        <w:rPr>
          <w:rFonts w:cs="ADLaM Display"/>
        </w:rPr>
      </w:pPr>
      <w:r w:rsidRPr="001F35E7">
        <w:rPr>
          <w:rFonts w:cs="ADLaM Display"/>
        </w:rPr>
        <w:t xml:space="preserve">Aanbeveling 16 is om een </w:t>
      </w:r>
      <w:proofErr w:type="spellStart"/>
      <w:r w:rsidRPr="001F35E7">
        <w:rPr>
          <w:rFonts w:cs="ADLaM Display"/>
        </w:rPr>
        <w:t>wetssystematische</w:t>
      </w:r>
      <w:proofErr w:type="spellEnd"/>
      <w:r w:rsidRPr="001F35E7">
        <w:rPr>
          <w:rFonts w:cs="ADLaM Display"/>
        </w:rPr>
        <w:t xml:space="preserve"> keuze te maken inzake de vormgeving van de ontvankelijkheidstoets en daarbij een tweesporensysteem te overwegen bij de toetsing van de ontvankelijkheid van de belangenorganisatie. Een tweesporensysteem zou volgens de onderzoekers kunnen bijdragen aan doelstelling 2 van de WAMCA om te komen tot een gecoördineerde, efficiënte en effectieve afwikkeling van collectieve acties. Het tweesporensysteem zou kunnen bestaan uit een eerste spoor op basis van een certificeringssysteem en een tweede spoor met ad hoc-toetsing van de ontvankelijkheid door de rechter.</w:t>
      </w:r>
      <w:r w:rsidRPr="001F35E7">
        <w:rPr>
          <w:rStyle w:val="Voetnootmarkering"/>
          <w:rFonts w:cs="ADLaM Display"/>
        </w:rPr>
        <w:footnoteReference w:id="46"/>
      </w:r>
      <w:r w:rsidRPr="001F35E7">
        <w:rPr>
          <w:rFonts w:cs="ADLaM Display"/>
        </w:rPr>
        <w:t xml:space="preserve"> Ik neem deze aanbeveling niet over.</w:t>
      </w:r>
      <w:r w:rsidR="00247B40">
        <w:rPr>
          <w:rFonts w:cs="ADLaM Display"/>
        </w:rPr>
        <w:t xml:space="preserve"> </w:t>
      </w:r>
    </w:p>
    <w:p w:rsidRPr="001F35E7" w:rsidR="001F35E7" w:rsidP="001F35E7" w:rsidRDefault="001F35E7" w14:paraId="045EB24F" w14:textId="77777777">
      <w:pPr>
        <w:rPr>
          <w:rFonts w:cs="ADLaM Display"/>
        </w:rPr>
      </w:pPr>
      <w:r w:rsidRPr="001F35E7">
        <w:rPr>
          <w:rFonts w:cs="ADLaM Display"/>
        </w:rPr>
        <w:t>Ik begrijp dat de onderzoekers in het licht van de lange doorlooptijd van de ontvankelijkheidsfase hebben gezocht naar mogelijkheden om de ontvankelijkheidstoets te versnellen voor belangenorganisaties die al ervaring hebben met de collectieve actie. Bij de totstandkoming van de WAMCA is al uitgebreid overwogen of enige vorm van certificering bijdraagt aan een efficiënte procedure. Destijds was de conclusie dat dit niet het geval is omdat dit een extra oordeel vooraf betekent terwijl de rechter alsnog aan veel ontvankelijkheidseisen zal moeten toetsen in relatie tot de ingestelde vordering.</w:t>
      </w:r>
      <w:r w:rsidRPr="001F35E7">
        <w:rPr>
          <w:rStyle w:val="Voetnootmarkering"/>
          <w:rFonts w:cs="ADLaM Display"/>
        </w:rPr>
        <w:footnoteReference w:id="47"/>
      </w:r>
      <w:r w:rsidRPr="001F35E7" w:rsidDel="00233602">
        <w:rPr>
          <w:rFonts w:cs="ADLaM Display"/>
        </w:rPr>
        <w:t xml:space="preserve"> </w:t>
      </w:r>
      <w:r w:rsidRPr="001F35E7">
        <w:rPr>
          <w:rFonts w:cs="ADLaM Display"/>
        </w:rPr>
        <w:t>Een systeem van certificering leidt bovendien tot extra regeldruk.</w:t>
      </w:r>
      <w:r w:rsidRPr="001F35E7">
        <w:rPr>
          <w:rStyle w:val="Voetnootmarkering"/>
          <w:rFonts w:cs="ADLaM Display"/>
        </w:rPr>
        <w:footnoteReference w:id="48"/>
      </w:r>
      <w:r w:rsidRPr="001F35E7">
        <w:rPr>
          <w:rFonts w:cs="ADLaM Display"/>
        </w:rPr>
        <w:t xml:space="preserve"> In de focusgroep zagen sommigen een tweesporensysteem als een mogelijkheid om de procedure te versnellen voor ‘</w:t>
      </w:r>
      <w:proofErr w:type="spellStart"/>
      <w:r w:rsidRPr="001F35E7">
        <w:rPr>
          <w:rFonts w:cs="ADLaM Display"/>
          <w:i/>
          <w:iCs/>
        </w:rPr>
        <w:t>repeat</w:t>
      </w:r>
      <w:proofErr w:type="spellEnd"/>
      <w:r w:rsidRPr="001F35E7">
        <w:rPr>
          <w:rFonts w:cs="ADLaM Display"/>
          <w:i/>
          <w:iCs/>
        </w:rPr>
        <w:t xml:space="preserve"> players’</w:t>
      </w:r>
      <w:r w:rsidRPr="001F35E7">
        <w:rPr>
          <w:rFonts w:cs="ADLaM Display"/>
        </w:rPr>
        <w:t xml:space="preserve">. Anderen wezen op de afbakeningsproblemen van dat begrip en op het feit dat een organisatie die ontvankelijk is in de ene zaak niet automatisch ontvankelijk hoeft te zijn in een zaak over een ander onderwerp. De mogelijkheid van tussentijdse veranderingen in de belangenorganisatie, zoals samenstelling van het bestuur, betekent dat de rechter de ontvankelijkheid van de belangenorganisatie altijd ook in de procedure zelf zal moeten toetsen. Daarmee achtten de deelnemers aan de focusgroep de potentiële tijdwinst van een tweesporensysteem beperkt. </w:t>
      </w:r>
    </w:p>
    <w:p w:rsidR="00514832" w:rsidP="001F35E7" w:rsidRDefault="00514832" w14:paraId="484DA06D" w14:textId="77777777">
      <w:pPr>
        <w:rPr>
          <w:rFonts w:cs="ADLaM Display"/>
        </w:rPr>
      </w:pPr>
    </w:p>
    <w:p w:rsidRPr="001F35E7" w:rsidR="001F35E7" w:rsidP="001F35E7" w:rsidRDefault="001F35E7" w14:paraId="3FEB3DEA" w14:textId="2CAEC879">
      <w:pPr>
        <w:rPr>
          <w:rFonts w:cs="ADLaM Display"/>
        </w:rPr>
      </w:pPr>
      <w:r w:rsidRPr="001F35E7">
        <w:rPr>
          <w:rFonts w:cs="ADLaM Display"/>
        </w:rPr>
        <w:t xml:space="preserve">Ik zie mede op basis van de uitkomsten van het onderzoek en de focusgroep geen aanleiding voor aanpassing van de wettelijke regeling op het punt van de ontvankelijkheidseisen. Wel zie ik ruimte voor de rechter om bij de beoordeling van de ontvankelijkheid van een belangenorganisatie waar dit passend is, rekening te houden met een plaatsing op de lijst voor het voeren van collectieve acties in een andere lidstaat of een beoordeling in een andere of eerdere collectieve actie. Dit mag geen afbreuk doen aan de beoordeling van de ontvankelijkheid van de concrete vordering van de belangenorganisatie. </w:t>
      </w:r>
    </w:p>
    <w:p w:rsidR="00514832" w:rsidP="001F35E7" w:rsidRDefault="00514832" w14:paraId="3B8B26F7" w14:textId="77777777">
      <w:pPr>
        <w:ind w:firstLine="720"/>
        <w:rPr>
          <w:rFonts w:cs="ADLaM Display"/>
          <w:i/>
          <w:iCs/>
        </w:rPr>
      </w:pPr>
    </w:p>
    <w:p w:rsidRPr="001F35E7" w:rsidR="001F35E7" w:rsidP="00514832" w:rsidRDefault="001F35E7" w14:paraId="3EB32335" w14:textId="65104099">
      <w:pPr>
        <w:ind w:left="708" w:firstLine="12"/>
        <w:rPr>
          <w:rFonts w:cs="ADLaM Display"/>
          <w:i/>
          <w:iCs/>
        </w:rPr>
      </w:pPr>
      <w:r w:rsidRPr="001F35E7">
        <w:rPr>
          <w:rFonts w:cs="ADLaM Display"/>
          <w:i/>
          <w:iCs/>
        </w:rPr>
        <w:t>Aanbeveling 12 Stroomlijnen subjectieve cumulatie aan de kant van gedaagde</w:t>
      </w:r>
    </w:p>
    <w:p w:rsidRPr="001F35E7" w:rsidR="001F35E7" w:rsidP="001F35E7" w:rsidRDefault="001F35E7" w14:paraId="795A82FD" w14:textId="51F612B6">
      <w:pPr>
        <w:tabs>
          <w:tab w:val="left" w:pos="1843"/>
        </w:tabs>
        <w:rPr>
          <w:rFonts w:cs="ADLaM Display"/>
          <w:i/>
          <w:iCs/>
        </w:rPr>
      </w:pPr>
      <w:r w:rsidRPr="001F35E7">
        <w:rPr>
          <w:rFonts w:cs="ADLaM Display"/>
        </w:rPr>
        <w:t>De aanbeveling van de onderzoekers om de subjectieve cumulatie aan de kant van gedaagde wettelijk te stroomlijnen (aanbeveling 12), neem ik niet over. Van subjectieve cumulatie aan de kant van gedaagde is sprake als een eiser in één procedure meerdere gedaagden dagvaardt.</w:t>
      </w:r>
      <w:r w:rsidRPr="001F35E7">
        <w:rPr>
          <w:rStyle w:val="Voetnootmarkering"/>
          <w:rFonts w:cs="ADLaM Display"/>
        </w:rPr>
        <w:footnoteReference w:id="49"/>
      </w:r>
      <w:r w:rsidRPr="001F35E7">
        <w:rPr>
          <w:rFonts w:cs="ADLaM Display"/>
        </w:rPr>
        <w:t xml:space="preserve"> In veel collectieve acties gebeurt dit.</w:t>
      </w:r>
      <w:r w:rsidRPr="001F35E7">
        <w:rPr>
          <w:rStyle w:val="Voetnootmarkering"/>
          <w:rFonts w:cs="ADLaM Display"/>
        </w:rPr>
        <w:footnoteReference w:id="50"/>
      </w:r>
      <w:r w:rsidRPr="001F35E7">
        <w:rPr>
          <w:rFonts w:cs="ADLaM Display"/>
        </w:rPr>
        <w:t xml:space="preserve"> De onderzoekers doelen bij hun aanbeveling op de specifieke situatie dat in één collectieve actie meerdere belangenorganisaties</w:t>
      </w:r>
      <w:r w:rsidR="00247B40">
        <w:rPr>
          <w:rFonts w:cs="ADLaM Display"/>
        </w:rPr>
        <w:t xml:space="preserve"> </w:t>
      </w:r>
      <w:r w:rsidRPr="001F35E7">
        <w:rPr>
          <w:rFonts w:cs="ADLaM Display"/>
        </w:rPr>
        <w:t>vorderingen instellen tegen verschillende gedaagden.</w:t>
      </w:r>
      <w:r w:rsidRPr="001F35E7">
        <w:rPr>
          <w:rStyle w:val="Voetnootmarkering"/>
          <w:rFonts w:cs="ADLaM Display"/>
        </w:rPr>
        <w:footnoteReference w:id="51"/>
      </w:r>
      <w:r w:rsidRPr="001F35E7">
        <w:rPr>
          <w:rFonts w:cs="ADLaM Display"/>
        </w:rPr>
        <w:t xml:space="preserve"> In dat geval zijn er dus wel meer dagvaardingen. De onderzoekers vragen zich af of ook in dat geval toch sprake moet kunnen zijn van subjectieve cumulatie en dus van behandeling als één procedure. Ik zou de vraag naar de mogelijkheden van subjectieve cumulatie aan de kant van de gedaagde vooralsnog willen overlaten aan de rechtsontwikkeling en dit blijven monitoren. Er zijn immers nog andere gevallen van subjectieve cumulatie aan de kant van gedaagde denkbaar, bijvoorbeeld wanneer de rechter toestaat dat een partij zich voegt aan de kant van de gedaagde.</w:t>
      </w:r>
      <w:r w:rsidRPr="001F35E7">
        <w:rPr>
          <w:rStyle w:val="Voetnootmarkering"/>
          <w:rFonts w:cs="ADLaM Display"/>
        </w:rPr>
        <w:footnoteReference w:id="52"/>
      </w:r>
      <w:r w:rsidRPr="001F35E7">
        <w:rPr>
          <w:rFonts w:cs="ADLaM Display"/>
        </w:rPr>
        <w:t xml:space="preserve"> Ook in de focusgroep bestond twijfel over de wenselijkheid van wettelijk ingrijpen. Men achtte het in elk geval onwenselijk als een door de ene belangenorganisatie gedaagde partij automatisch ook wederpartij zou worden van elke andere belangenorganisatie in dezelfde WAMCA-zaak, omdat dit zou leiden tot vertraging. Op dit moment is nog onvoldoende in de praktijk uitgekristalliseerd welke gevalstypen zich voordoen, wat subjectieve cumulatie betekent als een partij (eiser of gedaagde) in hoger beroep gaat en hoe de rechtspraak hiermee omgaat. Voor wettelijk ingrijpen is het daarom nu te vroeg.</w:t>
      </w:r>
      <w:r w:rsidR="00247B40">
        <w:rPr>
          <w:rFonts w:cs="ADLaM Display"/>
        </w:rPr>
        <w:t xml:space="preserve"> </w:t>
      </w:r>
      <w:r w:rsidRPr="001F35E7">
        <w:rPr>
          <w:rFonts w:cs="ADLaM Display"/>
          <w:i/>
          <w:iCs/>
        </w:rPr>
        <w:tab/>
      </w:r>
    </w:p>
    <w:p w:rsidR="00514832" w:rsidP="001F35E7" w:rsidRDefault="00514832" w14:paraId="3B9570BD" w14:textId="77777777">
      <w:pPr>
        <w:ind w:firstLine="720"/>
        <w:rPr>
          <w:rFonts w:cs="ADLaM Display"/>
          <w:i/>
          <w:iCs/>
        </w:rPr>
      </w:pPr>
    </w:p>
    <w:p w:rsidRPr="001F35E7" w:rsidR="001F35E7" w:rsidP="001F35E7" w:rsidRDefault="001F35E7" w14:paraId="206022D7" w14:textId="1785AB30">
      <w:pPr>
        <w:ind w:firstLine="720"/>
        <w:rPr>
          <w:rFonts w:cs="ADLaM Display"/>
          <w:i/>
          <w:iCs/>
        </w:rPr>
      </w:pPr>
      <w:r w:rsidRPr="001F35E7">
        <w:rPr>
          <w:rFonts w:cs="ADLaM Display"/>
          <w:i/>
          <w:iCs/>
        </w:rPr>
        <w:t xml:space="preserve">Aanbeveling 17 </w:t>
      </w:r>
      <w:r w:rsidR="008F36A6">
        <w:rPr>
          <w:rFonts w:cs="ADLaM Display"/>
          <w:i/>
          <w:iCs/>
        </w:rPr>
        <w:t>T</w:t>
      </w:r>
      <w:r w:rsidRPr="001F35E7">
        <w:rPr>
          <w:rFonts w:cs="ADLaM Display"/>
          <w:i/>
          <w:iCs/>
        </w:rPr>
        <w:t xml:space="preserve">oelaatbaarheid van voeging en tussenkomst </w:t>
      </w:r>
    </w:p>
    <w:p w:rsidRPr="001F35E7" w:rsidR="001F35E7" w:rsidP="001F35E7" w:rsidRDefault="001F35E7" w14:paraId="2325608F" w14:textId="7BEFFC0A">
      <w:pPr>
        <w:rPr>
          <w:rFonts w:cs="ADLaM Display"/>
        </w:rPr>
      </w:pPr>
      <w:r w:rsidRPr="001F35E7">
        <w:rPr>
          <w:rFonts w:cs="ADLaM Display"/>
        </w:rPr>
        <w:t xml:space="preserve">Aanbeveling 17 is dat de wetgever een </w:t>
      </w:r>
      <w:proofErr w:type="spellStart"/>
      <w:r w:rsidRPr="001F35E7">
        <w:rPr>
          <w:rFonts w:cs="ADLaM Display"/>
        </w:rPr>
        <w:t>wetssystematische</w:t>
      </w:r>
      <w:proofErr w:type="spellEnd"/>
      <w:r w:rsidRPr="001F35E7">
        <w:rPr>
          <w:rFonts w:cs="ADLaM Display"/>
        </w:rPr>
        <w:t xml:space="preserve"> keuze maakt over de mogelijkheid van voeging en tussenkomst in een 305a-procedure.</w:t>
      </w:r>
      <w:r w:rsidRPr="001F35E7">
        <w:rPr>
          <w:rStyle w:val="Voetnootmarkering"/>
          <w:rFonts w:cs="ADLaM Display"/>
        </w:rPr>
        <w:footnoteReference w:id="53"/>
      </w:r>
      <w:r w:rsidRPr="001F35E7">
        <w:rPr>
          <w:rFonts w:cs="ADLaM Display"/>
        </w:rPr>
        <w:t xml:space="preserve"> Hoewel dit niet met zoveel woorden in de aanbeveling staat, blijkt uit de formulering ervan dat het hier gaat om voeging en tussenkomt aan de kant van de </w:t>
      </w:r>
      <w:r w:rsidRPr="001F35E7">
        <w:rPr>
          <w:rFonts w:cs="ADLaM Display"/>
          <w:i/>
          <w:iCs/>
        </w:rPr>
        <w:t>eiser</w:t>
      </w:r>
      <w:r w:rsidRPr="001F35E7">
        <w:rPr>
          <w:rStyle w:val="Voetnootmarkering"/>
          <w:rFonts w:cs="ADLaM Display"/>
        </w:rPr>
        <w:footnoteReference w:id="54"/>
      </w:r>
      <w:r w:rsidRPr="001F35E7">
        <w:rPr>
          <w:rFonts w:cs="ADLaM Display"/>
        </w:rPr>
        <w:t xml:space="preserve"> Voor zover het gaat om de voeging door een andere belangenorganisatie aan de </w:t>
      </w:r>
      <w:r w:rsidR="0089470A">
        <w:rPr>
          <w:rFonts w:cs="ADLaM Display"/>
        </w:rPr>
        <w:t>kant</w:t>
      </w:r>
      <w:r w:rsidRPr="001F35E7">
        <w:rPr>
          <w:rFonts w:cs="ADLaM Display"/>
        </w:rPr>
        <w:t xml:space="preserve"> van eiser, heeft de Hoge Raad na de afronding van het onderzoek zich </w:t>
      </w:r>
      <w:r w:rsidR="00AE2636">
        <w:rPr>
          <w:rFonts w:cs="ADLaM Display"/>
        </w:rPr>
        <w:t xml:space="preserve">in een arrest </w:t>
      </w:r>
      <w:r w:rsidRPr="001F35E7">
        <w:rPr>
          <w:rFonts w:cs="ADLaM Display"/>
        </w:rPr>
        <w:t xml:space="preserve">hierover uitgelaten in een overweging ten overvloede. De Hoge Raad heeft overwogen dat voeging in een 305a-procedure aan de </w:t>
      </w:r>
      <w:r w:rsidR="0089470A">
        <w:rPr>
          <w:rFonts w:cs="ADLaM Display"/>
        </w:rPr>
        <w:t>kant</w:t>
      </w:r>
      <w:r w:rsidRPr="001F35E7">
        <w:rPr>
          <w:rFonts w:cs="ADLaM Display"/>
        </w:rPr>
        <w:t xml:space="preserve"> van de (oorspronkelijk) eiser onverenigbaar is met het wettelijk systeem zoals neergelegd in de artikelen 1018d en 1018e Rv.</w:t>
      </w:r>
      <w:r w:rsidRPr="001F35E7">
        <w:rPr>
          <w:rStyle w:val="Voetnootmarkering"/>
          <w:rFonts w:cs="ADLaM Display"/>
        </w:rPr>
        <w:footnoteReference w:id="55"/>
      </w:r>
      <w:r w:rsidRPr="001F35E7">
        <w:rPr>
          <w:rFonts w:cs="ADLaM Display"/>
        </w:rPr>
        <w:t xml:space="preserve"> Dit geldt in elk geval voor rechtspersonen (belangenorganisaties) die als eiser willen optreden; voor hen geldt een korte aanmeldtermijn van (in beginsel) drie maanden, waarna uit hun midden een exclusieve belangenbehartiger wordt aangewezen. Dit systeem verdraagt zich niet met de mogelijkheid voor belangenorganisaties om zich naderhand te voegen of tussen te komen. Ik zie in het licht van deze uitspraak van de Hoge Raad geen aanleiding om hierin een andere keuze te maken.</w:t>
      </w:r>
    </w:p>
    <w:p w:rsidR="00514832" w:rsidP="001F35E7" w:rsidRDefault="00514832" w14:paraId="40B7A6AD" w14:textId="77777777">
      <w:pPr>
        <w:rPr>
          <w:rFonts w:cs="ADLaM Display"/>
        </w:rPr>
      </w:pPr>
      <w:bookmarkStart w:name="_Hlk239928624" w:id="7"/>
    </w:p>
    <w:p w:rsidRPr="001F35E7" w:rsidR="001F35E7" w:rsidP="001F35E7" w:rsidRDefault="001F35E7" w14:paraId="6BF6083E" w14:textId="4CBD7757">
      <w:pPr>
        <w:rPr>
          <w:rFonts w:cs="ADLaM Display"/>
        </w:rPr>
      </w:pPr>
      <w:r w:rsidRPr="001F35E7">
        <w:rPr>
          <w:rFonts w:cs="ADLaM Display"/>
        </w:rPr>
        <w:t xml:space="preserve">Het evaluatierapport bevat geen expliciete aanbeveling over verduidelijking van de toelaatbaarheid van voeging van </w:t>
      </w:r>
      <w:r w:rsidRPr="001F35E7">
        <w:rPr>
          <w:rFonts w:cs="ADLaM Display"/>
          <w:i/>
          <w:iCs/>
        </w:rPr>
        <w:t xml:space="preserve">individuele </w:t>
      </w:r>
      <w:r w:rsidRPr="001F35E7">
        <w:rPr>
          <w:rFonts w:cs="ADLaM Display"/>
        </w:rPr>
        <w:t xml:space="preserve">eisers aan de </w:t>
      </w:r>
      <w:r w:rsidR="00726D49">
        <w:rPr>
          <w:rFonts w:cs="ADLaM Display"/>
        </w:rPr>
        <w:t xml:space="preserve">kant </w:t>
      </w:r>
      <w:r w:rsidRPr="001F35E7">
        <w:rPr>
          <w:rFonts w:cs="ADLaM Display"/>
        </w:rPr>
        <w:t>van de belangenorganisatie. Wel constateren de onderzoekers dat onduidelijk is of individuele vorderingen ook in een 305a-procedure (gezamenlijk) kunnen worden behandeld of dat over deze vorderingen in een aparte individuele procedure geoordeeld moet worden en individuele eisers niet-ontvankelijk zijn in een 305a-procedure.</w:t>
      </w:r>
      <w:r w:rsidRPr="001F35E7">
        <w:rPr>
          <w:rStyle w:val="Voetnootmarkering"/>
          <w:rFonts w:cs="ADLaM Display"/>
        </w:rPr>
        <w:footnoteReference w:id="56"/>
      </w:r>
      <w:r w:rsidRPr="001F35E7">
        <w:rPr>
          <w:rFonts w:cs="ADLaM Display"/>
        </w:rPr>
        <w:t xml:space="preserve"> Zij verwachten dat de rechtspraak hierover duidelijkheid zal scheppen.</w:t>
      </w:r>
      <w:r w:rsidRPr="001F35E7">
        <w:rPr>
          <w:rStyle w:val="Voetnootmarkering"/>
          <w:rFonts w:cs="ADLaM Display"/>
        </w:rPr>
        <w:footnoteReference w:id="57"/>
      </w:r>
      <w:r w:rsidRPr="001F35E7">
        <w:rPr>
          <w:rFonts w:cs="ADLaM Display"/>
        </w:rPr>
        <w:t xml:space="preserve"> In de lagere rechtspraak is hierover verschillend geoordeeld.</w:t>
      </w:r>
      <w:r w:rsidRPr="001F35E7">
        <w:rPr>
          <w:rStyle w:val="Voetnootmarkering"/>
          <w:rFonts w:cs="ADLaM Display"/>
        </w:rPr>
        <w:footnoteReference w:id="58"/>
      </w:r>
      <w:r w:rsidRPr="001F35E7">
        <w:rPr>
          <w:rFonts w:cs="ADLaM Display"/>
        </w:rPr>
        <w:t xml:space="preserve"> Inmiddels ligt bij de Hoge Raad de vraag voor of individuele eisers in een WAMCA-procedure ontvankelijk kunnen zijn.</w:t>
      </w:r>
      <w:r w:rsidRPr="001F35E7">
        <w:rPr>
          <w:rStyle w:val="Voetnootmarkering"/>
          <w:rFonts w:cs="ADLaM Display"/>
        </w:rPr>
        <w:footnoteReference w:id="59"/>
      </w:r>
      <w:r w:rsidRPr="001F35E7">
        <w:rPr>
          <w:rFonts w:cs="ADLaM Display"/>
        </w:rPr>
        <w:t xml:space="preserve"> Ik wacht het arrest van de Hoge Raad af.</w:t>
      </w:r>
      <w:r w:rsidRPr="001F35E7">
        <w:rPr>
          <w:rStyle w:val="Voetnootmarkering"/>
          <w:rFonts w:cs="ADLaM Display"/>
        </w:rPr>
        <w:footnoteReference w:id="60"/>
      </w:r>
    </w:p>
    <w:bookmarkEnd w:id="7"/>
    <w:p w:rsidR="00514832" w:rsidP="001F35E7" w:rsidRDefault="00514832" w14:paraId="10E5A342" w14:textId="77777777">
      <w:pPr>
        <w:rPr>
          <w:rFonts w:cs="ADLaM Display"/>
          <w:i/>
          <w:iCs/>
        </w:rPr>
      </w:pPr>
    </w:p>
    <w:p w:rsidR="00AE50B0" w:rsidP="001F35E7" w:rsidRDefault="001F35E7" w14:paraId="08CE6BC6" w14:textId="77777777">
      <w:pPr>
        <w:rPr>
          <w:rFonts w:cs="ADLaM Display"/>
          <w:i/>
          <w:iCs/>
        </w:rPr>
      </w:pPr>
      <w:r w:rsidRPr="001F35E7">
        <w:rPr>
          <w:rFonts w:cs="ADLaM Display"/>
          <w:i/>
          <w:iCs/>
        </w:rPr>
        <w:t xml:space="preserve">5.4 Aanbevelingen 18, 19 en 20 </w:t>
      </w:r>
      <w:r w:rsidR="008F36A6">
        <w:rPr>
          <w:rFonts w:cs="ADLaM Display"/>
          <w:i/>
          <w:iCs/>
        </w:rPr>
        <w:t>M</w:t>
      </w:r>
      <w:r w:rsidRPr="001F35E7">
        <w:rPr>
          <w:rFonts w:cs="ADLaM Display"/>
          <w:i/>
          <w:iCs/>
        </w:rPr>
        <w:t xml:space="preserve">onitoring </w:t>
      </w:r>
    </w:p>
    <w:p w:rsidRPr="001F35E7" w:rsidR="001F35E7" w:rsidP="001F35E7" w:rsidRDefault="001F35E7" w14:paraId="1D63C895" w14:textId="5F79F0AD">
      <w:pPr>
        <w:rPr>
          <w:rFonts w:cs="ADLaM Display"/>
          <w:u w:val="single"/>
        </w:rPr>
      </w:pPr>
      <w:r w:rsidRPr="001F35E7">
        <w:rPr>
          <w:rFonts w:cs="ADLaM Display"/>
        </w:rPr>
        <w:t>Aanbevelingen 18, 19 en 20 zien op het</w:t>
      </w:r>
      <w:r w:rsidR="00247B40">
        <w:rPr>
          <w:rFonts w:cs="ADLaM Display"/>
        </w:rPr>
        <w:t xml:space="preserve"> </w:t>
      </w:r>
      <w:r w:rsidRPr="001F35E7">
        <w:rPr>
          <w:rFonts w:cs="ADLaM Display"/>
        </w:rPr>
        <w:t xml:space="preserve">monitoren van </w:t>
      </w:r>
      <w:r w:rsidR="00AE2636">
        <w:rPr>
          <w:rFonts w:cs="ADLaM Display"/>
        </w:rPr>
        <w:t xml:space="preserve">(bepaalde aspecten van) </w:t>
      </w:r>
      <w:r w:rsidRPr="001F35E7">
        <w:rPr>
          <w:rFonts w:cs="ADLaM Display"/>
        </w:rPr>
        <w:t>de werking van de WAMCA. Aanbeveling 18 betreft het monitoren van de wijze waarop de rechter tot een collectieve schadeafwikkeling komt. Aanbeveling 19 ziet op het monitoren van de rol van de exclusieve belangenbehartiger met het oog op de vraag of deze rol in de toekomst door wettelijk interveniëren moet worden versterkt. Aanbeveling 20 is</w:t>
      </w:r>
      <w:r w:rsidR="00247B40">
        <w:rPr>
          <w:rFonts w:cs="ADLaM Display"/>
        </w:rPr>
        <w:t xml:space="preserve"> </w:t>
      </w:r>
      <w:r w:rsidRPr="001F35E7">
        <w:rPr>
          <w:rFonts w:cs="ADLaM Display"/>
        </w:rPr>
        <w:t>om de collectieve actie en eventuele wetswijzigingen naar aanleiding van het onderzoek periodiek te blijven monitoren.</w:t>
      </w:r>
      <w:r w:rsidRPr="001F35E7">
        <w:rPr>
          <w:rStyle w:val="Voetnootmarkering"/>
          <w:rFonts w:cs="ADLaM Display"/>
        </w:rPr>
        <w:footnoteReference w:id="61"/>
      </w:r>
      <w:r w:rsidRPr="001F35E7">
        <w:rPr>
          <w:rFonts w:cs="ADLaM Display"/>
        </w:rPr>
        <w:t xml:space="preserve"> Ze wijzen erop dat de WAMCA een relatief jonge wet is met maatschappelijke relevantie. Ik onderschrijf de noodzaak tot het blijven monitoren van de werking van de met de WAMCA ingevoerde regeling. Ik zal deze jaarlijkse WAMCA monitoringsbijeenkomsten met het veld ook de komende jaren voortzetten</w:t>
      </w:r>
      <w:r w:rsidR="00AE2636">
        <w:rPr>
          <w:rFonts w:cs="ADLaM Display"/>
        </w:rPr>
        <w:t xml:space="preserve"> </w:t>
      </w:r>
      <w:r w:rsidRPr="001F35E7">
        <w:rPr>
          <w:rFonts w:cs="ADLaM Display"/>
        </w:rPr>
        <w:t xml:space="preserve">en daarbij de specifieke onderwerpen </w:t>
      </w:r>
      <w:r w:rsidRPr="001F35E7" w:rsidR="00AE2636">
        <w:rPr>
          <w:rFonts w:cs="ADLaM Display"/>
        </w:rPr>
        <w:t xml:space="preserve">betrekken </w:t>
      </w:r>
      <w:r w:rsidRPr="001F35E7">
        <w:rPr>
          <w:rFonts w:cs="ADLaM Display"/>
        </w:rPr>
        <w:t>die de onderzoekers daarbij als aandachtspunten noemen</w:t>
      </w:r>
      <w:r w:rsidR="00AE2636">
        <w:rPr>
          <w:rFonts w:cs="ADLaM Display"/>
        </w:rPr>
        <w:t>.</w:t>
      </w:r>
      <w:r w:rsidRPr="001F35E7">
        <w:rPr>
          <w:rStyle w:val="Voetnootmarkering"/>
          <w:rFonts w:cs="ADLaM Display"/>
        </w:rPr>
        <w:footnoteReference w:id="62"/>
      </w:r>
      <w:r w:rsidRPr="001F35E7">
        <w:rPr>
          <w:rFonts w:cs="ADLaM Display"/>
        </w:rPr>
        <w:t xml:space="preserve"> </w:t>
      </w:r>
    </w:p>
    <w:p w:rsidRPr="001F35E7" w:rsidR="001F35E7" w:rsidP="001F35E7" w:rsidRDefault="001F35E7" w14:paraId="1812CD0E" w14:textId="77777777">
      <w:pPr>
        <w:rPr>
          <w:rFonts w:cs="ADLaM Display"/>
          <w:u w:val="single"/>
        </w:rPr>
      </w:pPr>
    </w:p>
    <w:p w:rsidR="00514832" w:rsidP="001F35E7" w:rsidRDefault="00514832" w14:paraId="678CABF2" w14:textId="77777777">
      <w:pPr>
        <w:rPr>
          <w:rFonts w:cs="ADLaM Display"/>
          <w:u w:val="single"/>
        </w:rPr>
      </w:pPr>
    </w:p>
    <w:p w:rsidRPr="001F35E7" w:rsidR="001F35E7" w:rsidP="001F35E7" w:rsidRDefault="001F35E7" w14:paraId="24514C28" w14:textId="0CF67FAC">
      <w:pPr>
        <w:rPr>
          <w:rFonts w:cs="ADLaM Display"/>
          <w:u w:val="single"/>
        </w:rPr>
      </w:pPr>
      <w:r w:rsidRPr="001F35E7">
        <w:rPr>
          <w:rFonts w:cs="ADLaM Display"/>
          <w:u w:val="single"/>
        </w:rPr>
        <w:t>6. Vervolgonderzoek</w:t>
      </w:r>
    </w:p>
    <w:p w:rsidR="00514832" w:rsidP="001F35E7" w:rsidRDefault="00514832" w14:paraId="25B78859" w14:textId="77777777">
      <w:pPr>
        <w:rPr>
          <w:rFonts w:cs="ADLaM Display"/>
        </w:rPr>
      </w:pPr>
    </w:p>
    <w:p w:rsidRPr="001F35E7" w:rsidR="001F35E7" w:rsidP="001F35E7" w:rsidRDefault="001F35E7" w14:paraId="5DE36B9A" w14:textId="4F7E6E3F">
      <w:pPr>
        <w:rPr>
          <w:rFonts w:cs="ADLaM Display"/>
        </w:rPr>
      </w:pPr>
      <w:r w:rsidRPr="001F35E7">
        <w:rPr>
          <w:rFonts w:cs="ADLaM Display"/>
        </w:rPr>
        <w:t>Ik zie in navolging van de opmerkingen van de onderzoekers hierover aanleiding voor vervolgonderzoek. Ik heb in het commissiedebat Civielrechtelijke onderwerpen uw Kamer reeds laten weten dat ik in aanvulling op het evaluatieonderzoek van de WAMCA nader onderzoek wil laten doen naar de maatschappelijke effecten van de collectieve acties, waaronder eventuele gevolgen voor het investerings- en vestigingsklimaat.</w:t>
      </w:r>
      <w:r w:rsidRPr="001F35E7">
        <w:rPr>
          <w:rStyle w:val="Voetnootmarkering"/>
          <w:rFonts w:cs="ADLaM Display"/>
        </w:rPr>
        <w:footnoteReference w:id="63"/>
      </w:r>
      <w:r w:rsidRPr="001F35E7">
        <w:rPr>
          <w:rFonts w:cs="ADLaM Display"/>
        </w:rPr>
        <w:t xml:space="preserve"> Zulk vervolgonderzoek werd ook bepleit in de monitor</w:t>
      </w:r>
      <w:r w:rsidR="00F72727">
        <w:rPr>
          <w:rFonts w:cs="ADLaM Display"/>
        </w:rPr>
        <w:t>ings</w:t>
      </w:r>
      <w:r w:rsidRPr="001F35E7">
        <w:rPr>
          <w:rFonts w:cs="ADLaM Display"/>
        </w:rPr>
        <w:t>bijeenkomst en de focusgroepen.</w:t>
      </w:r>
      <w:r w:rsidRPr="001F35E7">
        <w:rPr>
          <w:rStyle w:val="Voetnootmarkering"/>
          <w:rFonts w:cs="ADLaM Display"/>
        </w:rPr>
        <w:footnoteReference w:id="64"/>
      </w:r>
      <w:r w:rsidRPr="001F35E7">
        <w:rPr>
          <w:rFonts w:cs="ADLaM Display"/>
        </w:rPr>
        <w:t xml:space="preserve"> Daarnaast heb ik aan uw Kamer, in reactie op de eerder genoemde twee moties hierover, onderzoek toegezegd naar procesfinanciering, financierbaarheid en de mogelijke nadere regulering van </w:t>
      </w:r>
      <w:proofErr w:type="spellStart"/>
      <w:r w:rsidRPr="001F35E7">
        <w:rPr>
          <w:rFonts w:cs="ADLaM Display"/>
        </w:rPr>
        <w:t>derdenfinanciers</w:t>
      </w:r>
      <w:proofErr w:type="spellEnd"/>
      <w:r w:rsidRPr="001F35E7">
        <w:rPr>
          <w:rFonts w:cs="ADLaM Display"/>
        </w:rPr>
        <w:t>. Ook de onderzoekers bevelen vervolgonderzoek aan naar de kosten van een collectieve (</w:t>
      </w:r>
      <w:proofErr w:type="spellStart"/>
      <w:r w:rsidRPr="001F35E7">
        <w:rPr>
          <w:rFonts w:cs="ADLaM Display"/>
        </w:rPr>
        <w:t>schadevergoedings</w:t>
      </w:r>
      <w:proofErr w:type="spellEnd"/>
      <w:r w:rsidRPr="001F35E7">
        <w:rPr>
          <w:rFonts w:cs="ADLaM Display"/>
        </w:rPr>
        <w:t>)actie en van een ideële vordering op basis van lid 6 van artikel 3:305a BW in de rechtspraktijk voor de eisende partij en haar achterban, de gedaagde partij en de rechterlijke macht</w:t>
      </w:r>
      <w:r w:rsidR="00AE2636">
        <w:rPr>
          <w:rFonts w:cs="ADLaM Display"/>
        </w:rPr>
        <w:t>. Zij bevelen aan daarbij te kijken</w:t>
      </w:r>
      <w:r w:rsidRPr="001F35E7">
        <w:rPr>
          <w:rFonts w:cs="ADLaM Display"/>
        </w:rPr>
        <w:t xml:space="preserve"> naar de vraag wat een maatschappelijk aanvaardbare beloning/winstmarge is voor betrokkenen van een belangenorganisatie en/of een procesfinancier. Hiermee geef ik tevens uitvoering aan de motie Postma.</w:t>
      </w:r>
      <w:r w:rsidRPr="001F35E7">
        <w:rPr>
          <w:rStyle w:val="Voetnootmarkering"/>
          <w:rFonts w:cs="ADLaM Display"/>
        </w:rPr>
        <w:footnoteReference w:id="65"/>
      </w:r>
      <w:r w:rsidRPr="001F35E7">
        <w:rPr>
          <w:rFonts w:cs="ADLaM Display"/>
        </w:rPr>
        <w:t xml:space="preserve"> Ik heb het WODC gevraagd om dit onderzoek uit te voeren. </w:t>
      </w:r>
    </w:p>
    <w:p w:rsidRPr="001F35E7" w:rsidR="001F35E7" w:rsidP="001F35E7" w:rsidRDefault="001F35E7" w14:paraId="78A3E150" w14:textId="77777777">
      <w:pPr>
        <w:rPr>
          <w:rFonts w:cs="ADLaM Display"/>
          <w:u w:val="single"/>
        </w:rPr>
      </w:pPr>
    </w:p>
    <w:p w:rsidR="00514832" w:rsidP="001F35E7" w:rsidRDefault="00514832" w14:paraId="03AA2229" w14:textId="77777777">
      <w:pPr>
        <w:rPr>
          <w:rFonts w:cs="ADLaM Display"/>
          <w:u w:val="single"/>
        </w:rPr>
      </w:pPr>
    </w:p>
    <w:p w:rsidRPr="001F35E7" w:rsidR="001F35E7" w:rsidP="001F35E7" w:rsidRDefault="001F35E7" w14:paraId="4207A942" w14:textId="1AAD412D">
      <w:pPr>
        <w:rPr>
          <w:rFonts w:cs="ADLaM Display"/>
          <w:i/>
          <w:iCs/>
        </w:rPr>
      </w:pPr>
      <w:r w:rsidRPr="001F35E7">
        <w:rPr>
          <w:rFonts w:cs="ADLaM Display"/>
          <w:u w:val="single"/>
        </w:rPr>
        <w:t>7. Overig punten</w:t>
      </w:r>
      <w:r w:rsidRPr="001F35E7">
        <w:rPr>
          <w:rFonts w:cs="ADLaM Display"/>
          <w:i/>
          <w:iCs/>
        </w:rPr>
        <w:t xml:space="preserve"> </w:t>
      </w:r>
      <w:bookmarkStart w:name="_Hlk239949058" w:id="8"/>
    </w:p>
    <w:p w:rsidR="00514832" w:rsidP="001F35E7" w:rsidRDefault="00514832" w14:paraId="14AFAF56" w14:textId="77777777">
      <w:pPr>
        <w:rPr>
          <w:rFonts w:cs="ADLaM Display"/>
          <w:i/>
          <w:iCs/>
        </w:rPr>
      </w:pPr>
    </w:p>
    <w:p w:rsidRPr="001F35E7" w:rsidR="001F35E7" w:rsidP="001F35E7" w:rsidRDefault="001F35E7" w14:paraId="3AF511BC" w14:textId="30ED24F6">
      <w:pPr>
        <w:rPr>
          <w:rFonts w:cs="ADLaM Display"/>
          <w:u w:val="single"/>
        </w:rPr>
      </w:pPr>
      <w:r w:rsidRPr="001F35E7">
        <w:rPr>
          <w:rFonts w:cs="ADLaM Display"/>
          <w:i/>
          <w:iCs/>
        </w:rPr>
        <w:t>7.1 Centraal register voor collectieve vorderingen</w:t>
      </w:r>
      <w:bookmarkEnd w:id="8"/>
    </w:p>
    <w:p w:rsidRPr="001F35E7" w:rsidR="001F35E7" w:rsidP="001F35E7" w:rsidRDefault="001F35E7" w14:paraId="66B61B15" w14:textId="28ECF804">
      <w:pPr>
        <w:rPr>
          <w:rFonts w:cs="ADLaM Display"/>
        </w:rPr>
      </w:pPr>
      <w:r w:rsidRPr="001F35E7">
        <w:rPr>
          <w:rFonts w:cs="ADLaM Display"/>
        </w:rPr>
        <w:t>In het evaluatierapport hebben de onderzoekers geen opmerkingen gemaakt over de toegankelijkheid en werking van het Centraal register voor collectieve vorderingen.</w:t>
      </w:r>
      <w:r w:rsidRPr="001F35E7">
        <w:rPr>
          <w:rStyle w:val="Voetnootmarkering"/>
          <w:rFonts w:cs="ADLaM Display"/>
        </w:rPr>
        <w:footnoteReference w:id="66"/>
      </w:r>
      <w:r w:rsidRPr="001F35E7">
        <w:rPr>
          <w:rFonts w:cs="ADLaM Display"/>
        </w:rPr>
        <w:t xml:space="preserve"> Dit is het register waarin alle nieuwe collectieve acties moeten worden aangetekend. De Raad voor de rechtspraak is de houder van dit register op basis van lid 7 van artikel 3:305a BW. In de praktijk vervult het register een belangrijke rol als bron van informatie over alle aanhangige collectieve acties voor eiser, gedaagden, advocaten, rechters, wetenschappers en beleidsambtenaren. Het register is daarmee heel waardevol, maar er is ruimte voor verbetering. </w:t>
      </w:r>
      <w:r w:rsidRPr="001F35E7" w:rsidR="00A30F3F">
        <w:rPr>
          <w:rFonts w:cs="ADLaM Display"/>
        </w:rPr>
        <w:t>Het register is lastig doorzoekbaar.</w:t>
      </w:r>
      <w:r w:rsidR="00A30F3F">
        <w:rPr>
          <w:rFonts w:cs="ADLaM Display"/>
        </w:rPr>
        <w:t xml:space="preserve"> Een ander punt is dat i</w:t>
      </w:r>
      <w:r w:rsidRPr="001F35E7" w:rsidR="00A30F3F">
        <w:rPr>
          <w:rFonts w:cs="ADLaM Display"/>
        </w:rPr>
        <w:t xml:space="preserve">nschrijving van de dagvaarding </w:t>
      </w:r>
      <w:r w:rsidR="00A30F3F">
        <w:rPr>
          <w:rFonts w:cs="ADLaM Display"/>
        </w:rPr>
        <w:t xml:space="preserve">van een collectieve actie </w:t>
      </w:r>
      <w:r w:rsidRPr="001F35E7" w:rsidR="00A30F3F">
        <w:rPr>
          <w:rFonts w:cs="ADLaM Display"/>
        </w:rPr>
        <w:t xml:space="preserve">in kort geding formeel niet </w:t>
      </w:r>
      <w:r w:rsidR="00A30F3F">
        <w:rPr>
          <w:rFonts w:cs="ADLaM Display"/>
        </w:rPr>
        <w:t xml:space="preserve">is </w:t>
      </w:r>
      <w:r w:rsidRPr="001F35E7" w:rsidR="00A30F3F">
        <w:rPr>
          <w:rFonts w:cs="ADLaM Display"/>
        </w:rPr>
        <w:t xml:space="preserve">voorgeschreven. Daarom staan sommige collectieve acties in kort geding wel in het register en andere niet. Een volledig overzicht ontbreekt daardoor. Sinds de uitspraak van de Hoge Raad dat de verplichte aantekening in het register niet geldt voor hoger beroep, is daarnaast niet meer goed kenbaar of in een zaak hoger beroep of cassatie is ingesteld. </w:t>
      </w:r>
      <w:r w:rsidR="00A30F3F">
        <w:rPr>
          <w:rFonts w:cs="ADLaM Display"/>
        </w:rPr>
        <w:t xml:space="preserve">Dit betekent dat voor een verplichte melding hiervan in het register een wetsaanpassing nodig zou zijn. </w:t>
      </w:r>
      <w:r w:rsidRPr="001F35E7" w:rsidR="00A30F3F">
        <w:rPr>
          <w:rFonts w:cs="ADLaM Display"/>
        </w:rPr>
        <w:t xml:space="preserve">Ik ben van plan om samen met de Raad voor de rechtspraak te bekijken </w:t>
      </w:r>
      <w:r w:rsidR="00A30F3F">
        <w:rPr>
          <w:rFonts w:cs="ADLaM Display"/>
        </w:rPr>
        <w:t>welke</w:t>
      </w:r>
      <w:r w:rsidRPr="001F35E7" w:rsidR="00A30F3F">
        <w:rPr>
          <w:rFonts w:cs="ADLaM Display"/>
        </w:rPr>
        <w:t xml:space="preserve"> mogelijkheden </w:t>
      </w:r>
      <w:r w:rsidR="00A30F3F">
        <w:rPr>
          <w:rFonts w:cs="ADLaM Display"/>
        </w:rPr>
        <w:t xml:space="preserve">er </w:t>
      </w:r>
      <w:r w:rsidRPr="001F35E7" w:rsidR="00A30F3F">
        <w:rPr>
          <w:rFonts w:cs="ADLaM Display"/>
        </w:rPr>
        <w:t>zijn om de informatie in het register vollediger, beter toegankelijk en beter doorzoekbaar te maken.</w:t>
      </w:r>
    </w:p>
    <w:p w:rsidR="00514832" w:rsidP="001F35E7" w:rsidRDefault="00514832" w14:paraId="160292B4" w14:textId="77777777">
      <w:pPr>
        <w:contextualSpacing/>
        <w:rPr>
          <w:rFonts w:cs="ADLaM Display"/>
          <w:i/>
          <w:iCs/>
        </w:rPr>
      </w:pPr>
    </w:p>
    <w:p w:rsidRPr="001F35E7" w:rsidR="001F35E7" w:rsidP="001F35E7" w:rsidRDefault="001F35E7" w14:paraId="7339E0E6" w14:textId="15C870E4">
      <w:pPr>
        <w:contextualSpacing/>
        <w:rPr>
          <w:rFonts w:cs="ADLaM Display"/>
          <w:i/>
          <w:iCs/>
        </w:rPr>
      </w:pPr>
      <w:r w:rsidRPr="001F35E7">
        <w:rPr>
          <w:rFonts w:cs="ADLaM Display"/>
          <w:i/>
          <w:iCs/>
        </w:rPr>
        <w:t>7.2 Algemeenbelangacties: onderscheid overheid en private gedaagde partij?</w:t>
      </w:r>
    </w:p>
    <w:p w:rsidRPr="001F35E7" w:rsidR="001F35E7" w:rsidP="001F35E7" w:rsidRDefault="001F35E7" w14:paraId="56D80232" w14:textId="77777777">
      <w:pPr>
        <w:rPr>
          <w:rFonts w:cs="ADLaM Display"/>
        </w:rPr>
      </w:pPr>
      <w:r w:rsidRPr="001F35E7">
        <w:rPr>
          <w:rFonts w:cs="ADLaM Display"/>
        </w:rPr>
        <w:t>Op deze plaats ga ik ook in op de vraag of er een onderscheid moet worden gemaakt tussen algemeenbelangacties tegen de overheid en algemeenbelangacties tegen private partijen. Deze vraag kwam op tijdens het commissiedebat Civielrechtelijke onderwerpen van 22 april 2026. Artikel 3:305a BW biedt (slechts) de processuele mogelijkheid aan een belangenorganisatie om op te komen voor de belangen van andere personen als deze voldoende gelijksoortig zijn en de belangenorganisatie voldoet aan de overige ontvankelijkheidseisen. Artikel 3:305a BW bepaalt niet welke vorderingen een belangenorganisatie kan instellen en tegen wie. Een onderscheid in de mogelijkheden voor het instellen van een algemeenbelangactie tegen een overheid of een private entiteit zou neerkomen op een aanpassing van het materiële recht. Ik zie daarvoor onvoldoende rechtvaardiging. De kwalificatie als algemeenbelangactie heeft betrekking op de aard van (de schending van) het ingeroepen recht. Wat de verplichtingen en verantwoordelijkheden zijn van een partij tegenover een ander, is een vraag van materieel recht. Dit materiële recht kan zijn vastgelegd in wetten gericht op specifieke partijen, zoals zorgplichten van banken tegenover consumenten.</w:t>
      </w:r>
      <w:r w:rsidRPr="001F35E7">
        <w:rPr>
          <w:rStyle w:val="Voetnootmarkering"/>
          <w:rFonts w:cs="ADLaM Display"/>
        </w:rPr>
        <w:footnoteReference w:id="67"/>
      </w:r>
      <w:r w:rsidRPr="001F35E7">
        <w:rPr>
          <w:rFonts w:cs="ADLaM Display"/>
        </w:rPr>
        <w:t xml:space="preserve"> Dit materiële recht kan ook zien op meer algemene verplichtingen en verantwoordelijkheden, gericht tot eenieder, zoals de bepaling inzake onrechtmatige daad van artikel 6:162 BW. Daarbij gaat het om de vraag of een partij aansprakelijk kan worden gehouden voor onrechtmatig handelen of nalaten tegenover een ander. Voor het antwoord op die vraag maakt het niet uit of het gaat om handelen of nalaten van een overheid of van een private partij. Het gaat immers steeds om de verantwoordelijkheid voor </w:t>
      </w:r>
      <w:r w:rsidRPr="00B20936">
        <w:rPr>
          <w:rFonts w:cs="ADLaM Display"/>
        </w:rPr>
        <w:t>het</w:t>
      </w:r>
      <w:r w:rsidRPr="001F35E7">
        <w:rPr>
          <w:rFonts w:cs="ADLaM Display"/>
          <w:i/>
          <w:iCs/>
        </w:rPr>
        <w:t xml:space="preserve"> eigen</w:t>
      </w:r>
      <w:r w:rsidRPr="001F35E7">
        <w:rPr>
          <w:rFonts w:cs="ADLaM Display"/>
        </w:rPr>
        <w:t xml:space="preserve"> handelen of nalaten. </w:t>
      </w:r>
    </w:p>
    <w:p w:rsidR="00AE50B0" w:rsidP="001F35E7" w:rsidRDefault="00AE50B0" w14:paraId="7E9D6AAB" w14:textId="77777777">
      <w:pPr>
        <w:rPr>
          <w:rFonts w:cs="ADLaM Display"/>
          <w:i/>
          <w:iCs/>
        </w:rPr>
      </w:pPr>
      <w:bookmarkStart w:name="_Hlk241070159" w:id="9"/>
    </w:p>
    <w:p w:rsidRPr="001F35E7" w:rsidR="001F35E7" w:rsidP="001F35E7" w:rsidRDefault="001F35E7" w14:paraId="37D915D3" w14:textId="208034A0">
      <w:pPr>
        <w:rPr>
          <w:rFonts w:cs="ADLaM Display"/>
        </w:rPr>
      </w:pPr>
      <w:r w:rsidRPr="001F35E7">
        <w:rPr>
          <w:rFonts w:cs="ADLaM Display"/>
          <w:i/>
          <w:iCs/>
        </w:rPr>
        <w:t xml:space="preserve">7.3 De positie van vakbonden </w:t>
      </w:r>
      <w:r w:rsidR="00AE50B0">
        <w:rPr>
          <w:rFonts w:cs="ADLaM Display"/>
          <w:i/>
          <w:iCs/>
        </w:rPr>
        <w:t>onder</w:t>
      </w:r>
      <w:r w:rsidRPr="001F35E7">
        <w:rPr>
          <w:rFonts w:cs="ADLaM Display"/>
          <w:i/>
          <w:iCs/>
        </w:rPr>
        <w:t xml:space="preserve"> het WAMCA-regime</w:t>
      </w:r>
    </w:p>
    <w:p w:rsidRPr="001F35E7" w:rsidR="001F35E7" w:rsidP="001F35E7" w:rsidRDefault="001F35E7" w14:paraId="1E271B71" w14:textId="3CE175B3">
      <w:pPr>
        <w:rPr>
          <w:rFonts w:cs="ADLaM Display"/>
        </w:rPr>
      </w:pPr>
      <w:bookmarkStart w:name="_Hlk241069209" w:id="10"/>
      <w:r w:rsidRPr="001F35E7">
        <w:rPr>
          <w:rFonts w:cs="ADLaM Display"/>
        </w:rPr>
        <w:t xml:space="preserve">In het commissiedebat Civielrechtelijke onderwerpen van 22 april 2026 is ook de positie van vakbonden in collectieve acties onder het WAMCA-regime aan de orde geweest. In hun brief van 3 september 2026 hebben FNV en CNV hier ook aandacht voor gevraagd. Zij wijzen er in hun brief op dat collectieve acties sinds inwerkingtreding van dit regime voor vakbonden lastiger zijn geworden. </w:t>
      </w:r>
      <w:bookmarkEnd w:id="10"/>
      <w:r w:rsidRPr="001F35E7">
        <w:rPr>
          <w:rFonts w:cs="ADLaM Display"/>
        </w:rPr>
        <w:t xml:space="preserve">FNV en CNV noemen in dit verband de duur van de procedures met een verplichte wachttermijn van drie maanden, de toets op representativiteit, de onduidelijkheid over de vraag of een groepsactie en een ideële vordering gecombineerd kunnen worden en de onduidelijkheid over de mogelijkheid van een </w:t>
      </w:r>
      <w:proofErr w:type="spellStart"/>
      <w:r w:rsidRPr="001F35E7">
        <w:rPr>
          <w:rFonts w:cs="ADLaM Display"/>
        </w:rPr>
        <w:t>opt</w:t>
      </w:r>
      <w:proofErr w:type="spellEnd"/>
      <w:r w:rsidRPr="001F35E7">
        <w:rPr>
          <w:rFonts w:cs="ADLaM Display"/>
        </w:rPr>
        <w:t>-out. Ze pleiten voor een apart te onderscheiden positie voor vakbonden in de WAMCA en zien daarvoor verschillende opties, waaronder de herintroductie van artikel 3:305a BW (oud) speciaal voor vakbonden of een apart ontvankelijkheidsregime voor vakbonden in de huidige regeling.</w:t>
      </w:r>
    </w:p>
    <w:p w:rsidR="00514832" w:rsidP="001F35E7" w:rsidRDefault="00514832" w14:paraId="1AE1C3D9" w14:textId="77777777">
      <w:pPr>
        <w:rPr>
          <w:rFonts w:cs="ADLaM Display"/>
        </w:rPr>
      </w:pPr>
    </w:p>
    <w:p w:rsidRPr="001F35E7" w:rsidR="001F35E7" w:rsidP="001F35E7" w:rsidRDefault="001F35E7" w14:paraId="5D548515" w14:textId="033E0345">
      <w:pPr>
        <w:rPr>
          <w:rFonts w:cs="ADLaM Display"/>
        </w:rPr>
      </w:pPr>
      <w:r w:rsidRPr="001F35E7">
        <w:rPr>
          <w:rFonts w:cs="ADLaM Display"/>
        </w:rPr>
        <w:t xml:space="preserve">Vakbonden vervullen een belangrijke rol in de handhaving van het arbeidsrecht. De minister van Sociale Zaken en Werkgelegenheid en ik benadrukken dat vakbonden voor het vervullen van deze rol voldoende toegang tot de rechter moeten hebben. In deze kabinetsreactie ben ik bij de bespreking van de aanbevelingen van de onderzoekers al ingegaan op de wachttermijn van drie maanden, de invulling van de representativiteit en de mogelijkheid om de </w:t>
      </w:r>
      <w:proofErr w:type="spellStart"/>
      <w:r w:rsidRPr="001F35E7">
        <w:rPr>
          <w:rFonts w:cs="ADLaM Display"/>
        </w:rPr>
        <w:t>opt</w:t>
      </w:r>
      <w:proofErr w:type="spellEnd"/>
      <w:r w:rsidRPr="001F35E7">
        <w:rPr>
          <w:rFonts w:cs="ADLaM Display"/>
        </w:rPr>
        <w:t xml:space="preserve">-out over te slaan. Ik voeg daar het volgende aan toe. Ook voor </w:t>
      </w:r>
      <w:proofErr w:type="spellStart"/>
      <w:r w:rsidRPr="001F35E7">
        <w:rPr>
          <w:rFonts w:cs="ADLaM Display"/>
        </w:rPr>
        <w:t>arbeidsgerelateerde</w:t>
      </w:r>
      <w:proofErr w:type="spellEnd"/>
      <w:r w:rsidRPr="001F35E7">
        <w:rPr>
          <w:rFonts w:cs="ADLaM Display"/>
        </w:rPr>
        <w:t xml:space="preserve"> vorderingen van de vakbonden geldt dat de Rechtspraak hierin tijd moet krijgen om haar weg te vinden. De ontwikkelingen die ik zie in de jurisprudentie geven mij vertrouwen dat de Rechtspraak in staat is om onduidelijkheden in de WAMCA-regeling te verhelderen en dat deze verheldering kan leiden tot versnelling van toekomstige procedures. Op het specifieke punt van een groepsactie gecombineerd met een ideëel doel wil ik de ontwikkelingen in de rechtspraktijk nauwlettend blijven volgen. Ook wil ik samen met de minister van Sociale Zaken en Werkgelegenheid het gesprek met FNV en CNV hierover voortzetten. Ik vind het nog te vroeg voor vergaand wettelijk ingrijpen zoals voorgesteld door FNV en CNV.</w:t>
      </w:r>
      <w:r w:rsidRPr="001F35E7">
        <w:rPr>
          <w:rStyle w:val="Voetnootmarkering"/>
          <w:rFonts w:cs="ADLaM Display"/>
        </w:rPr>
        <w:footnoteReference w:id="68"/>
      </w:r>
      <w:r w:rsidR="00247B40">
        <w:rPr>
          <w:rFonts w:cs="ADLaM Display"/>
        </w:rPr>
        <w:t xml:space="preserve"> </w:t>
      </w:r>
    </w:p>
    <w:bookmarkEnd w:id="9"/>
    <w:p w:rsidRPr="001F35E7" w:rsidR="001F35E7" w:rsidP="001F35E7" w:rsidRDefault="001F35E7" w14:paraId="0E8257F7" w14:textId="77777777">
      <w:pPr>
        <w:rPr>
          <w:rFonts w:cs="ADLaM Display"/>
          <w:u w:val="single"/>
        </w:rPr>
      </w:pPr>
    </w:p>
    <w:p w:rsidR="008F36A6" w:rsidP="001F35E7" w:rsidRDefault="008F36A6" w14:paraId="3EA704F4" w14:textId="77777777">
      <w:pPr>
        <w:rPr>
          <w:rFonts w:cs="ADLaM Display"/>
          <w:u w:val="single"/>
        </w:rPr>
      </w:pPr>
    </w:p>
    <w:p w:rsidRPr="001F35E7" w:rsidR="001F35E7" w:rsidP="001F35E7" w:rsidRDefault="001F35E7" w14:paraId="39755055" w14:textId="4F77B6A7">
      <w:pPr>
        <w:rPr>
          <w:rFonts w:cs="ADLaM Display"/>
          <w:u w:val="single"/>
        </w:rPr>
      </w:pPr>
      <w:r w:rsidRPr="001F35E7">
        <w:rPr>
          <w:rFonts w:cs="ADLaM Display"/>
          <w:u w:val="single"/>
        </w:rPr>
        <w:t>8. Afsluiting</w:t>
      </w:r>
    </w:p>
    <w:p w:rsidR="008F36A6" w:rsidP="001F35E7" w:rsidRDefault="008F36A6" w14:paraId="497DED8A" w14:textId="77777777">
      <w:pPr>
        <w:rPr>
          <w:rFonts w:cs="ADLaM Display"/>
        </w:rPr>
      </w:pPr>
    </w:p>
    <w:p w:rsidRPr="001F35E7" w:rsidR="001F35E7" w:rsidP="001F35E7" w:rsidRDefault="001F35E7" w14:paraId="6497B028" w14:textId="2875C7C7">
      <w:pPr>
        <w:rPr>
          <w:rFonts w:cs="ADLaM Display"/>
        </w:rPr>
      </w:pPr>
      <w:r w:rsidRPr="001F35E7">
        <w:rPr>
          <w:rFonts w:cs="ADLaM Display"/>
        </w:rPr>
        <w:t xml:space="preserve">In deze brief ben ik ingegaan op het rechtsvergelijkend rapport en het evaluatierapport van het WAMCA-evaluatieonderzoek. Het is goed dat de onderzoekers knelpunten, met name van de lange doorlooptijd van de ontvankelijkheidsfase, in beeld hebben gebracht. Ook kan ik mij vinden in veel van de onderliggende analyses bij de aanbevelingen van de onderzoekers voor wetsaanpassing. Mijn belangrijkste boodschap in reactie op de rapporten is dat het op dit moment nog te vroeg is om te komen met voorstellen voor wetsaanpassingen voor de met de WAMCA ingevoerde regeling. Over veel van de door de onderzoekers gesignaleerde processuele knelpunten zijn op dit moment zaken aanhangig, ook in hoger beroep en cassatie. We hebben daarnaast nog geen collectieve schadeafwikkelingen gezien in de praktijk. Mede door de rechtsontwikkelingen na afronding van het onderzoek, heb ik er vertrouwen in dat veel van de door de onderzoekers gesignaleerde knelpunten ook zonder wettelijke aanpassing kunnen worden opgelost. Daarbij wil ik de werking van de WAMCA graag blijven monitoren met de praktijk, om te weten welke vraagpunten inmiddels zijn verduidelijkt en welke punten nog niet zijn opgelost. Ook wil ik met het vervolgonderzoek de inzichten vergroten in de kosten, financiering en financierbaarheid van WAMCA-zaken en de maatschappelijke gevolgen van collectieve acties. </w:t>
      </w:r>
    </w:p>
    <w:p w:rsidR="008F36A6" w:rsidP="001F35E7" w:rsidRDefault="008F36A6" w14:paraId="7258BE90" w14:textId="77777777">
      <w:pPr>
        <w:rPr>
          <w:rFonts w:cs="ADLaM Display"/>
        </w:rPr>
      </w:pPr>
    </w:p>
    <w:p w:rsidRPr="001F35E7" w:rsidR="001F35E7" w:rsidP="001F35E7" w:rsidRDefault="001F35E7" w14:paraId="2A4DE239" w14:textId="7BD5DDE0">
      <w:pPr>
        <w:rPr>
          <w:rFonts w:cs="ADLaM Display"/>
        </w:rPr>
      </w:pPr>
      <w:r w:rsidRPr="001F35E7">
        <w:rPr>
          <w:rFonts w:cs="ADLaM Display"/>
        </w:rPr>
        <w:t>Gelet op het maatschappelijk belang en de grote aandacht voor dit onderwerp, zie ik reden voor een volgende evaluatie</w:t>
      </w:r>
      <w:r w:rsidR="00AE2636">
        <w:rPr>
          <w:rFonts w:cs="ADLaM Display"/>
        </w:rPr>
        <w:t xml:space="preserve"> in 2030,</w:t>
      </w:r>
      <w:r w:rsidR="00247B40">
        <w:rPr>
          <w:rFonts w:cs="ADLaM Display"/>
        </w:rPr>
        <w:t xml:space="preserve"> </w:t>
      </w:r>
      <w:r w:rsidRPr="001F35E7">
        <w:rPr>
          <w:rFonts w:cs="ADLaM Display"/>
        </w:rPr>
        <w:t xml:space="preserve">tien jaar na inwerkingtreding van de WAMCA-regeling. Ik verwacht dat de praktijk dan nog meer haar weg heeft gevonden met de WAMCA en dat er tegen die tijd voldoende uitspraken en ervaringen beschikbaar zijn – ook met schadeafwikkeling - om beter onderbouwde conclusies te kunnen trekken over de wenselijkheid van eventuele wetsaanpassingen. In de tussentijd blijf ik aan de hand van de monitoring en de uitkomsten van het vervolgonderzoek graag met uw Kamer over dit onderwerp in gesprek. </w:t>
      </w:r>
    </w:p>
    <w:p w:rsidRPr="001F35E7" w:rsidR="001F35E7" w:rsidP="001F35E7" w:rsidRDefault="001F35E7" w14:paraId="08EC6992" w14:textId="77777777">
      <w:pPr>
        <w:rPr>
          <w:rFonts w:cs="ADLaM Display"/>
        </w:rPr>
      </w:pPr>
    </w:p>
    <w:p w:rsidRPr="001F35E7" w:rsidR="001F35E7" w:rsidP="001F35E7" w:rsidRDefault="001F35E7" w14:paraId="709AB6BD" w14:textId="77777777">
      <w:pPr>
        <w:rPr>
          <w:rFonts w:cs="ADLaM Display"/>
        </w:rPr>
      </w:pPr>
    </w:p>
    <w:p w:rsidRPr="001F35E7" w:rsidR="001F35E7" w:rsidP="001F35E7" w:rsidRDefault="001F35E7" w14:paraId="7A617368" w14:textId="77777777">
      <w:pPr>
        <w:rPr>
          <w:rFonts w:cs="ADLaM Display"/>
        </w:rPr>
      </w:pPr>
      <w:r w:rsidRPr="001F35E7">
        <w:rPr>
          <w:rFonts w:cs="ADLaM Display"/>
        </w:rPr>
        <w:t>De Staatssecretaris van Justitie en Veiligheid,</w:t>
      </w:r>
    </w:p>
    <w:p w:rsidRPr="001F35E7" w:rsidR="001F35E7" w:rsidP="001F35E7" w:rsidRDefault="001F35E7" w14:paraId="07955BA3" w14:textId="77777777">
      <w:pPr>
        <w:rPr>
          <w:rFonts w:cs="ADLaM Display"/>
        </w:rPr>
      </w:pPr>
    </w:p>
    <w:p w:rsidR="008F36A6" w:rsidP="001F35E7" w:rsidRDefault="008F36A6" w14:paraId="2370F02C" w14:textId="77777777">
      <w:pPr>
        <w:rPr>
          <w:rFonts w:cs="ADLaM Display"/>
        </w:rPr>
      </w:pPr>
    </w:p>
    <w:p w:rsidR="00C55D08" w:rsidP="001F35E7" w:rsidRDefault="00C55D08" w14:paraId="0BC2D140" w14:textId="77777777">
      <w:pPr>
        <w:rPr>
          <w:rFonts w:cs="ADLaM Display"/>
        </w:rPr>
      </w:pPr>
    </w:p>
    <w:p w:rsidR="00C55D08" w:rsidP="001F35E7" w:rsidRDefault="00C55D08" w14:paraId="3F5E594E" w14:textId="77777777">
      <w:pPr>
        <w:rPr>
          <w:rFonts w:cs="ADLaM Display"/>
        </w:rPr>
      </w:pPr>
    </w:p>
    <w:p w:rsidRPr="001F35E7" w:rsidR="001F35E7" w:rsidP="001F35E7" w:rsidRDefault="001F35E7" w14:paraId="07E943A0" w14:textId="51938562">
      <w:pPr>
        <w:rPr>
          <w:rFonts w:cs="ADLaM Display"/>
        </w:rPr>
      </w:pPr>
      <w:r w:rsidRPr="001F35E7">
        <w:rPr>
          <w:rFonts w:cs="ADLaM Display"/>
        </w:rPr>
        <w:t>Claudia van Bruggen</w:t>
      </w:r>
    </w:p>
    <w:p w:rsidRPr="00545333" w:rsidR="001F35E7" w:rsidP="001F35E7" w:rsidRDefault="001F35E7" w14:paraId="1AD40893" w14:textId="77777777">
      <w:pPr>
        <w:rPr>
          <w:rFonts w:ascii="Arial" w:hAnsi="Arial" w:cs="Arial"/>
          <w:sz w:val="20"/>
          <w:szCs w:val="20"/>
        </w:rPr>
      </w:pPr>
    </w:p>
    <w:p w:rsidRPr="001F35E7" w:rsidR="00173C46" w:rsidP="001F35E7" w:rsidRDefault="001F35E7" w14:paraId="05EF5E7E" w14:textId="37DE011B">
      <w:pPr>
        <w:rPr>
          <w:b/>
          <w:bCs/>
        </w:rPr>
      </w:pPr>
      <w:r w:rsidRPr="00545333">
        <w:rPr>
          <w:rFonts w:ascii="Arial" w:hAnsi="Arial" w:cs="Arial"/>
          <w:sz w:val="20"/>
          <w:szCs w:val="20"/>
        </w:rPr>
        <w:br w:type="page"/>
      </w:r>
      <w:r w:rsidRPr="001F35E7" w:rsidR="005E70B7">
        <w:rPr>
          <w:b/>
          <w:bCs/>
        </w:rPr>
        <w:t>Bijlagen</w:t>
      </w:r>
    </w:p>
    <w:tbl>
      <w:tblPr>
        <w:tblStyle w:val="TabelRijkshuisstijl"/>
        <w:tblW w:w="7541" w:type="dxa"/>
        <w:tblInd w:w="0" w:type="dxa"/>
        <w:tblLayout w:type="fixed"/>
        <w:tblLook w:val="07E0" w:firstRow="1" w:lastRow="1" w:firstColumn="1" w:lastColumn="1" w:noHBand="1" w:noVBand="1"/>
      </w:tblPr>
      <w:tblGrid>
        <w:gridCol w:w="1509"/>
        <w:gridCol w:w="3016"/>
        <w:gridCol w:w="3016"/>
      </w:tblGrid>
      <w:tr w:rsidR="00173C46" w:rsidTr="005E70B7" w14:paraId="1E37161A" w14:textId="77777777">
        <w:trPr>
          <w:cnfStyle w:val="100000000000" w:firstRow="1" w:lastRow="0" w:firstColumn="0" w:lastColumn="0" w:oddVBand="0" w:evenVBand="0" w:oddHBand="0" w:evenHBand="0" w:firstRowFirstColumn="0" w:firstRowLastColumn="0" w:lastRowFirstColumn="0" w:lastRowLastColumn="0"/>
        </w:trPr>
        <w:tc>
          <w:tcPr>
            <w:tcW w:w="1509" w:type="dxa"/>
          </w:tcPr>
          <w:p w:rsidR="00173C46" w:rsidRDefault="005E70B7" w14:paraId="4B08C1FE" w14:textId="77777777">
            <w:r>
              <w:t>Volgnummer</w:t>
            </w:r>
          </w:p>
        </w:tc>
        <w:tc>
          <w:tcPr>
            <w:tcW w:w="3016" w:type="dxa"/>
          </w:tcPr>
          <w:p w:rsidR="00173C46" w:rsidRDefault="005E70B7" w14:paraId="2A070C49" w14:textId="77777777">
            <w:r>
              <w:t>Naam</w:t>
            </w:r>
          </w:p>
        </w:tc>
        <w:tc>
          <w:tcPr>
            <w:tcW w:w="3016" w:type="dxa"/>
          </w:tcPr>
          <w:p w:rsidR="00173C46" w:rsidRDefault="005E70B7" w14:paraId="6B6F0C48" w14:textId="77777777">
            <w:r>
              <w:t>Classificatie</w:t>
            </w:r>
          </w:p>
        </w:tc>
      </w:tr>
      <w:tr w:rsidR="00173C46" w:rsidTr="005E70B7" w14:paraId="7D8BB523" w14:textId="77777777">
        <w:tc>
          <w:tcPr>
            <w:tcW w:w="1509" w:type="dxa"/>
          </w:tcPr>
          <w:p w:rsidR="00173C46" w:rsidRDefault="005E70B7" w14:paraId="4257A54F" w14:textId="77777777">
            <w:r>
              <w:t>1</w:t>
            </w:r>
          </w:p>
        </w:tc>
        <w:tc>
          <w:tcPr>
            <w:tcW w:w="3016" w:type="dxa"/>
          </w:tcPr>
          <w:p w:rsidR="00173C46" w:rsidRDefault="005E70B7" w14:paraId="376D9494" w14:textId="77777777">
            <w:r>
              <w:t>Lijst aanbevelingen WAMCA-evaluatie</w:t>
            </w:r>
          </w:p>
        </w:tc>
        <w:tc>
          <w:tcPr>
            <w:tcW w:w="3016" w:type="dxa"/>
          </w:tcPr>
          <w:p w:rsidR="00173C46" w:rsidRDefault="00173C46" w14:paraId="01E9B32F" w14:textId="77777777"/>
        </w:tc>
      </w:tr>
    </w:tbl>
    <w:p w:rsidR="005E70B7" w:rsidP="005E70B7" w:rsidRDefault="005E70B7" w14:paraId="0A0075B0" w14:textId="77777777">
      <w:pPr>
        <w:rPr>
          <w:rFonts w:ascii="Arial" w:hAnsi="Arial" w:cs="Arial"/>
          <w:b/>
          <w:bCs/>
          <w:sz w:val="20"/>
          <w:szCs w:val="20"/>
        </w:rPr>
      </w:pPr>
    </w:p>
    <w:p w:rsidR="005E70B7" w:rsidRDefault="005E70B7" w14:paraId="40C67937" w14:textId="77777777">
      <w:pPr>
        <w:spacing w:line="240" w:lineRule="auto"/>
        <w:rPr>
          <w:rFonts w:ascii="Arial" w:hAnsi="Arial" w:cs="Arial"/>
          <w:b/>
          <w:bCs/>
          <w:sz w:val="20"/>
          <w:szCs w:val="20"/>
        </w:rPr>
      </w:pPr>
      <w:r>
        <w:rPr>
          <w:rFonts w:ascii="Arial" w:hAnsi="Arial" w:cs="Arial"/>
          <w:b/>
          <w:bCs/>
          <w:sz w:val="20"/>
          <w:szCs w:val="20"/>
        </w:rPr>
        <w:br w:type="page"/>
      </w:r>
    </w:p>
    <w:p w:rsidRPr="00545333" w:rsidR="005E70B7" w:rsidP="005E70B7" w:rsidRDefault="005E70B7" w14:paraId="3F4A6235" w14:textId="4EAF93D0">
      <w:pPr>
        <w:rPr>
          <w:rFonts w:ascii="Arial" w:hAnsi="Arial" w:cs="Arial"/>
          <w:b/>
          <w:bCs/>
          <w:sz w:val="20"/>
          <w:szCs w:val="20"/>
        </w:rPr>
      </w:pPr>
      <w:r w:rsidRPr="00545333">
        <w:rPr>
          <w:rFonts w:ascii="Arial" w:hAnsi="Arial" w:cs="Arial"/>
          <w:b/>
          <w:bCs/>
          <w:sz w:val="20"/>
          <w:szCs w:val="20"/>
        </w:rPr>
        <w:t xml:space="preserve">Bijlage </w:t>
      </w:r>
    </w:p>
    <w:p w:rsidRPr="00545333" w:rsidR="005E70B7" w:rsidP="005E70B7" w:rsidRDefault="005E70B7" w14:paraId="23A65A01" w14:textId="77777777">
      <w:pPr>
        <w:rPr>
          <w:rFonts w:ascii="Arial" w:hAnsi="Arial" w:cs="Arial"/>
          <w:b/>
          <w:bCs/>
          <w:sz w:val="20"/>
          <w:szCs w:val="20"/>
        </w:rPr>
      </w:pPr>
      <w:r w:rsidRPr="00545333">
        <w:rPr>
          <w:rFonts w:ascii="Arial" w:hAnsi="Arial" w:cs="Arial"/>
          <w:b/>
          <w:bCs/>
          <w:sz w:val="20"/>
          <w:szCs w:val="20"/>
        </w:rPr>
        <w:t>Lijst aanbevelingen evaluatierapport zoals door de onderzoekers ingedeeld naar soort</w:t>
      </w:r>
      <w:r w:rsidRPr="00545333">
        <w:rPr>
          <w:rStyle w:val="Voetnootmarkering"/>
          <w:rFonts w:ascii="Arial" w:hAnsi="Arial" w:cs="Arial"/>
          <w:b/>
          <w:bCs/>
          <w:sz w:val="20"/>
          <w:szCs w:val="20"/>
        </w:rPr>
        <w:footnoteReference w:id="69"/>
      </w:r>
      <w:r w:rsidRPr="00545333">
        <w:rPr>
          <w:rFonts w:ascii="Arial" w:hAnsi="Arial" w:cs="Arial"/>
          <w:b/>
          <w:bCs/>
          <w:sz w:val="20"/>
          <w:szCs w:val="20"/>
        </w:rPr>
        <w:t xml:space="preserve"> </w:t>
      </w:r>
    </w:p>
    <w:tbl>
      <w:tblPr>
        <w:tblStyle w:val="Tabelraster"/>
        <w:tblpPr w:leftFromText="141" w:rightFromText="141" w:horzAnchor="margin" w:tblpY="1160"/>
        <w:tblW w:w="0" w:type="auto"/>
        <w:tblInd w:w="0" w:type="dxa"/>
        <w:tblLook w:val="04A0" w:firstRow="1" w:lastRow="0" w:firstColumn="1" w:lastColumn="0" w:noHBand="0" w:noVBand="1"/>
      </w:tblPr>
      <w:tblGrid>
        <w:gridCol w:w="533"/>
        <w:gridCol w:w="2585"/>
        <w:gridCol w:w="4413"/>
      </w:tblGrid>
      <w:tr w:rsidRPr="00545333" w:rsidR="005E70B7" w:rsidTr="0048723C" w14:paraId="47DCFCAE" w14:textId="77777777">
        <w:tc>
          <w:tcPr>
            <w:tcW w:w="692" w:type="dxa"/>
          </w:tcPr>
          <w:p w:rsidRPr="00545333" w:rsidR="005E70B7" w:rsidP="0048723C" w:rsidRDefault="005E70B7" w14:paraId="3FD7AE88" w14:textId="77777777">
            <w:pPr>
              <w:rPr>
                <w:rFonts w:ascii="Arial" w:hAnsi="Arial" w:cs="Arial"/>
                <w:b/>
                <w:bCs/>
                <w:sz w:val="20"/>
                <w:szCs w:val="20"/>
              </w:rPr>
            </w:pPr>
            <w:proofErr w:type="spellStart"/>
            <w:r w:rsidRPr="00545333">
              <w:rPr>
                <w:rFonts w:ascii="Arial" w:hAnsi="Arial" w:cs="Arial"/>
                <w:b/>
                <w:bCs/>
                <w:sz w:val="20"/>
                <w:szCs w:val="20"/>
              </w:rPr>
              <w:t>Nr</w:t>
            </w:r>
            <w:proofErr w:type="spellEnd"/>
          </w:p>
        </w:tc>
        <w:tc>
          <w:tcPr>
            <w:tcW w:w="2725" w:type="dxa"/>
          </w:tcPr>
          <w:p w:rsidRPr="00545333" w:rsidR="005E70B7" w:rsidP="0048723C" w:rsidRDefault="005E70B7" w14:paraId="504F6CE6" w14:textId="77777777">
            <w:pPr>
              <w:rPr>
                <w:rFonts w:ascii="Arial" w:hAnsi="Arial" w:cs="Arial"/>
                <w:b/>
                <w:bCs/>
                <w:sz w:val="20"/>
                <w:szCs w:val="20"/>
              </w:rPr>
            </w:pPr>
            <w:r w:rsidRPr="00545333">
              <w:rPr>
                <w:rFonts w:ascii="Arial" w:hAnsi="Arial" w:cs="Arial"/>
                <w:b/>
                <w:bCs/>
                <w:sz w:val="20"/>
                <w:szCs w:val="20"/>
              </w:rPr>
              <w:t>Doelstelling WAMCA</w:t>
            </w:r>
          </w:p>
        </w:tc>
        <w:tc>
          <w:tcPr>
            <w:tcW w:w="5600" w:type="dxa"/>
          </w:tcPr>
          <w:p w:rsidRPr="00545333" w:rsidR="005E70B7" w:rsidP="0048723C" w:rsidRDefault="005E70B7" w14:paraId="12119710" w14:textId="77777777">
            <w:pPr>
              <w:rPr>
                <w:rFonts w:ascii="Arial" w:hAnsi="Arial" w:cs="Arial"/>
                <w:b/>
                <w:bCs/>
                <w:sz w:val="20"/>
                <w:szCs w:val="20"/>
              </w:rPr>
            </w:pPr>
            <w:r w:rsidRPr="00545333">
              <w:rPr>
                <w:rFonts w:ascii="Arial" w:hAnsi="Arial" w:cs="Arial"/>
                <w:b/>
                <w:bCs/>
                <w:sz w:val="20"/>
                <w:szCs w:val="20"/>
              </w:rPr>
              <w:t>Duidelijkheid is gewenst t.a.v. de volgende aspecten</w:t>
            </w:r>
          </w:p>
        </w:tc>
      </w:tr>
      <w:tr w:rsidRPr="00545333" w:rsidR="005E70B7" w:rsidTr="0048723C" w14:paraId="726914C5" w14:textId="77777777">
        <w:tc>
          <w:tcPr>
            <w:tcW w:w="692" w:type="dxa"/>
          </w:tcPr>
          <w:p w:rsidRPr="00545333" w:rsidR="005E70B7" w:rsidP="0048723C" w:rsidRDefault="005E70B7" w14:paraId="03D67E13" w14:textId="77777777">
            <w:pPr>
              <w:rPr>
                <w:rFonts w:ascii="Arial" w:hAnsi="Arial" w:cs="Arial"/>
                <w:sz w:val="20"/>
                <w:szCs w:val="20"/>
              </w:rPr>
            </w:pPr>
            <w:r w:rsidRPr="00545333">
              <w:rPr>
                <w:rFonts w:ascii="Arial" w:hAnsi="Arial" w:cs="Arial"/>
                <w:sz w:val="20"/>
                <w:szCs w:val="20"/>
              </w:rPr>
              <w:t>1</w:t>
            </w:r>
          </w:p>
        </w:tc>
        <w:tc>
          <w:tcPr>
            <w:tcW w:w="2725" w:type="dxa"/>
          </w:tcPr>
          <w:p w:rsidRPr="00545333" w:rsidR="005E70B7" w:rsidP="0048723C" w:rsidRDefault="005E70B7" w14:paraId="56AF50BB" w14:textId="77777777">
            <w:pPr>
              <w:rPr>
                <w:rFonts w:ascii="Arial" w:hAnsi="Arial" w:cs="Arial"/>
                <w:sz w:val="20"/>
                <w:szCs w:val="20"/>
              </w:rPr>
            </w:pPr>
            <w:r w:rsidRPr="00545333">
              <w:rPr>
                <w:rFonts w:ascii="Arial" w:hAnsi="Arial" w:cs="Arial"/>
                <w:sz w:val="20"/>
                <w:szCs w:val="20"/>
              </w:rPr>
              <w:t>Komen tot een gecoördineerde, efficiënte en effectieve afwikkeling van 305a-acties</w:t>
            </w:r>
          </w:p>
        </w:tc>
        <w:tc>
          <w:tcPr>
            <w:tcW w:w="5600" w:type="dxa"/>
          </w:tcPr>
          <w:p w:rsidRPr="00545333" w:rsidR="005E70B7" w:rsidP="0048723C" w:rsidRDefault="005E70B7" w14:paraId="1EB8E7C2" w14:textId="77777777">
            <w:pPr>
              <w:rPr>
                <w:rFonts w:ascii="Arial" w:hAnsi="Arial" w:cs="Arial"/>
                <w:sz w:val="20"/>
                <w:szCs w:val="20"/>
              </w:rPr>
            </w:pPr>
            <w:r w:rsidRPr="00545333">
              <w:rPr>
                <w:rFonts w:ascii="Arial" w:hAnsi="Arial" w:cs="Arial"/>
                <w:sz w:val="20"/>
                <w:szCs w:val="20"/>
              </w:rPr>
              <w:t>Duidelijkheid is gewenst over of het mogelijk zou moeten zijn om (bepaalde) incidentele vorderingen te beoordelen voordat de 3/6-maandentermijn is afgelopen (artikel 1018c lid 3 Rv). Bijv. over rechtsmacht of toepasselijk recht.</w:t>
            </w:r>
          </w:p>
          <w:p w:rsidRPr="00545333" w:rsidR="005E70B7" w:rsidP="0048723C" w:rsidRDefault="005E70B7" w14:paraId="369FBE71" w14:textId="77777777">
            <w:pPr>
              <w:rPr>
                <w:rFonts w:ascii="Arial" w:hAnsi="Arial" w:cs="Arial"/>
                <w:sz w:val="20"/>
                <w:szCs w:val="20"/>
              </w:rPr>
            </w:pPr>
          </w:p>
          <w:p w:rsidRPr="00545333" w:rsidR="005E70B7" w:rsidP="0048723C" w:rsidRDefault="005E70B7" w14:paraId="2959BB09" w14:textId="77777777">
            <w:pPr>
              <w:rPr>
                <w:rFonts w:ascii="Arial" w:hAnsi="Arial" w:cs="Arial"/>
                <w:sz w:val="20"/>
                <w:szCs w:val="20"/>
              </w:rPr>
            </w:pPr>
          </w:p>
        </w:tc>
      </w:tr>
      <w:tr w:rsidRPr="00545333" w:rsidR="005E70B7" w:rsidTr="0048723C" w14:paraId="37EC817D" w14:textId="77777777">
        <w:tc>
          <w:tcPr>
            <w:tcW w:w="692" w:type="dxa"/>
          </w:tcPr>
          <w:p w:rsidRPr="00545333" w:rsidR="005E70B7" w:rsidP="0048723C" w:rsidRDefault="005E70B7" w14:paraId="444EB4DD" w14:textId="77777777">
            <w:pPr>
              <w:rPr>
                <w:rFonts w:ascii="Arial" w:hAnsi="Arial" w:cs="Arial"/>
                <w:sz w:val="20"/>
                <w:szCs w:val="20"/>
              </w:rPr>
            </w:pPr>
            <w:r w:rsidRPr="00545333">
              <w:rPr>
                <w:rFonts w:ascii="Arial" w:hAnsi="Arial" w:cs="Arial"/>
                <w:sz w:val="20"/>
                <w:szCs w:val="20"/>
              </w:rPr>
              <w:t>2</w:t>
            </w:r>
          </w:p>
        </w:tc>
        <w:tc>
          <w:tcPr>
            <w:tcW w:w="2725" w:type="dxa"/>
          </w:tcPr>
          <w:p w:rsidRPr="00545333" w:rsidR="005E70B7" w:rsidP="0048723C" w:rsidRDefault="005E70B7" w14:paraId="1A7D6053" w14:textId="77777777">
            <w:pPr>
              <w:rPr>
                <w:rFonts w:ascii="Arial" w:hAnsi="Arial" w:cs="Arial"/>
                <w:sz w:val="20"/>
                <w:szCs w:val="20"/>
              </w:rPr>
            </w:pPr>
            <w:r w:rsidRPr="00545333">
              <w:rPr>
                <w:rFonts w:ascii="Arial" w:hAnsi="Arial" w:cs="Arial"/>
                <w:sz w:val="20"/>
                <w:szCs w:val="20"/>
              </w:rPr>
              <w:t>Komen tot een gecoördineerde, efficiënte en effectieve afwikkeling van 305a-acties</w:t>
            </w:r>
          </w:p>
        </w:tc>
        <w:tc>
          <w:tcPr>
            <w:tcW w:w="5600" w:type="dxa"/>
          </w:tcPr>
          <w:p w:rsidRPr="00545333" w:rsidR="005E70B7" w:rsidP="0048723C" w:rsidRDefault="005E70B7" w14:paraId="56E5020E" w14:textId="77777777">
            <w:pPr>
              <w:rPr>
                <w:rFonts w:ascii="Arial" w:hAnsi="Arial" w:cs="Arial"/>
                <w:sz w:val="20"/>
                <w:szCs w:val="20"/>
              </w:rPr>
            </w:pPr>
            <w:r w:rsidRPr="00545333">
              <w:rPr>
                <w:rFonts w:ascii="Arial" w:hAnsi="Arial" w:cs="Arial"/>
                <w:sz w:val="20"/>
                <w:szCs w:val="20"/>
              </w:rPr>
              <w:t>Duidelijkheid is gewenst over of de voldoende gelijksoortige belangentoets van artikel 3:305a lid 1 BW en voldoende gelijke feiten en rechtsvragentoets van artikel 1018c lid 5 sub b Rv dezelfde toetsingsmaatstaf betreffen. Een en ander om herhaling van zetten te voorkomen.</w:t>
            </w:r>
          </w:p>
          <w:p w:rsidRPr="00545333" w:rsidR="005E70B7" w:rsidP="0048723C" w:rsidRDefault="005E70B7" w14:paraId="2A8CABE1" w14:textId="77777777">
            <w:pPr>
              <w:rPr>
                <w:rFonts w:ascii="Arial" w:hAnsi="Arial" w:cs="Arial"/>
                <w:sz w:val="20"/>
                <w:szCs w:val="20"/>
              </w:rPr>
            </w:pPr>
          </w:p>
          <w:p w:rsidRPr="00545333" w:rsidR="005E70B7" w:rsidP="0048723C" w:rsidRDefault="005E70B7" w14:paraId="71AA9394" w14:textId="77777777">
            <w:pPr>
              <w:rPr>
                <w:rFonts w:ascii="Arial" w:hAnsi="Arial" w:cs="Arial"/>
                <w:sz w:val="20"/>
                <w:szCs w:val="20"/>
              </w:rPr>
            </w:pPr>
          </w:p>
        </w:tc>
      </w:tr>
      <w:tr w:rsidRPr="00545333" w:rsidR="005E70B7" w:rsidTr="0048723C" w14:paraId="27222F37" w14:textId="77777777">
        <w:tc>
          <w:tcPr>
            <w:tcW w:w="692" w:type="dxa"/>
          </w:tcPr>
          <w:p w:rsidRPr="00545333" w:rsidR="005E70B7" w:rsidP="0048723C" w:rsidRDefault="005E70B7" w14:paraId="07306178" w14:textId="77777777">
            <w:pPr>
              <w:rPr>
                <w:rFonts w:ascii="Arial" w:hAnsi="Arial" w:cs="Arial"/>
                <w:sz w:val="20"/>
                <w:szCs w:val="20"/>
              </w:rPr>
            </w:pPr>
            <w:r w:rsidRPr="00545333">
              <w:rPr>
                <w:rFonts w:ascii="Arial" w:hAnsi="Arial" w:cs="Arial"/>
                <w:sz w:val="20"/>
                <w:szCs w:val="20"/>
              </w:rPr>
              <w:t>3</w:t>
            </w:r>
          </w:p>
        </w:tc>
        <w:tc>
          <w:tcPr>
            <w:tcW w:w="2725" w:type="dxa"/>
          </w:tcPr>
          <w:p w:rsidRPr="00545333" w:rsidR="005E70B7" w:rsidP="0048723C" w:rsidRDefault="005E70B7" w14:paraId="6617EFE4" w14:textId="77777777">
            <w:pPr>
              <w:rPr>
                <w:rFonts w:ascii="Arial" w:hAnsi="Arial" w:cs="Arial"/>
                <w:sz w:val="20"/>
                <w:szCs w:val="20"/>
              </w:rPr>
            </w:pPr>
            <w:r w:rsidRPr="00545333">
              <w:rPr>
                <w:rFonts w:ascii="Arial" w:hAnsi="Arial" w:cs="Arial"/>
                <w:sz w:val="20"/>
                <w:szCs w:val="20"/>
              </w:rPr>
              <w:t>Komen tot een gecoördineerde, efficiënte en effectieve afwikkeling van 305a-acties</w:t>
            </w:r>
          </w:p>
        </w:tc>
        <w:tc>
          <w:tcPr>
            <w:tcW w:w="5600" w:type="dxa"/>
          </w:tcPr>
          <w:p w:rsidRPr="00545333" w:rsidR="005E70B7" w:rsidP="0048723C" w:rsidRDefault="005E70B7" w14:paraId="3F5AD99E" w14:textId="77777777">
            <w:pPr>
              <w:rPr>
                <w:rFonts w:ascii="Arial" w:hAnsi="Arial" w:cs="Arial"/>
                <w:sz w:val="20"/>
                <w:szCs w:val="20"/>
              </w:rPr>
            </w:pPr>
            <w:r w:rsidRPr="00545333">
              <w:rPr>
                <w:rFonts w:ascii="Arial" w:hAnsi="Arial" w:cs="Arial"/>
                <w:sz w:val="20"/>
                <w:szCs w:val="20"/>
              </w:rPr>
              <w:t xml:space="preserve">Duidelijkheid is gewenst over de uitgangspunten voor hoger beroep en cassatie. Het uitkristalliseren hiervan kan tot op zekere hoogte worden overgelaten aan de rechter, </w:t>
            </w:r>
            <w:r w:rsidRPr="004507BA">
              <w:rPr>
                <w:rFonts w:ascii="Arial" w:hAnsi="Arial" w:cs="Arial"/>
                <w:sz w:val="20"/>
                <w:szCs w:val="20"/>
              </w:rPr>
              <w:t xml:space="preserve">maar vraagt wellicht om op bepaalde punten om wetgevend ingrijpen. </w:t>
            </w:r>
            <w:r w:rsidRPr="00545333">
              <w:rPr>
                <w:rFonts w:ascii="Arial" w:hAnsi="Arial" w:cs="Arial"/>
                <w:sz w:val="20"/>
                <w:szCs w:val="20"/>
              </w:rPr>
              <w:t>Deze wetsevaluatie biedt niet de ruimte om specifiek naar hoger beroep en cassatie in de 305a-actie onderzoek te doen, waardoor geen concretere aanbevelingen hierover kunnen worden gedaan. Het verdient aanbeveling om de voor- en nadelen van bepaalde opties in kaart te brengen.</w:t>
            </w:r>
          </w:p>
          <w:p w:rsidRPr="00545333" w:rsidR="005E70B7" w:rsidP="0048723C" w:rsidRDefault="005E70B7" w14:paraId="1B5B496F" w14:textId="77777777">
            <w:pPr>
              <w:rPr>
                <w:rFonts w:ascii="Arial" w:hAnsi="Arial" w:cs="Arial"/>
                <w:sz w:val="20"/>
                <w:szCs w:val="20"/>
              </w:rPr>
            </w:pPr>
          </w:p>
          <w:p w:rsidRPr="00545333" w:rsidR="005E70B7" w:rsidP="0048723C" w:rsidRDefault="005E70B7" w14:paraId="181CE24C" w14:textId="77777777">
            <w:pPr>
              <w:rPr>
                <w:rFonts w:ascii="Arial" w:hAnsi="Arial" w:cs="Arial"/>
                <w:sz w:val="20"/>
                <w:szCs w:val="20"/>
              </w:rPr>
            </w:pPr>
          </w:p>
        </w:tc>
      </w:tr>
      <w:tr w:rsidRPr="00545333" w:rsidR="005E70B7" w:rsidTr="0048723C" w14:paraId="4978AF59" w14:textId="77777777">
        <w:tc>
          <w:tcPr>
            <w:tcW w:w="692" w:type="dxa"/>
          </w:tcPr>
          <w:p w:rsidRPr="00545333" w:rsidR="005E70B7" w:rsidP="0048723C" w:rsidRDefault="005E70B7" w14:paraId="657A0DE5" w14:textId="77777777">
            <w:pPr>
              <w:rPr>
                <w:rFonts w:ascii="Arial" w:hAnsi="Arial" w:cs="Arial"/>
                <w:sz w:val="20"/>
                <w:szCs w:val="20"/>
              </w:rPr>
            </w:pPr>
            <w:r w:rsidRPr="00545333">
              <w:rPr>
                <w:rFonts w:ascii="Arial" w:hAnsi="Arial" w:cs="Arial"/>
                <w:sz w:val="20"/>
                <w:szCs w:val="20"/>
              </w:rPr>
              <w:t>4</w:t>
            </w:r>
          </w:p>
        </w:tc>
        <w:tc>
          <w:tcPr>
            <w:tcW w:w="2725" w:type="dxa"/>
          </w:tcPr>
          <w:p w:rsidRPr="00545333" w:rsidR="005E70B7" w:rsidP="0048723C" w:rsidRDefault="005E70B7" w14:paraId="1673FDE2" w14:textId="77777777">
            <w:pPr>
              <w:rPr>
                <w:rFonts w:ascii="Arial" w:hAnsi="Arial" w:cs="Arial"/>
                <w:sz w:val="20"/>
                <w:szCs w:val="20"/>
              </w:rPr>
            </w:pPr>
            <w:r w:rsidRPr="00545333">
              <w:rPr>
                <w:rFonts w:ascii="Arial" w:hAnsi="Arial" w:cs="Arial"/>
                <w:sz w:val="20"/>
                <w:szCs w:val="20"/>
              </w:rPr>
              <w:t>Kwaliteitsbeoordeling t.b.v. bescherming van benadeelden/betrokkenen</w:t>
            </w:r>
          </w:p>
        </w:tc>
        <w:tc>
          <w:tcPr>
            <w:tcW w:w="5600" w:type="dxa"/>
          </w:tcPr>
          <w:p w:rsidRPr="00545333" w:rsidR="005E70B7" w:rsidP="0048723C" w:rsidRDefault="005E70B7" w14:paraId="7ADF8BF5" w14:textId="77777777">
            <w:pPr>
              <w:rPr>
                <w:rFonts w:ascii="Arial" w:hAnsi="Arial" w:cs="Arial"/>
                <w:sz w:val="20"/>
                <w:szCs w:val="20"/>
              </w:rPr>
            </w:pPr>
            <w:r w:rsidRPr="00545333">
              <w:rPr>
                <w:rFonts w:ascii="Arial" w:hAnsi="Arial" w:cs="Arial"/>
                <w:sz w:val="20"/>
                <w:szCs w:val="20"/>
              </w:rPr>
              <w:t>Duidelijkheid is gewenst over de interpretatie van de representativiteitseis in reguliere acties en in lid-6-acties. Wat betreft de lid-6-actie is de aanbeveling gesuggereerd om hiervoor een kwalitatieve interpretatie te hanteren.</w:t>
            </w:r>
          </w:p>
          <w:p w:rsidRPr="00545333" w:rsidR="005E70B7" w:rsidP="0048723C" w:rsidRDefault="005E70B7" w14:paraId="6D09336E" w14:textId="77777777">
            <w:pPr>
              <w:rPr>
                <w:rFonts w:ascii="Arial" w:hAnsi="Arial" w:cs="Arial"/>
                <w:sz w:val="20"/>
                <w:szCs w:val="20"/>
              </w:rPr>
            </w:pPr>
          </w:p>
          <w:p w:rsidRPr="00545333" w:rsidR="005E70B7" w:rsidP="0048723C" w:rsidRDefault="005E70B7" w14:paraId="150705DD" w14:textId="77777777">
            <w:pPr>
              <w:rPr>
                <w:rFonts w:ascii="Arial" w:hAnsi="Arial" w:cs="Arial"/>
                <w:sz w:val="20"/>
                <w:szCs w:val="20"/>
              </w:rPr>
            </w:pPr>
          </w:p>
        </w:tc>
      </w:tr>
      <w:tr w:rsidRPr="00545333" w:rsidR="005E70B7" w:rsidTr="0048723C" w14:paraId="681FA4E0" w14:textId="77777777">
        <w:tc>
          <w:tcPr>
            <w:tcW w:w="692" w:type="dxa"/>
          </w:tcPr>
          <w:p w:rsidRPr="00545333" w:rsidR="005E70B7" w:rsidP="0048723C" w:rsidRDefault="005E70B7" w14:paraId="35EBCEC9" w14:textId="77777777">
            <w:pPr>
              <w:rPr>
                <w:rFonts w:ascii="Arial" w:hAnsi="Arial" w:cs="Arial"/>
                <w:sz w:val="20"/>
                <w:szCs w:val="20"/>
              </w:rPr>
            </w:pPr>
            <w:r w:rsidRPr="00545333">
              <w:rPr>
                <w:rFonts w:ascii="Arial" w:hAnsi="Arial" w:cs="Arial"/>
                <w:sz w:val="20"/>
                <w:szCs w:val="20"/>
              </w:rPr>
              <w:t>5</w:t>
            </w:r>
          </w:p>
        </w:tc>
        <w:tc>
          <w:tcPr>
            <w:tcW w:w="2725" w:type="dxa"/>
          </w:tcPr>
          <w:p w:rsidRPr="00545333" w:rsidR="005E70B7" w:rsidP="0048723C" w:rsidRDefault="005E70B7" w14:paraId="3268CC9D" w14:textId="77777777">
            <w:pPr>
              <w:rPr>
                <w:rFonts w:ascii="Arial" w:hAnsi="Arial" w:cs="Arial"/>
                <w:sz w:val="20"/>
                <w:szCs w:val="20"/>
              </w:rPr>
            </w:pPr>
            <w:r w:rsidRPr="00545333">
              <w:rPr>
                <w:rFonts w:ascii="Arial" w:hAnsi="Arial" w:cs="Arial"/>
                <w:sz w:val="20"/>
                <w:szCs w:val="20"/>
              </w:rPr>
              <w:t>Voorkomen van excessen</w:t>
            </w:r>
          </w:p>
        </w:tc>
        <w:tc>
          <w:tcPr>
            <w:tcW w:w="5600" w:type="dxa"/>
          </w:tcPr>
          <w:p w:rsidRPr="00545333" w:rsidR="005E70B7" w:rsidP="0048723C" w:rsidRDefault="005E70B7" w14:paraId="797E6378" w14:textId="77777777">
            <w:pPr>
              <w:rPr>
                <w:rFonts w:ascii="Arial" w:hAnsi="Arial" w:cs="Arial"/>
                <w:sz w:val="20"/>
                <w:szCs w:val="20"/>
              </w:rPr>
            </w:pPr>
            <w:r w:rsidRPr="00545333">
              <w:rPr>
                <w:rFonts w:ascii="Arial" w:hAnsi="Arial" w:cs="Arial"/>
                <w:sz w:val="20"/>
                <w:szCs w:val="20"/>
              </w:rPr>
              <w:t>Duidelijkheid is gewenst over wat het toetsingscriterium ‘zeggenschap’ (artikel 3:305a lid 2 sub c BW) precies inhoudt. Duidelijkheid zou kunnen worden gecreëerd door het laten opstellen van richtsnoeren of een modelovereenkomst hiervoor.</w:t>
            </w:r>
          </w:p>
          <w:p w:rsidRPr="00545333" w:rsidR="005E70B7" w:rsidP="0048723C" w:rsidRDefault="005E70B7" w14:paraId="00BAFAE4" w14:textId="77777777">
            <w:pPr>
              <w:rPr>
                <w:rFonts w:ascii="Arial" w:hAnsi="Arial" w:cs="Arial"/>
                <w:sz w:val="20"/>
                <w:szCs w:val="20"/>
              </w:rPr>
            </w:pPr>
          </w:p>
          <w:p w:rsidRPr="00545333" w:rsidR="005E70B7" w:rsidP="0048723C" w:rsidRDefault="005E70B7" w14:paraId="2037BFE4" w14:textId="77777777">
            <w:pPr>
              <w:rPr>
                <w:rFonts w:ascii="Arial" w:hAnsi="Arial" w:cs="Arial"/>
                <w:sz w:val="20"/>
                <w:szCs w:val="20"/>
              </w:rPr>
            </w:pPr>
          </w:p>
          <w:p w:rsidRPr="00545333" w:rsidR="005E70B7" w:rsidP="0048723C" w:rsidRDefault="005E70B7" w14:paraId="15C9571D" w14:textId="77777777">
            <w:pPr>
              <w:rPr>
                <w:rFonts w:ascii="Arial" w:hAnsi="Arial" w:cs="Arial"/>
                <w:sz w:val="20"/>
                <w:szCs w:val="20"/>
              </w:rPr>
            </w:pPr>
          </w:p>
        </w:tc>
      </w:tr>
      <w:tr w:rsidRPr="00545333" w:rsidR="005E70B7" w:rsidTr="0048723C" w14:paraId="18066000" w14:textId="77777777">
        <w:trPr>
          <w:trHeight w:val="2967"/>
        </w:trPr>
        <w:tc>
          <w:tcPr>
            <w:tcW w:w="692" w:type="dxa"/>
          </w:tcPr>
          <w:p w:rsidRPr="00545333" w:rsidR="005E70B7" w:rsidP="0048723C" w:rsidRDefault="005E70B7" w14:paraId="21050373" w14:textId="77777777">
            <w:pPr>
              <w:rPr>
                <w:rFonts w:ascii="Arial" w:hAnsi="Arial" w:cs="Arial"/>
                <w:sz w:val="20"/>
                <w:szCs w:val="20"/>
              </w:rPr>
            </w:pPr>
            <w:r w:rsidRPr="00545333">
              <w:rPr>
                <w:rFonts w:ascii="Arial" w:hAnsi="Arial" w:cs="Arial"/>
                <w:sz w:val="20"/>
                <w:szCs w:val="20"/>
              </w:rPr>
              <w:t>6</w:t>
            </w:r>
          </w:p>
        </w:tc>
        <w:tc>
          <w:tcPr>
            <w:tcW w:w="2725" w:type="dxa"/>
          </w:tcPr>
          <w:p w:rsidRPr="00545333" w:rsidR="005E70B7" w:rsidP="0048723C" w:rsidRDefault="005E70B7" w14:paraId="58621B4F" w14:textId="77777777">
            <w:pPr>
              <w:rPr>
                <w:rFonts w:ascii="Arial" w:hAnsi="Arial" w:cs="Arial"/>
                <w:sz w:val="20"/>
                <w:szCs w:val="20"/>
              </w:rPr>
            </w:pPr>
            <w:r w:rsidRPr="00545333">
              <w:rPr>
                <w:rFonts w:ascii="Arial" w:hAnsi="Arial" w:cs="Arial"/>
                <w:sz w:val="20"/>
                <w:szCs w:val="20"/>
              </w:rPr>
              <w:t>Lichtere ontvankelijkheidstoets van acties vanwege niet opportuniteit zware toets</w:t>
            </w:r>
          </w:p>
        </w:tc>
        <w:tc>
          <w:tcPr>
            <w:tcW w:w="5600" w:type="dxa"/>
          </w:tcPr>
          <w:p w:rsidRPr="00545333" w:rsidR="005E70B7" w:rsidP="0048723C" w:rsidRDefault="005E70B7" w14:paraId="46BE78F2" w14:textId="77777777">
            <w:pPr>
              <w:rPr>
                <w:rFonts w:ascii="Arial" w:hAnsi="Arial" w:cs="Arial"/>
                <w:sz w:val="20"/>
                <w:szCs w:val="20"/>
              </w:rPr>
            </w:pPr>
            <w:r w:rsidRPr="00545333">
              <w:rPr>
                <w:rFonts w:ascii="Arial" w:hAnsi="Arial" w:cs="Arial"/>
                <w:sz w:val="20"/>
                <w:szCs w:val="20"/>
              </w:rPr>
              <w:t xml:space="preserve">Duidelijkheid is gewenst over wat wordt verstaan onder </w:t>
            </w:r>
          </w:p>
          <w:p w:rsidRPr="00545333" w:rsidR="005E70B7" w:rsidP="0048723C" w:rsidRDefault="005E70B7" w14:paraId="1432AE30" w14:textId="77777777">
            <w:pPr>
              <w:rPr>
                <w:rFonts w:ascii="Arial" w:hAnsi="Arial" w:cs="Arial"/>
                <w:sz w:val="20"/>
                <w:szCs w:val="20"/>
              </w:rPr>
            </w:pPr>
            <w:r w:rsidRPr="00545333">
              <w:rPr>
                <w:rFonts w:ascii="Arial" w:hAnsi="Arial" w:cs="Arial"/>
                <w:sz w:val="20"/>
                <w:szCs w:val="20"/>
              </w:rPr>
              <w:t>‘opmaat tot schadevergoeding’.</w:t>
            </w:r>
          </w:p>
          <w:p w:rsidRPr="00545333" w:rsidR="005E70B7" w:rsidP="0048723C" w:rsidRDefault="005E70B7" w14:paraId="77512BD8" w14:textId="77777777">
            <w:pPr>
              <w:rPr>
                <w:rFonts w:ascii="Arial" w:hAnsi="Arial" w:cs="Arial"/>
                <w:sz w:val="20"/>
                <w:szCs w:val="20"/>
              </w:rPr>
            </w:pPr>
          </w:p>
          <w:p w:rsidRPr="00545333" w:rsidR="005E70B7" w:rsidP="0048723C" w:rsidRDefault="005E70B7" w14:paraId="000BF775" w14:textId="77777777">
            <w:pPr>
              <w:rPr>
                <w:rFonts w:ascii="Arial" w:hAnsi="Arial" w:cs="Arial"/>
                <w:sz w:val="20"/>
                <w:szCs w:val="20"/>
              </w:rPr>
            </w:pPr>
          </w:p>
          <w:p w:rsidRPr="00545333" w:rsidR="005E70B7" w:rsidP="0048723C" w:rsidRDefault="005E70B7" w14:paraId="6620EBE3" w14:textId="77777777">
            <w:pPr>
              <w:rPr>
                <w:rFonts w:ascii="Arial" w:hAnsi="Arial" w:cs="Arial"/>
                <w:sz w:val="20"/>
                <w:szCs w:val="20"/>
              </w:rPr>
            </w:pPr>
          </w:p>
        </w:tc>
      </w:tr>
      <w:tr w:rsidRPr="00545333" w:rsidR="005E70B7" w:rsidTr="0048723C" w14:paraId="50781D0E" w14:textId="77777777">
        <w:tc>
          <w:tcPr>
            <w:tcW w:w="692" w:type="dxa"/>
          </w:tcPr>
          <w:p w:rsidRPr="00545333" w:rsidR="005E70B7" w:rsidP="0048723C" w:rsidRDefault="005E70B7" w14:paraId="479D9CC4" w14:textId="77777777">
            <w:pPr>
              <w:rPr>
                <w:rFonts w:ascii="Arial" w:hAnsi="Arial" w:cs="Arial"/>
                <w:b/>
                <w:bCs/>
                <w:sz w:val="20"/>
                <w:szCs w:val="20"/>
              </w:rPr>
            </w:pPr>
            <w:proofErr w:type="spellStart"/>
            <w:r>
              <w:rPr>
                <w:rFonts w:ascii="Arial" w:hAnsi="Arial" w:cs="Arial"/>
                <w:b/>
                <w:bCs/>
                <w:sz w:val="20"/>
                <w:szCs w:val="20"/>
              </w:rPr>
              <w:t>Nr</w:t>
            </w:r>
            <w:proofErr w:type="spellEnd"/>
          </w:p>
        </w:tc>
        <w:tc>
          <w:tcPr>
            <w:tcW w:w="2725" w:type="dxa"/>
          </w:tcPr>
          <w:p w:rsidRPr="00545333" w:rsidR="005E70B7" w:rsidP="0048723C" w:rsidRDefault="005E70B7" w14:paraId="0493F0F6" w14:textId="77777777">
            <w:pPr>
              <w:rPr>
                <w:rFonts w:ascii="Arial" w:hAnsi="Arial" w:cs="Arial"/>
                <w:b/>
                <w:bCs/>
                <w:sz w:val="20"/>
                <w:szCs w:val="20"/>
              </w:rPr>
            </w:pPr>
            <w:r w:rsidRPr="00545333">
              <w:rPr>
                <w:rFonts w:ascii="Arial" w:hAnsi="Arial" w:cs="Arial"/>
                <w:b/>
                <w:bCs/>
                <w:sz w:val="20"/>
                <w:szCs w:val="20"/>
              </w:rPr>
              <w:t>Doelstelling WAMCA</w:t>
            </w:r>
          </w:p>
        </w:tc>
        <w:tc>
          <w:tcPr>
            <w:tcW w:w="5600" w:type="dxa"/>
          </w:tcPr>
          <w:p w:rsidRPr="00545333" w:rsidR="005E70B7" w:rsidP="0048723C" w:rsidRDefault="005E70B7" w14:paraId="3A8FB41B" w14:textId="77777777">
            <w:pPr>
              <w:rPr>
                <w:rFonts w:ascii="Arial" w:hAnsi="Arial" w:cs="Arial"/>
                <w:b/>
                <w:bCs/>
                <w:sz w:val="20"/>
                <w:szCs w:val="20"/>
              </w:rPr>
            </w:pPr>
            <w:r w:rsidRPr="00545333">
              <w:rPr>
                <w:rFonts w:ascii="Arial" w:hAnsi="Arial" w:cs="Arial"/>
                <w:b/>
                <w:bCs/>
                <w:sz w:val="20"/>
                <w:szCs w:val="20"/>
              </w:rPr>
              <w:t>Concrete aanbevelingen (mogelijke) wetswijzigingen</w:t>
            </w:r>
          </w:p>
          <w:p w:rsidRPr="00545333" w:rsidR="005E70B7" w:rsidP="0048723C" w:rsidRDefault="005E70B7" w14:paraId="35FD4620" w14:textId="77777777">
            <w:pPr>
              <w:rPr>
                <w:rFonts w:ascii="Arial" w:hAnsi="Arial" w:cs="Arial"/>
                <w:b/>
                <w:bCs/>
                <w:sz w:val="20"/>
                <w:szCs w:val="20"/>
              </w:rPr>
            </w:pPr>
          </w:p>
        </w:tc>
      </w:tr>
      <w:tr w:rsidRPr="00545333" w:rsidR="005E70B7" w:rsidTr="0048723C" w14:paraId="42685F37" w14:textId="77777777">
        <w:tc>
          <w:tcPr>
            <w:tcW w:w="692" w:type="dxa"/>
          </w:tcPr>
          <w:p w:rsidRPr="00545333" w:rsidR="005E70B7" w:rsidP="0048723C" w:rsidRDefault="005E70B7" w14:paraId="2AFF7D5A" w14:textId="77777777">
            <w:pPr>
              <w:rPr>
                <w:rFonts w:ascii="Arial" w:hAnsi="Arial" w:cs="Arial"/>
                <w:sz w:val="20"/>
                <w:szCs w:val="20"/>
              </w:rPr>
            </w:pPr>
            <w:r w:rsidRPr="00545333">
              <w:rPr>
                <w:rFonts w:ascii="Arial" w:hAnsi="Arial" w:cs="Arial"/>
                <w:sz w:val="20"/>
                <w:szCs w:val="20"/>
              </w:rPr>
              <w:t>7</w:t>
            </w:r>
          </w:p>
        </w:tc>
        <w:tc>
          <w:tcPr>
            <w:tcW w:w="2725" w:type="dxa"/>
          </w:tcPr>
          <w:p w:rsidRPr="00545333" w:rsidR="005E70B7" w:rsidP="0048723C" w:rsidRDefault="005E70B7" w14:paraId="2678A250" w14:textId="77777777">
            <w:pPr>
              <w:rPr>
                <w:rFonts w:ascii="Arial" w:hAnsi="Arial" w:cs="Arial"/>
                <w:sz w:val="20"/>
                <w:szCs w:val="20"/>
              </w:rPr>
            </w:pPr>
            <w:r w:rsidRPr="00545333">
              <w:rPr>
                <w:rFonts w:ascii="Arial" w:hAnsi="Arial" w:cs="Arial"/>
                <w:sz w:val="20"/>
                <w:szCs w:val="20"/>
              </w:rPr>
              <w:t>Collectieve schadeafwikkeling mogelijk maken</w:t>
            </w:r>
          </w:p>
        </w:tc>
        <w:tc>
          <w:tcPr>
            <w:tcW w:w="5600" w:type="dxa"/>
          </w:tcPr>
          <w:p w:rsidRPr="00545333" w:rsidR="005E70B7" w:rsidP="0048723C" w:rsidRDefault="005E70B7" w14:paraId="7CF7AEE0" w14:textId="77777777">
            <w:pPr>
              <w:rPr>
                <w:rFonts w:ascii="Arial" w:hAnsi="Arial" w:cs="Arial"/>
                <w:sz w:val="20"/>
                <w:szCs w:val="20"/>
              </w:rPr>
            </w:pPr>
            <w:r w:rsidRPr="00545333">
              <w:rPr>
                <w:rFonts w:ascii="Arial" w:hAnsi="Arial" w:cs="Arial"/>
                <w:sz w:val="20"/>
                <w:szCs w:val="20"/>
              </w:rPr>
              <w:t xml:space="preserve">Overweeg om rechters de mogelijkheid te bieden een </w:t>
            </w:r>
            <w:proofErr w:type="spellStart"/>
            <w:r w:rsidRPr="00545333">
              <w:rPr>
                <w:rFonts w:ascii="Arial" w:hAnsi="Arial" w:cs="Arial"/>
                <w:sz w:val="20"/>
                <w:szCs w:val="20"/>
              </w:rPr>
              <w:t>amicus</w:t>
            </w:r>
            <w:proofErr w:type="spellEnd"/>
            <w:r w:rsidRPr="00545333">
              <w:rPr>
                <w:rFonts w:ascii="Arial" w:hAnsi="Arial" w:cs="Arial"/>
                <w:sz w:val="20"/>
                <w:szCs w:val="20"/>
              </w:rPr>
              <w:t xml:space="preserve"> </w:t>
            </w:r>
            <w:proofErr w:type="spellStart"/>
            <w:r w:rsidRPr="00545333">
              <w:rPr>
                <w:rFonts w:ascii="Arial" w:hAnsi="Arial" w:cs="Arial"/>
                <w:sz w:val="20"/>
                <w:szCs w:val="20"/>
              </w:rPr>
              <w:t>curiae</w:t>
            </w:r>
            <w:proofErr w:type="spellEnd"/>
            <w:r w:rsidRPr="00545333">
              <w:rPr>
                <w:rFonts w:ascii="Arial" w:hAnsi="Arial" w:cs="Arial"/>
                <w:sz w:val="20"/>
                <w:szCs w:val="20"/>
              </w:rPr>
              <w:t xml:space="preserve"> in te zetten in een 305a-actie.</w:t>
            </w:r>
          </w:p>
          <w:p w:rsidRPr="00545333" w:rsidR="005E70B7" w:rsidP="0048723C" w:rsidRDefault="005E70B7" w14:paraId="44FCC315" w14:textId="77777777">
            <w:pPr>
              <w:rPr>
                <w:rFonts w:ascii="Arial" w:hAnsi="Arial" w:cs="Arial"/>
                <w:sz w:val="20"/>
                <w:szCs w:val="20"/>
              </w:rPr>
            </w:pPr>
          </w:p>
          <w:p w:rsidRPr="004507BA" w:rsidR="005E70B7" w:rsidP="0048723C" w:rsidRDefault="005E70B7" w14:paraId="2FD4D246" w14:textId="77777777">
            <w:pPr>
              <w:rPr>
                <w:rFonts w:ascii="Arial" w:hAnsi="Arial" w:cs="Arial"/>
                <w:sz w:val="20"/>
                <w:szCs w:val="20"/>
              </w:rPr>
            </w:pPr>
          </w:p>
          <w:p w:rsidRPr="00545333" w:rsidR="005E70B7" w:rsidP="0048723C" w:rsidRDefault="005E70B7" w14:paraId="12939283" w14:textId="77777777">
            <w:pPr>
              <w:rPr>
                <w:rFonts w:ascii="Arial" w:hAnsi="Arial" w:cs="Arial"/>
                <w:sz w:val="20"/>
                <w:szCs w:val="20"/>
              </w:rPr>
            </w:pPr>
          </w:p>
        </w:tc>
      </w:tr>
      <w:tr w:rsidRPr="00545333" w:rsidR="005E70B7" w:rsidTr="0048723C" w14:paraId="167A6E07" w14:textId="77777777">
        <w:tc>
          <w:tcPr>
            <w:tcW w:w="692" w:type="dxa"/>
          </w:tcPr>
          <w:p w:rsidRPr="00545333" w:rsidR="005E70B7" w:rsidP="0048723C" w:rsidRDefault="005E70B7" w14:paraId="3919A097" w14:textId="77777777">
            <w:pPr>
              <w:rPr>
                <w:rFonts w:ascii="Arial" w:hAnsi="Arial" w:cs="Arial"/>
                <w:sz w:val="20"/>
                <w:szCs w:val="20"/>
              </w:rPr>
            </w:pPr>
            <w:r w:rsidRPr="00545333">
              <w:rPr>
                <w:rFonts w:ascii="Arial" w:hAnsi="Arial" w:cs="Arial"/>
                <w:sz w:val="20"/>
                <w:szCs w:val="20"/>
              </w:rPr>
              <w:t>8</w:t>
            </w:r>
          </w:p>
        </w:tc>
        <w:tc>
          <w:tcPr>
            <w:tcW w:w="2725" w:type="dxa"/>
          </w:tcPr>
          <w:p w:rsidRPr="00545333" w:rsidR="005E70B7" w:rsidP="0048723C" w:rsidRDefault="005E70B7" w14:paraId="27329201" w14:textId="77777777">
            <w:pPr>
              <w:rPr>
                <w:rFonts w:ascii="Arial" w:hAnsi="Arial" w:cs="Arial"/>
                <w:sz w:val="20"/>
                <w:szCs w:val="20"/>
              </w:rPr>
            </w:pPr>
            <w:r w:rsidRPr="00545333">
              <w:rPr>
                <w:rFonts w:ascii="Arial" w:hAnsi="Arial" w:cs="Arial"/>
                <w:sz w:val="20"/>
                <w:szCs w:val="20"/>
              </w:rPr>
              <w:t xml:space="preserve">Komen tot een </w:t>
            </w:r>
          </w:p>
          <w:p w:rsidRPr="00545333" w:rsidR="005E70B7" w:rsidP="0048723C" w:rsidRDefault="005E70B7" w14:paraId="5A17FF56" w14:textId="77777777">
            <w:pPr>
              <w:rPr>
                <w:rFonts w:ascii="Arial" w:hAnsi="Arial" w:cs="Arial"/>
                <w:sz w:val="20"/>
                <w:szCs w:val="20"/>
              </w:rPr>
            </w:pPr>
            <w:r w:rsidRPr="00545333">
              <w:rPr>
                <w:rFonts w:ascii="Arial" w:hAnsi="Arial" w:cs="Arial"/>
                <w:sz w:val="20"/>
                <w:szCs w:val="20"/>
              </w:rPr>
              <w:t xml:space="preserve">gecoördineerde, efficiënte </w:t>
            </w:r>
          </w:p>
          <w:p w:rsidRPr="00545333" w:rsidR="005E70B7" w:rsidP="0048723C" w:rsidRDefault="005E70B7" w14:paraId="65AB7150" w14:textId="77777777">
            <w:pPr>
              <w:rPr>
                <w:rFonts w:ascii="Arial" w:hAnsi="Arial" w:cs="Arial"/>
                <w:sz w:val="20"/>
                <w:szCs w:val="20"/>
              </w:rPr>
            </w:pPr>
            <w:r w:rsidRPr="00545333">
              <w:rPr>
                <w:rFonts w:ascii="Arial" w:hAnsi="Arial" w:cs="Arial"/>
                <w:sz w:val="20"/>
                <w:szCs w:val="20"/>
              </w:rPr>
              <w:t xml:space="preserve">en effectieve afwikkeling </w:t>
            </w:r>
          </w:p>
          <w:p w:rsidRPr="00545333" w:rsidR="005E70B7" w:rsidP="0048723C" w:rsidRDefault="005E70B7" w14:paraId="7D26F98D" w14:textId="77777777">
            <w:pPr>
              <w:rPr>
                <w:rFonts w:ascii="Arial" w:hAnsi="Arial" w:cs="Arial"/>
                <w:sz w:val="20"/>
                <w:szCs w:val="20"/>
              </w:rPr>
            </w:pPr>
            <w:r w:rsidRPr="00545333">
              <w:rPr>
                <w:rFonts w:ascii="Arial" w:hAnsi="Arial" w:cs="Arial"/>
                <w:sz w:val="20"/>
                <w:szCs w:val="20"/>
              </w:rPr>
              <w:t>van 305a-acties</w:t>
            </w:r>
          </w:p>
        </w:tc>
        <w:tc>
          <w:tcPr>
            <w:tcW w:w="5600" w:type="dxa"/>
          </w:tcPr>
          <w:p w:rsidRPr="00545333" w:rsidR="005E70B7" w:rsidP="0048723C" w:rsidRDefault="005E70B7" w14:paraId="5B40A137" w14:textId="77777777">
            <w:pPr>
              <w:rPr>
                <w:rFonts w:ascii="Arial" w:hAnsi="Arial" w:cs="Arial"/>
                <w:sz w:val="20"/>
                <w:szCs w:val="20"/>
              </w:rPr>
            </w:pPr>
            <w:r w:rsidRPr="00545333">
              <w:rPr>
                <w:rFonts w:ascii="Arial" w:hAnsi="Arial" w:cs="Arial"/>
                <w:sz w:val="20"/>
                <w:szCs w:val="20"/>
              </w:rPr>
              <w:t xml:space="preserve">Overweeg om de rechter de ruimte te geven om de 3/6 maandentermijn over te slaan in lid-6-acties als onwaarschijnlijk is dat een andere 305a-organisatie zich gaat registreren. De reguliere regels over tussenkomst en voeging zouden dan wel van toepassing moeten blijven. </w:t>
            </w:r>
          </w:p>
          <w:p w:rsidRPr="00545333" w:rsidR="005E70B7" w:rsidP="0048723C" w:rsidRDefault="005E70B7" w14:paraId="597592B8" w14:textId="77777777">
            <w:pPr>
              <w:rPr>
                <w:rFonts w:ascii="Arial" w:hAnsi="Arial" w:cs="Arial"/>
                <w:sz w:val="20"/>
                <w:szCs w:val="20"/>
              </w:rPr>
            </w:pPr>
          </w:p>
          <w:p w:rsidRPr="004507BA" w:rsidR="005E70B7" w:rsidP="0048723C" w:rsidRDefault="005E70B7" w14:paraId="0E8A9196" w14:textId="77777777">
            <w:pPr>
              <w:rPr>
                <w:rFonts w:ascii="Arial" w:hAnsi="Arial" w:cs="Arial"/>
                <w:sz w:val="20"/>
                <w:szCs w:val="20"/>
              </w:rPr>
            </w:pPr>
          </w:p>
          <w:p w:rsidRPr="00545333" w:rsidR="005E70B7" w:rsidP="0048723C" w:rsidRDefault="005E70B7" w14:paraId="74FFDAD1" w14:textId="77777777">
            <w:pPr>
              <w:rPr>
                <w:rFonts w:ascii="Arial" w:hAnsi="Arial" w:cs="Arial"/>
                <w:sz w:val="20"/>
                <w:szCs w:val="20"/>
              </w:rPr>
            </w:pPr>
          </w:p>
        </w:tc>
      </w:tr>
      <w:tr w:rsidRPr="00545333" w:rsidR="005E70B7" w:rsidTr="0048723C" w14:paraId="54DA9868" w14:textId="77777777">
        <w:tc>
          <w:tcPr>
            <w:tcW w:w="692" w:type="dxa"/>
          </w:tcPr>
          <w:p w:rsidRPr="00545333" w:rsidR="005E70B7" w:rsidP="0048723C" w:rsidRDefault="005E70B7" w14:paraId="71DBBDCF" w14:textId="77777777">
            <w:pPr>
              <w:rPr>
                <w:rFonts w:ascii="Arial" w:hAnsi="Arial" w:cs="Arial"/>
                <w:sz w:val="20"/>
                <w:szCs w:val="20"/>
              </w:rPr>
            </w:pPr>
            <w:r w:rsidRPr="00545333">
              <w:rPr>
                <w:rFonts w:ascii="Arial" w:hAnsi="Arial" w:cs="Arial"/>
                <w:sz w:val="20"/>
                <w:szCs w:val="20"/>
              </w:rPr>
              <w:t>9</w:t>
            </w:r>
          </w:p>
        </w:tc>
        <w:tc>
          <w:tcPr>
            <w:tcW w:w="2725" w:type="dxa"/>
          </w:tcPr>
          <w:p w:rsidRPr="00545333" w:rsidR="005E70B7" w:rsidP="0048723C" w:rsidRDefault="005E70B7" w14:paraId="160DA20B" w14:textId="77777777">
            <w:pPr>
              <w:rPr>
                <w:rFonts w:ascii="Arial" w:hAnsi="Arial" w:cs="Arial"/>
                <w:sz w:val="20"/>
                <w:szCs w:val="20"/>
              </w:rPr>
            </w:pPr>
            <w:r w:rsidRPr="00545333">
              <w:rPr>
                <w:rFonts w:ascii="Arial" w:hAnsi="Arial" w:cs="Arial"/>
                <w:sz w:val="20"/>
                <w:szCs w:val="20"/>
              </w:rPr>
              <w:t xml:space="preserve">Komen tot een </w:t>
            </w:r>
          </w:p>
          <w:p w:rsidRPr="00545333" w:rsidR="005E70B7" w:rsidP="0048723C" w:rsidRDefault="005E70B7" w14:paraId="240E2C95" w14:textId="77777777">
            <w:pPr>
              <w:rPr>
                <w:rFonts w:ascii="Arial" w:hAnsi="Arial" w:cs="Arial"/>
                <w:sz w:val="20"/>
                <w:szCs w:val="20"/>
              </w:rPr>
            </w:pPr>
            <w:r w:rsidRPr="00545333">
              <w:rPr>
                <w:rFonts w:ascii="Arial" w:hAnsi="Arial" w:cs="Arial"/>
                <w:sz w:val="20"/>
                <w:szCs w:val="20"/>
              </w:rPr>
              <w:t xml:space="preserve">gecoördineerde, efficiënte </w:t>
            </w:r>
          </w:p>
          <w:p w:rsidRPr="00545333" w:rsidR="005E70B7" w:rsidP="0048723C" w:rsidRDefault="005E70B7" w14:paraId="4ED10687" w14:textId="77777777">
            <w:pPr>
              <w:rPr>
                <w:rFonts w:ascii="Arial" w:hAnsi="Arial" w:cs="Arial"/>
                <w:sz w:val="20"/>
                <w:szCs w:val="20"/>
              </w:rPr>
            </w:pPr>
            <w:r w:rsidRPr="00545333">
              <w:rPr>
                <w:rFonts w:ascii="Arial" w:hAnsi="Arial" w:cs="Arial"/>
                <w:sz w:val="20"/>
                <w:szCs w:val="20"/>
              </w:rPr>
              <w:t xml:space="preserve">en effectieve afwikkeling </w:t>
            </w:r>
          </w:p>
          <w:p w:rsidRPr="00545333" w:rsidR="005E70B7" w:rsidP="0048723C" w:rsidRDefault="005E70B7" w14:paraId="43F43DF0" w14:textId="77777777">
            <w:pPr>
              <w:rPr>
                <w:rFonts w:ascii="Arial" w:hAnsi="Arial" w:cs="Arial"/>
                <w:sz w:val="20"/>
                <w:szCs w:val="20"/>
              </w:rPr>
            </w:pPr>
            <w:r w:rsidRPr="00545333">
              <w:rPr>
                <w:rFonts w:ascii="Arial" w:hAnsi="Arial" w:cs="Arial"/>
                <w:sz w:val="20"/>
                <w:szCs w:val="20"/>
              </w:rPr>
              <w:t>van 305a-acties</w:t>
            </w:r>
          </w:p>
        </w:tc>
        <w:tc>
          <w:tcPr>
            <w:tcW w:w="5600" w:type="dxa"/>
          </w:tcPr>
          <w:p w:rsidRPr="00545333" w:rsidR="005E70B7" w:rsidP="0048723C" w:rsidRDefault="005E70B7" w14:paraId="0BF8F250" w14:textId="77777777">
            <w:pPr>
              <w:rPr>
                <w:rFonts w:ascii="Arial" w:hAnsi="Arial" w:cs="Arial"/>
                <w:sz w:val="20"/>
                <w:szCs w:val="20"/>
              </w:rPr>
            </w:pPr>
            <w:r w:rsidRPr="00545333">
              <w:rPr>
                <w:rFonts w:ascii="Arial" w:hAnsi="Arial" w:cs="Arial"/>
                <w:sz w:val="20"/>
                <w:szCs w:val="20"/>
              </w:rPr>
              <w:t>Introduceer een wettelijke regel over (het loslaten van de verplichting tot) aanwijzen van een EB als één 305a organisatie een registeraantekening maakt, of als meerdere belangenorganisaties gezamenlijk één dagvaarding registeren. Een alternatief is: geef de rechter bij wet de mogelijkheid om deze stap over te slaan in deze gevallen.</w:t>
            </w:r>
          </w:p>
          <w:p w:rsidRPr="00545333" w:rsidR="005E70B7" w:rsidP="0048723C" w:rsidRDefault="005E70B7" w14:paraId="68749D89" w14:textId="77777777">
            <w:pPr>
              <w:rPr>
                <w:rFonts w:ascii="Arial" w:hAnsi="Arial" w:cs="Arial"/>
                <w:sz w:val="20"/>
                <w:szCs w:val="20"/>
              </w:rPr>
            </w:pPr>
          </w:p>
          <w:p w:rsidRPr="004507BA" w:rsidR="005E70B7" w:rsidP="0048723C" w:rsidRDefault="005E70B7" w14:paraId="5CCC6CA1" w14:textId="77777777">
            <w:pPr>
              <w:rPr>
                <w:rFonts w:ascii="Arial" w:hAnsi="Arial" w:cs="Arial"/>
                <w:sz w:val="20"/>
                <w:szCs w:val="20"/>
              </w:rPr>
            </w:pPr>
          </w:p>
          <w:p w:rsidRPr="00545333" w:rsidR="005E70B7" w:rsidP="0048723C" w:rsidRDefault="005E70B7" w14:paraId="297050DB" w14:textId="77777777">
            <w:pPr>
              <w:rPr>
                <w:rFonts w:ascii="Arial" w:hAnsi="Arial" w:cs="Arial"/>
                <w:sz w:val="20"/>
                <w:szCs w:val="20"/>
              </w:rPr>
            </w:pPr>
          </w:p>
        </w:tc>
      </w:tr>
      <w:tr w:rsidRPr="00545333" w:rsidR="005E70B7" w:rsidTr="0048723C" w14:paraId="6EBF6AB2" w14:textId="77777777">
        <w:tc>
          <w:tcPr>
            <w:tcW w:w="692" w:type="dxa"/>
          </w:tcPr>
          <w:p w:rsidRPr="00545333" w:rsidR="005E70B7" w:rsidP="0048723C" w:rsidRDefault="005E70B7" w14:paraId="6115A61F" w14:textId="77777777">
            <w:pPr>
              <w:rPr>
                <w:rFonts w:ascii="Arial" w:hAnsi="Arial" w:cs="Arial"/>
                <w:sz w:val="20"/>
                <w:szCs w:val="20"/>
              </w:rPr>
            </w:pPr>
            <w:r w:rsidRPr="00545333">
              <w:rPr>
                <w:rFonts w:ascii="Arial" w:hAnsi="Arial" w:cs="Arial"/>
                <w:sz w:val="20"/>
                <w:szCs w:val="20"/>
              </w:rPr>
              <w:t>10</w:t>
            </w:r>
          </w:p>
        </w:tc>
        <w:tc>
          <w:tcPr>
            <w:tcW w:w="2725" w:type="dxa"/>
          </w:tcPr>
          <w:p w:rsidRPr="00545333" w:rsidR="005E70B7" w:rsidP="0048723C" w:rsidRDefault="005E70B7" w14:paraId="1692D306" w14:textId="77777777">
            <w:pPr>
              <w:rPr>
                <w:rFonts w:ascii="Arial" w:hAnsi="Arial" w:cs="Arial"/>
                <w:sz w:val="20"/>
                <w:szCs w:val="20"/>
              </w:rPr>
            </w:pPr>
            <w:r w:rsidRPr="00545333">
              <w:rPr>
                <w:rFonts w:ascii="Arial" w:hAnsi="Arial" w:cs="Arial"/>
                <w:sz w:val="20"/>
                <w:szCs w:val="20"/>
              </w:rPr>
              <w:t xml:space="preserve">Komen tot een </w:t>
            </w:r>
          </w:p>
          <w:p w:rsidRPr="00545333" w:rsidR="005E70B7" w:rsidP="0048723C" w:rsidRDefault="005E70B7" w14:paraId="19B645E7" w14:textId="77777777">
            <w:pPr>
              <w:rPr>
                <w:rFonts w:ascii="Arial" w:hAnsi="Arial" w:cs="Arial"/>
                <w:sz w:val="20"/>
                <w:szCs w:val="20"/>
              </w:rPr>
            </w:pPr>
            <w:r w:rsidRPr="00545333">
              <w:rPr>
                <w:rFonts w:ascii="Arial" w:hAnsi="Arial" w:cs="Arial"/>
                <w:sz w:val="20"/>
                <w:szCs w:val="20"/>
              </w:rPr>
              <w:t xml:space="preserve">gecoördineerde, efficiënte </w:t>
            </w:r>
          </w:p>
          <w:p w:rsidRPr="00545333" w:rsidR="005E70B7" w:rsidP="0048723C" w:rsidRDefault="005E70B7" w14:paraId="00A475A8" w14:textId="77777777">
            <w:pPr>
              <w:rPr>
                <w:rFonts w:ascii="Arial" w:hAnsi="Arial" w:cs="Arial"/>
                <w:sz w:val="20"/>
                <w:szCs w:val="20"/>
              </w:rPr>
            </w:pPr>
            <w:r w:rsidRPr="00545333">
              <w:rPr>
                <w:rFonts w:ascii="Arial" w:hAnsi="Arial" w:cs="Arial"/>
                <w:sz w:val="20"/>
                <w:szCs w:val="20"/>
              </w:rPr>
              <w:t xml:space="preserve">en effectieve afwikkeling </w:t>
            </w:r>
          </w:p>
          <w:p w:rsidRPr="00545333" w:rsidR="005E70B7" w:rsidP="0048723C" w:rsidRDefault="005E70B7" w14:paraId="40424D20" w14:textId="77777777">
            <w:pPr>
              <w:rPr>
                <w:rFonts w:ascii="Arial" w:hAnsi="Arial" w:cs="Arial"/>
                <w:sz w:val="20"/>
                <w:szCs w:val="20"/>
              </w:rPr>
            </w:pPr>
            <w:r w:rsidRPr="00545333">
              <w:rPr>
                <w:rFonts w:ascii="Arial" w:hAnsi="Arial" w:cs="Arial"/>
                <w:sz w:val="20"/>
                <w:szCs w:val="20"/>
              </w:rPr>
              <w:t>van 305a-acties</w:t>
            </w:r>
          </w:p>
        </w:tc>
        <w:tc>
          <w:tcPr>
            <w:tcW w:w="5600" w:type="dxa"/>
          </w:tcPr>
          <w:p w:rsidRPr="00545333" w:rsidR="005E70B7" w:rsidP="0048723C" w:rsidRDefault="005E70B7" w14:paraId="4A95AD13" w14:textId="77777777">
            <w:pPr>
              <w:rPr>
                <w:rFonts w:ascii="Arial" w:hAnsi="Arial" w:cs="Arial"/>
                <w:sz w:val="20"/>
                <w:szCs w:val="20"/>
              </w:rPr>
            </w:pPr>
            <w:r w:rsidRPr="00545333">
              <w:rPr>
                <w:rFonts w:ascii="Arial" w:hAnsi="Arial" w:cs="Arial"/>
                <w:sz w:val="20"/>
                <w:szCs w:val="20"/>
              </w:rPr>
              <w:t>Geef de rechter (bij wet) de mogelijkheid om geen nauw omschreven groep vast te stellen als een groep diffuus en onbepaald is, waardoor de vaststelling daarvan de facto niet mogelijk is.</w:t>
            </w:r>
          </w:p>
          <w:p w:rsidRPr="00545333" w:rsidR="005E70B7" w:rsidP="0048723C" w:rsidRDefault="005E70B7" w14:paraId="6B1D9F25" w14:textId="77777777">
            <w:pPr>
              <w:rPr>
                <w:rFonts w:ascii="Arial" w:hAnsi="Arial" w:cs="Arial"/>
                <w:sz w:val="20"/>
                <w:szCs w:val="20"/>
              </w:rPr>
            </w:pPr>
          </w:p>
          <w:p w:rsidRPr="004507BA" w:rsidR="005E70B7" w:rsidP="0048723C" w:rsidRDefault="005E70B7" w14:paraId="6A6F4833" w14:textId="77777777">
            <w:pPr>
              <w:rPr>
                <w:rFonts w:ascii="Arial" w:hAnsi="Arial" w:cs="Arial"/>
                <w:sz w:val="20"/>
                <w:szCs w:val="20"/>
              </w:rPr>
            </w:pPr>
          </w:p>
          <w:p w:rsidRPr="00545333" w:rsidR="005E70B7" w:rsidP="0048723C" w:rsidRDefault="005E70B7" w14:paraId="4A31ACCF" w14:textId="77777777">
            <w:pPr>
              <w:rPr>
                <w:rFonts w:ascii="Arial" w:hAnsi="Arial" w:cs="Arial"/>
                <w:sz w:val="20"/>
                <w:szCs w:val="20"/>
              </w:rPr>
            </w:pPr>
          </w:p>
        </w:tc>
      </w:tr>
      <w:tr w:rsidRPr="00545333" w:rsidR="005E70B7" w:rsidTr="0048723C" w14:paraId="3D0F0039" w14:textId="77777777">
        <w:tc>
          <w:tcPr>
            <w:tcW w:w="692" w:type="dxa"/>
          </w:tcPr>
          <w:p w:rsidRPr="00545333" w:rsidR="005E70B7" w:rsidP="0048723C" w:rsidRDefault="005E70B7" w14:paraId="406D2547" w14:textId="77777777">
            <w:pPr>
              <w:rPr>
                <w:rFonts w:ascii="Arial" w:hAnsi="Arial" w:cs="Arial"/>
                <w:sz w:val="20"/>
                <w:szCs w:val="20"/>
              </w:rPr>
            </w:pPr>
            <w:r w:rsidRPr="00545333">
              <w:rPr>
                <w:rFonts w:ascii="Arial" w:hAnsi="Arial" w:cs="Arial"/>
                <w:sz w:val="20"/>
                <w:szCs w:val="20"/>
              </w:rPr>
              <w:t>11</w:t>
            </w:r>
          </w:p>
        </w:tc>
        <w:tc>
          <w:tcPr>
            <w:tcW w:w="2725" w:type="dxa"/>
          </w:tcPr>
          <w:p w:rsidRPr="00545333" w:rsidR="005E70B7" w:rsidP="0048723C" w:rsidRDefault="005E70B7" w14:paraId="363BDCF3" w14:textId="77777777">
            <w:pPr>
              <w:rPr>
                <w:rFonts w:ascii="Arial" w:hAnsi="Arial" w:cs="Arial"/>
                <w:sz w:val="20"/>
                <w:szCs w:val="20"/>
              </w:rPr>
            </w:pPr>
            <w:r w:rsidRPr="00545333">
              <w:rPr>
                <w:rFonts w:ascii="Arial" w:hAnsi="Arial" w:cs="Arial"/>
                <w:sz w:val="20"/>
                <w:szCs w:val="20"/>
              </w:rPr>
              <w:t xml:space="preserve">Komen tot een </w:t>
            </w:r>
          </w:p>
          <w:p w:rsidRPr="00545333" w:rsidR="005E70B7" w:rsidP="0048723C" w:rsidRDefault="005E70B7" w14:paraId="31982D0C" w14:textId="77777777">
            <w:pPr>
              <w:rPr>
                <w:rFonts w:ascii="Arial" w:hAnsi="Arial" w:cs="Arial"/>
                <w:sz w:val="20"/>
                <w:szCs w:val="20"/>
              </w:rPr>
            </w:pPr>
            <w:r w:rsidRPr="00545333">
              <w:rPr>
                <w:rFonts w:ascii="Arial" w:hAnsi="Arial" w:cs="Arial"/>
                <w:sz w:val="20"/>
                <w:szCs w:val="20"/>
              </w:rPr>
              <w:t xml:space="preserve">gecoördineerde, efficiënte </w:t>
            </w:r>
          </w:p>
          <w:p w:rsidRPr="00545333" w:rsidR="005E70B7" w:rsidP="0048723C" w:rsidRDefault="005E70B7" w14:paraId="3604E5E0" w14:textId="77777777">
            <w:pPr>
              <w:rPr>
                <w:rFonts w:ascii="Arial" w:hAnsi="Arial" w:cs="Arial"/>
                <w:sz w:val="20"/>
                <w:szCs w:val="20"/>
              </w:rPr>
            </w:pPr>
            <w:r w:rsidRPr="00545333">
              <w:rPr>
                <w:rFonts w:ascii="Arial" w:hAnsi="Arial" w:cs="Arial"/>
                <w:sz w:val="20"/>
                <w:szCs w:val="20"/>
              </w:rPr>
              <w:t xml:space="preserve">en effectieve afwikkeling </w:t>
            </w:r>
          </w:p>
          <w:p w:rsidRPr="00545333" w:rsidR="005E70B7" w:rsidP="0048723C" w:rsidRDefault="005E70B7" w14:paraId="74F384E9" w14:textId="77777777">
            <w:pPr>
              <w:rPr>
                <w:rFonts w:ascii="Arial" w:hAnsi="Arial" w:cs="Arial"/>
                <w:sz w:val="20"/>
                <w:szCs w:val="20"/>
              </w:rPr>
            </w:pPr>
            <w:r w:rsidRPr="00545333">
              <w:rPr>
                <w:rFonts w:ascii="Arial" w:hAnsi="Arial" w:cs="Arial"/>
                <w:sz w:val="20"/>
                <w:szCs w:val="20"/>
              </w:rPr>
              <w:t>van 305a-acties</w:t>
            </w:r>
          </w:p>
        </w:tc>
        <w:tc>
          <w:tcPr>
            <w:tcW w:w="5600" w:type="dxa"/>
          </w:tcPr>
          <w:p w:rsidRPr="00545333" w:rsidR="005E70B7" w:rsidP="0048723C" w:rsidRDefault="005E70B7" w14:paraId="3D3EC3E0" w14:textId="77777777">
            <w:pPr>
              <w:rPr>
                <w:rFonts w:ascii="Arial" w:hAnsi="Arial" w:cs="Arial"/>
                <w:sz w:val="20"/>
                <w:szCs w:val="20"/>
              </w:rPr>
            </w:pPr>
            <w:r w:rsidRPr="00545333">
              <w:rPr>
                <w:rFonts w:ascii="Arial" w:hAnsi="Arial" w:cs="Arial"/>
                <w:sz w:val="20"/>
                <w:szCs w:val="20"/>
              </w:rPr>
              <w:t xml:space="preserve">Geef de rechter (bij wet) de mogelijkheid om in geval van een lid-6-actie de </w:t>
            </w:r>
            <w:proofErr w:type="spellStart"/>
            <w:r w:rsidRPr="00545333">
              <w:rPr>
                <w:rFonts w:ascii="Arial" w:hAnsi="Arial" w:cs="Arial"/>
                <w:sz w:val="20"/>
                <w:szCs w:val="20"/>
              </w:rPr>
              <w:t>opt</w:t>
            </w:r>
            <w:proofErr w:type="spellEnd"/>
            <w:r w:rsidRPr="00545333">
              <w:rPr>
                <w:rFonts w:ascii="Arial" w:hAnsi="Arial" w:cs="Arial"/>
                <w:sz w:val="20"/>
                <w:szCs w:val="20"/>
              </w:rPr>
              <w:t>-out-fase over te slaan als daarin wordt opgekomen voor een algemeen belang waarbij een individu zich niet kan onttrekken aan de uitkomst.</w:t>
            </w:r>
          </w:p>
          <w:p w:rsidRPr="00545333" w:rsidR="005E70B7" w:rsidP="0048723C" w:rsidRDefault="005E70B7" w14:paraId="2BED2B23" w14:textId="77777777">
            <w:pPr>
              <w:rPr>
                <w:rFonts w:ascii="Arial" w:hAnsi="Arial" w:cs="Arial"/>
                <w:sz w:val="20"/>
                <w:szCs w:val="20"/>
              </w:rPr>
            </w:pPr>
          </w:p>
          <w:p w:rsidRPr="004507BA" w:rsidR="005E70B7" w:rsidP="0048723C" w:rsidRDefault="005E70B7" w14:paraId="449CB17C" w14:textId="77777777">
            <w:pPr>
              <w:rPr>
                <w:rFonts w:ascii="Arial" w:hAnsi="Arial" w:cs="Arial"/>
                <w:sz w:val="20"/>
                <w:szCs w:val="20"/>
              </w:rPr>
            </w:pPr>
          </w:p>
          <w:p w:rsidRPr="00545333" w:rsidR="005E70B7" w:rsidP="0048723C" w:rsidRDefault="005E70B7" w14:paraId="4A51BEBC" w14:textId="77777777">
            <w:pPr>
              <w:rPr>
                <w:rFonts w:ascii="Arial" w:hAnsi="Arial" w:cs="Arial"/>
                <w:sz w:val="20"/>
                <w:szCs w:val="20"/>
              </w:rPr>
            </w:pPr>
          </w:p>
        </w:tc>
      </w:tr>
      <w:tr w:rsidRPr="00545333" w:rsidR="005E70B7" w:rsidTr="0048723C" w14:paraId="11383638" w14:textId="77777777">
        <w:tc>
          <w:tcPr>
            <w:tcW w:w="692" w:type="dxa"/>
          </w:tcPr>
          <w:p w:rsidRPr="00545333" w:rsidR="005E70B7" w:rsidP="0048723C" w:rsidRDefault="005E70B7" w14:paraId="038860F4" w14:textId="77777777">
            <w:pPr>
              <w:rPr>
                <w:rFonts w:ascii="Arial" w:hAnsi="Arial" w:cs="Arial"/>
                <w:sz w:val="20"/>
                <w:szCs w:val="20"/>
              </w:rPr>
            </w:pPr>
            <w:r w:rsidRPr="00545333">
              <w:rPr>
                <w:rFonts w:ascii="Arial" w:hAnsi="Arial" w:cs="Arial"/>
                <w:sz w:val="20"/>
                <w:szCs w:val="20"/>
              </w:rPr>
              <w:t>12</w:t>
            </w:r>
          </w:p>
        </w:tc>
        <w:tc>
          <w:tcPr>
            <w:tcW w:w="2725" w:type="dxa"/>
          </w:tcPr>
          <w:p w:rsidRPr="00545333" w:rsidR="005E70B7" w:rsidP="0048723C" w:rsidRDefault="005E70B7" w14:paraId="21FC26BE" w14:textId="77777777">
            <w:pPr>
              <w:rPr>
                <w:rFonts w:ascii="Arial" w:hAnsi="Arial" w:cs="Arial"/>
                <w:sz w:val="20"/>
                <w:szCs w:val="20"/>
              </w:rPr>
            </w:pPr>
            <w:r w:rsidRPr="00545333">
              <w:rPr>
                <w:rFonts w:ascii="Arial" w:hAnsi="Arial" w:cs="Arial"/>
                <w:sz w:val="20"/>
                <w:szCs w:val="20"/>
              </w:rPr>
              <w:t xml:space="preserve">Komen tot een </w:t>
            </w:r>
          </w:p>
          <w:p w:rsidRPr="00545333" w:rsidR="005E70B7" w:rsidP="0048723C" w:rsidRDefault="005E70B7" w14:paraId="6167000B" w14:textId="77777777">
            <w:pPr>
              <w:rPr>
                <w:rFonts w:ascii="Arial" w:hAnsi="Arial" w:cs="Arial"/>
                <w:sz w:val="20"/>
                <w:szCs w:val="20"/>
              </w:rPr>
            </w:pPr>
            <w:r w:rsidRPr="00545333">
              <w:rPr>
                <w:rFonts w:ascii="Arial" w:hAnsi="Arial" w:cs="Arial"/>
                <w:sz w:val="20"/>
                <w:szCs w:val="20"/>
              </w:rPr>
              <w:t xml:space="preserve">gecoördineerde, efficiënte </w:t>
            </w:r>
          </w:p>
          <w:p w:rsidRPr="00545333" w:rsidR="005E70B7" w:rsidP="0048723C" w:rsidRDefault="005E70B7" w14:paraId="4779889A" w14:textId="77777777">
            <w:pPr>
              <w:rPr>
                <w:rFonts w:ascii="Arial" w:hAnsi="Arial" w:cs="Arial"/>
                <w:sz w:val="20"/>
                <w:szCs w:val="20"/>
              </w:rPr>
            </w:pPr>
            <w:r w:rsidRPr="00545333">
              <w:rPr>
                <w:rFonts w:ascii="Arial" w:hAnsi="Arial" w:cs="Arial"/>
                <w:sz w:val="20"/>
                <w:szCs w:val="20"/>
              </w:rPr>
              <w:t xml:space="preserve">en effectieve afwikkeling </w:t>
            </w:r>
          </w:p>
          <w:p w:rsidRPr="00545333" w:rsidR="005E70B7" w:rsidP="0048723C" w:rsidRDefault="005E70B7" w14:paraId="1C7A5749" w14:textId="77777777">
            <w:pPr>
              <w:rPr>
                <w:rFonts w:ascii="Arial" w:hAnsi="Arial" w:cs="Arial"/>
                <w:sz w:val="20"/>
                <w:szCs w:val="20"/>
              </w:rPr>
            </w:pPr>
            <w:r w:rsidRPr="00545333">
              <w:rPr>
                <w:rFonts w:ascii="Arial" w:hAnsi="Arial" w:cs="Arial"/>
                <w:sz w:val="20"/>
                <w:szCs w:val="20"/>
              </w:rPr>
              <w:t>van 305a-acties</w:t>
            </w:r>
          </w:p>
        </w:tc>
        <w:tc>
          <w:tcPr>
            <w:tcW w:w="5600" w:type="dxa"/>
          </w:tcPr>
          <w:p w:rsidRPr="00545333" w:rsidR="005E70B7" w:rsidP="0048723C" w:rsidRDefault="005E70B7" w14:paraId="1C734F1B" w14:textId="77777777">
            <w:pPr>
              <w:rPr>
                <w:rFonts w:ascii="Arial" w:hAnsi="Arial" w:cs="Arial"/>
                <w:sz w:val="20"/>
                <w:szCs w:val="20"/>
              </w:rPr>
            </w:pPr>
            <w:r w:rsidRPr="00545333">
              <w:rPr>
                <w:rFonts w:ascii="Arial" w:hAnsi="Arial" w:cs="Arial"/>
                <w:sz w:val="20"/>
                <w:szCs w:val="20"/>
              </w:rPr>
              <w:t>Introduceer een wettelijke regel die subjectieve cumulatie aan gedaagde zijde stroomlijnt, zodat helder wordt hoe moet worden omgegaan met verschillende vorderingen van verschillende 305a-organisaties ingesteld tegen diverse gedaagden.</w:t>
            </w:r>
          </w:p>
          <w:p w:rsidRPr="00545333" w:rsidR="005E70B7" w:rsidP="0048723C" w:rsidRDefault="005E70B7" w14:paraId="0EAE9282" w14:textId="77777777">
            <w:pPr>
              <w:rPr>
                <w:rFonts w:ascii="Arial" w:hAnsi="Arial" w:cs="Arial"/>
                <w:sz w:val="20"/>
                <w:szCs w:val="20"/>
              </w:rPr>
            </w:pPr>
          </w:p>
          <w:p w:rsidRPr="004507BA" w:rsidR="005E70B7" w:rsidP="0048723C" w:rsidRDefault="005E70B7" w14:paraId="5A373494" w14:textId="77777777">
            <w:pPr>
              <w:rPr>
                <w:rFonts w:ascii="Arial" w:hAnsi="Arial" w:cs="Arial"/>
                <w:sz w:val="20"/>
                <w:szCs w:val="20"/>
              </w:rPr>
            </w:pPr>
          </w:p>
          <w:p w:rsidRPr="00545333" w:rsidR="005E70B7" w:rsidP="0048723C" w:rsidRDefault="005E70B7" w14:paraId="12E90A2E" w14:textId="77777777">
            <w:pPr>
              <w:rPr>
                <w:rFonts w:ascii="Arial" w:hAnsi="Arial" w:cs="Arial"/>
                <w:sz w:val="20"/>
                <w:szCs w:val="20"/>
              </w:rPr>
            </w:pPr>
          </w:p>
        </w:tc>
      </w:tr>
      <w:tr w:rsidRPr="00545333" w:rsidR="005E70B7" w:rsidTr="0048723C" w14:paraId="5B42F66B" w14:textId="77777777">
        <w:tc>
          <w:tcPr>
            <w:tcW w:w="692" w:type="dxa"/>
          </w:tcPr>
          <w:p w:rsidRPr="00545333" w:rsidR="005E70B7" w:rsidP="0048723C" w:rsidRDefault="005E70B7" w14:paraId="3484BBF7" w14:textId="77777777">
            <w:pPr>
              <w:rPr>
                <w:rFonts w:ascii="Arial" w:hAnsi="Arial" w:cs="Arial"/>
                <w:sz w:val="20"/>
                <w:szCs w:val="20"/>
              </w:rPr>
            </w:pPr>
            <w:r w:rsidRPr="00545333">
              <w:rPr>
                <w:rFonts w:ascii="Arial" w:hAnsi="Arial" w:cs="Arial"/>
                <w:sz w:val="20"/>
                <w:szCs w:val="20"/>
              </w:rPr>
              <w:t>13</w:t>
            </w:r>
          </w:p>
        </w:tc>
        <w:tc>
          <w:tcPr>
            <w:tcW w:w="2725" w:type="dxa"/>
          </w:tcPr>
          <w:p w:rsidRPr="00545333" w:rsidR="005E70B7" w:rsidP="0048723C" w:rsidRDefault="005E70B7" w14:paraId="632BC05B" w14:textId="77777777">
            <w:pPr>
              <w:rPr>
                <w:rFonts w:ascii="Arial" w:hAnsi="Arial" w:cs="Arial"/>
                <w:sz w:val="20"/>
                <w:szCs w:val="20"/>
              </w:rPr>
            </w:pPr>
            <w:r w:rsidRPr="00545333">
              <w:rPr>
                <w:rFonts w:ascii="Arial" w:hAnsi="Arial" w:cs="Arial"/>
                <w:sz w:val="20"/>
                <w:szCs w:val="20"/>
              </w:rPr>
              <w:t>Kwaliteitsbeoordeling t.b.v. bescherming van benadeelden/betrokkenen</w:t>
            </w:r>
          </w:p>
        </w:tc>
        <w:tc>
          <w:tcPr>
            <w:tcW w:w="5600" w:type="dxa"/>
          </w:tcPr>
          <w:p w:rsidRPr="00545333" w:rsidR="005E70B7" w:rsidP="0048723C" w:rsidRDefault="005E70B7" w14:paraId="207F43CB" w14:textId="77777777">
            <w:pPr>
              <w:rPr>
                <w:rFonts w:ascii="Arial" w:hAnsi="Arial" w:cs="Arial"/>
                <w:sz w:val="20"/>
                <w:szCs w:val="20"/>
              </w:rPr>
            </w:pPr>
            <w:r w:rsidRPr="00545333">
              <w:rPr>
                <w:rFonts w:ascii="Arial" w:hAnsi="Arial" w:cs="Arial"/>
                <w:sz w:val="20"/>
                <w:szCs w:val="20"/>
              </w:rPr>
              <w:t>Introduceer een kwalitatieve representativiteitstoets voor (in ieder geval) lid-6-acties met een ideëel doel, waarbij de geschiktheid van de 305a-organisatie om op te komen voor de belangen die onderwerp zijn van de procedure wordt getoetst.</w:t>
            </w:r>
          </w:p>
          <w:p w:rsidRPr="00545333" w:rsidR="005E70B7" w:rsidP="0048723C" w:rsidRDefault="005E70B7" w14:paraId="4D588954" w14:textId="77777777">
            <w:pPr>
              <w:rPr>
                <w:rFonts w:ascii="Arial" w:hAnsi="Arial" w:cs="Arial"/>
                <w:sz w:val="20"/>
                <w:szCs w:val="20"/>
              </w:rPr>
            </w:pPr>
          </w:p>
          <w:p w:rsidRPr="004507BA" w:rsidR="005E70B7" w:rsidP="0048723C" w:rsidRDefault="005E70B7" w14:paraId="58993966" w14:textId="77777777">
            <w:pPr>
              <w:rPr>
                <w:rFonts w:ascii="Arial" w:hAnsi="Arial" w:cs="Arial"/>
                <w:sz w:val="20"/>
                <w:szCs w:val="20"/>
              </w:rPr>
            </w:pPr>
          </w:p>
          <w:p w:rsidRPr="00545333" w:rsidR="005E70B7" w:rsidP="0048723C" w:rsidRDefault="005E70B7" w14:paraId="093BEEC0" w14:textId="77777777">
            <w:pPr>
              <w:rPr>
                <w:rFonts w:ascii="Arial" w:hAnsi="Arial" w:cs="Arial"/>
                <w:sz w:val="20"/>
                <w:szCs w:val="20"/>
              </w:rPr>
            </w:pPr>
          </w:p>
        </w:tc>
      </w:tr>
      <w:tr w:rsidRPr="00545333" w:rsidR="005E70B7" w:rsidTr="0048723C" w14:paraId="7BC71CB7" w14:textId="77777777">
        <w:tc>
          <w:tcPr>
            <w:tcW w:w="692" w:type="dxa"/>
          </w:tcPr>
          <w:p w:rsidRPr="00545333" w:rsidR="005E70B7" w:rsidP="0048723C" w:rsidRDefault="005E70B7" w14:paraId="32F44954" w14:textId="77777777">
            <w:pPr>
              <w:rPr>
                <w:rFonts w:ascii="Arial" w:hAnsi="Arial" w:cs="Arial"/>
                <w:sz w:val="20"/>
                <w:szCs w:val="20"/>
              </w:rPr>
            </w:pPr>
            <w:r w:rsidRPr="00545333">
              <w:rPr>
                <w:rFonts w:ascii="Arial" w:hAnsi="Arial" w:cs="Arial"/>
                <w:sz w:val="20"/>
                <w:szCs w:val="20"/>
              </w:rPr>
              <w:t>14</w:t>
            </w:r>
          </w:p>
        </w:tc>
        <w:tc>
          <w:tcPr>
            <w:tcW w:w="2725" w:type="dxa"/>
          </w:tcPr>
          <w:p w:rsidRPr="00545333" w:rsidR="005E70B7" w:rsidP="0048723C" w:rsidRDefault="005E70B7" w14:paraId="60ADE8EA" w14:textId="77777777">
            <w:pPr>
              <w:rPr>
                <w:rFonts w:ascii="Arial" w:hAnsi="Arial" w:cs="Arial"/>
                <w:sz w:val="20"/>
                <w:szCs w:val="20"/>
              </w:rPr>
            </w:pPr>
            <w:r w:rsidRPr="00545333">
              <w:rPr>
                <w:rFonts w:ascii="Arial" w:hAnsi="Arial" w:cs="Arial"/>
                <w:sz w:val="20"/>
                <w:szCs w:val="20"/>
              </w:rPr>
              <w:t xml:space="preserve">Stimuleren van overleg en </w:t>
            </w:r>
          </w:p>
          <w:p w:rsidRPr="00545333" w:rsidR="005E70B7" w:rsidP="0048723C" w:rsidRDefault="005E70B7" w14:paraId="0ACD4B34" w14:textId="77777777">
            <w:pPr>
              <w:rPr>
                <w:rFonts w:ascii="Arial" w:hAnsi="Arial" w:cs="Arial"/>
                <w:sz w:val="20"/>
                <w:szCs w:val="20"/>
              </w:rPr>
            </w:pPr>
            <w:r w:rsidRPr="00545333">
              <w:rPr>
                <w:rFonts w:ascii="Arial" w:hAnsi="Arial" w:cs="Arial"/>
                <w:sz w:val="20"/>
                <w:szCs w:val="20"/>
              </w:rPr>
              <w:t>schikkingen</w:t>
            </w:r>
          </w:p>
        </w:tc>
        <w:tc>
          <w:tcPr>
            <w:tcW w:w="5600" w:type="dxa"/>
          </w:tcPr>
          <w:p w:rsidRPr="00545333" w:rsidR="005E70B7" w:rsidP="0048723C" w:rsidRDefault="005E70B7" w14:paraId="00CAB67A" w14:textId="77777777">
            <w:pPr>
              <w:rPr>
                <w:rFonts w:ascii="Arial" w:hAnsi="Arial" w:cs="Arial"/>
                <w:sz w:val="20"/>
                <w:szCs w:val="20"/>
              </w:rPr>
            </w:pPr>
            <w:r w:rsidRPr="00545333">
              <w:rPr>
                <w:rFonts w:ascii="Arial" w:hAnsi="Arial" w:cs="Arial"/>
                <w:sz w:val="20"/>
                <w:szCs w:val="20"/>
              </w:rPr>
              <w:t>Geef de rechter (bij wet) de ruimte om de schikkingspoging voorafgaand aan de inhoudelijke beoordeling over te slaan als geen vooruitzicht bestaat op een schikking, of om de poging te laten doen op een (later) moment waarop de rechter de verwachting heeft dat een schikkingsmogelijkheid erin zit.</w:t>
            </w:r>
          </w:p>
        </w:tc>
      </w:tr>
      <w:tr w:rsidRPr="00545333" w:rsidR="005E70B7" w:rsidTr="0048723C" w14:paraId="071167A6" w14:textId="77777777">
        <w:tc>
          <w:tcPr>
            <w:tcW w:w="692" w:type="dxa"/>
          </w:tcPr>
          <w:p w:rsidRPr="00545333" w:rsidR="005E70B7" w:rsidP="0048723C" w:rsidRDefault="005E70B7" w14:paraId="20A593BE" w14:textId="77777777">
            <w:pPr>
              <w:rPr>
                <w:rFonts w:ascii="Arial" w:hAnsi="Arial" w:cs="Arial"/>
                <w:b/>
                <w:bCs/>
                <w:sz w:val="20"/>
                <w:szCs w:val="20"/>
              </w:rPr>
            </w:pPr>
            <w:proofErr w:type="spellStart"/>
            <w:r>
              <w:rPr>
                <w:rFonts w:ascii="Arial" w:hAnsi="Arial" w:cs="Arial"/>
                <w:b/>
                <w:bCs/>
                <w:sz w:val="20"/>
                <w:szCs w:val="20"/>
              </w:rPr>
              <w:t>Nr</w:t>
            </w:r>
            <w:proofErr w:type="spellEnd"/>
          </w:p>
        </w:tc>
        <w:tc>
          <w:tcPr>
            <w:tcW w:w="2725" w:type="dxa"/>
          </w:tcPr>
          <w:p w:rsidRPr="00545333" w:rsidR="005E70B7" w:rsidP="0048723C" w:rsidRDefault="005E70B7" w14:paraId="0B219766" w14:textId="77777777">
            <w:pPr>
              <w:rPr>
                <w:rFonts w:ascii="Arial" w:hAnsi="Arial" w:cs="Arial"/>
                <w:b/>
                <w:bCs/>
                <w:sz w:val="20"/>
                <w:szCs w:val="20"/>
              </w:rPr>
            </w:pPr>
            <w:r w:rsidRPr="00545333">
              <w:rPr>
                <w:rFonts w:ascii="Arial" w:hAnsi="Arial" w:cs="Arial"/>
                <w:b/>
                <w:bCs/>
                <w:sz w:val="20"/>
                <w:szCs w:val="20"/>
              </w:rPr>
              <w:t>Doelstelling WAMCA</w:t>
            </w:r>
          </w:p>
        </w:tc>
        <w:tc>
          <w:tcPr>
            <w:tcW w:w="5600" w:type="dxa"/>
          </w:tcPr>
          <w:p w:rsidRPr="00545333" w:rsidR="005E70B7" w:rsidP="0048723C" w:rsidRDefault="005E70B7" w14:paraId="22B9E073" w14:textId="77777777">
            <w:pPr>
              <w:rPr>
                <w:rFonts w:ascii="Arial" w:hAnsi="Arial" w:cs="Arial"/>
                <w:b/>
                <w:bCs/>
                <w:sz w:val="20"/>
                <w:szCs w:val="20"/>
              </w:rPr>
            </w:pPr>
            <w:proofErr w:type="spellStart"/>
            <w:r w:rsidRPr="00545333">
              <w:rPr>
                <w:rFonts w:ascii="Arial" w:hAnsi="Arial" w:cs="Arial"/>
                <w:b/>
                <w:bCs/>
                <w:sz w:val="20"/>
                <w:szCs w:val="20"/>
              </w:rPr>
              <w:t>Wetssystematische</w:t>
            </w:r>
            <w:proofErr w:type="spellEnd"/>
            <w:r w:rsidRPr="00545333">
              <w:rPr>
                <w:rFonts w:ascii="Arial" w:hAnsi="Arial" w:cs="Arial"/>
                <w:b/>
                <w:bCs/>
                <w:sz w:val="20"/>
                <w:szCs w:val="20"/>
              </w:rPr>
              <w:t xml:space="preserve"> keuzes</w:t>
            </w:r>
          </w:p>
          <w:p w:rsidRPr="00545333" w:rsidR="005E70B7" w:rsidP="0048723C" w:rsidRDefault="005E70B7" w14:paraId="4FE45EB0" w14:textId="77777777">
            <w:pPr>
              <w:rPr>
                <w:rFonts w:ascii="Arial" w:hAnsi="Arial" w:cs="Arial"/>
                <w:b/>
                <w:bCs/>
                <w:sz w:val="20"/>
                <w:szCs w:val="20"/>
              </w:rPr>
            </w:pPr>
          </w:p>
        </w:tc>
      </w:tr>
      <w:tr w:rsidRPr="00545333" w:rsidR="005E70B7" w:rsidTr="0048723C" w14:paraId="4C3CE2E6" w14:textId="77777777">
        <w:tc>
          <w:tcPr>
            <w:tcW w:w="692" w:type="dxa"/>
          </w:tcPr>
          <w:p w:rsidRPr="00545333" w:rsidR="005E70B7" w:rsidP="0048723C" w:rsidRDefault="005E70B7" w14:paraId="41C1F963" w14:textId="77777777">
            <w:pPr>
              <w:rPr>
                <w:rFonts w:ascii="Arial" w:hAnsi="Arial" w:cs="Arial"/>
                <w:sz w:val="20"/>
                <w:szCs w:val="20"/>
              </w:rPr>
            </w:pPr>
            <w:r w:rsidRPr="00545333">
              <w:rPr>
                <w:rFonts w:ascii="Arial" w:hAnsi="Arial" w:cs="Arial"/>
                <w:sz w:val="20"/>
                <w:szCs w:val="20"/>
              </w:rPr>
              <w:t>15</w:t>
            </w:r>
          </w:p>
        </w:tc>
        <w:tc>
          <w:tcPr>
            <w:tcW w:w="2725" w:type="dxa"/>
          </w:tcPr>
          <w:p w:rsidRPr="00545333" w:rsidR="005E70B7" w:rsidP="0048723C" w:rsidRDefault="005E70B7" w14:paraId="498919A4" w14:textId="77777777">
            <w:pPr>
              <w:rPr>
                <w:rFonts w:ascii="Arial" w:hAnsi="Arial" w:cs="Arial"/>
                <w:sz w:val="20"/>
                <w:szCs w:val="20"/>
              </w:rPr>
            </w:pPr>
            <w:r w:rsidRPr="00545333">
              <w:rPr>
                <w:rFonts w:ascii="Arial" w:hAnsi="Arial" w:cs="Arial"/>
                <w:sz w:val="20"/>
                <w:szCs w:val="20"/>
              </w:rPr>
              <w:t>Collectieve schadeafwikkeling mogelijk maken</w:t>
            </w:r>
          </w:p>
        </w:tc>
        <w:tc>
          <w:tcPr>
            <w:tcW w:w="5600" w:type="dxa"/>
          </w:tcPr>
          <w:p w:rsidRPr="00545333" w:rsidR="005E70B7" w:rsidP="0048723C" w:rsidRDefault="005E70B7" w14:paraId="2BA977C7" w14:textId="77777777">
            <w:pPr>
              <w:rPr>
                <w:rFonts w:ascii="Arial" w:hAnsi="Arial" w:cs="Arial"/>
                <w:sz w:val="20"/>
                <w:szCs w:val="20"/>
              </w:rPr>
            </w:pPr>
            <w:r w:rsidRPr="00545333">
              <w:rPr>
                <w:rFonts w:ascii="Arial" w:hAnsi="Arial" w:cs="Arial"/>
                <w:sz w:val="20"/>
                <w:szCs w:val="20"/>
              </w:rPr>
              <w:t xml:space="preserve">Een vordering tot verwijzing naar een schadestaatprocedure is niet uitgesloten met de WAMCA. De </w:t>
            </w:r>
            <w:proofErr w:type="spellStart"/>
            <w:r w:rsidRPr="00545333">
              <w:rPr>
                <w:rFonts w:ascii="Arial" w:hAnsi="Arial" w:cs="Arial"/>
                <w:sz w:val="20"/>
                <w:szCs w:val="20"/>
              </w:rPr>
              <w:t>wetssystematische</w:t>
            </w:r>
            <w:proofErr w:type="spellEnd"/>
            <w:r w:rsidRPr="00545333">
              <w:rPr>
                <w:rFonts w:ascii="Arial" w:hAnsi="Arial" w:cs="Arial"/>
                <w:sz w:val="20"/>
                <w:szCs w:val="20"/>
              </w:rPr>
              <w:t xml:space="preserve"> keuze ligt voor of deze vorderingsmogelijkheid past in de WAMCA procedure. In de WAMCA-procedure wordt uitgegaan van een bindende uitkomst voor een groep benadeelden en waarvoor een eigen regime voor collectieve schadeafwikkeling is vastgelegd in artikel 1018i Rv. Drie opties zijn besproken: I. ofwel uitsluiten, waardoor de collectieve schadeafwikkeling geconcentreerd blijft in de 305a-hoofdprocedure; II. toelaten, waardoor na een oordeel over aansprakelijkheid in de 305a 237 hoofdprocedure, individuele schadestaatprocedures kunnen volgen; en III. toelaten, maar met de beperking dat een verwijzing naar een schadestaatprocedure een ‘305a schadestaatprocedure’ moet zijn waarin de EB het voortouw neemt en waardoor artikel 1018i Rv alsnog toegepast wordt.</w:t>
            </w:r>
          </w:p>
          <w:p w:rsidRPr="004507BA" w:rsidR="005E70B7" w:rsidP="0048723C" w:rsidRDefault="005E70B7" w14:paraId="1F64E6E9" w14:textId="77777777">
            <w:pPr>
              <w:rPr>
                <w:rFonts w:ascii="Arial" w:hAnsi="Arial" w:cs="Arial"/>
                <w:sz w:val="20"/>
                <w:szCs w:val="20"/>
              </w:rPr>
            </w:pPr>
          </w:p>
          <w:p w:rsidRPr="00545333" w:rsidR="005E70B7" w:rsidP="0048723C" w:rsidRDefault="005E70B7" w14:paraId="7CFB3568" w14:textId="77777777">
            <w:pPr>
              <w:rPr>
                <w:rFonts w:ascii="Arial" w:hAnsi="Arial" w:cs="Arial"/>
                <w:sz w:val="20"/>
                <w:szCs w:val="20"/>
              </w:rPr>
            </w:pPr>
          </w:p>
        </w:tc>
      </w:tr>
      <w:tr w:rsidRPr="00545333" w:rsidR="005E70B7" w:rsidTr="0048723C" w14:paraId="23862110" w14:textId="77777777">
        <w:tc>
          <w:tcPr>
            <w:tcW w:w="692" w:type="dxa"/>
          </w:tcPr>
          <w:p w:rsidRPr="00545333" w:rsidR="005E70B7" w:rsidP="0048723C" w:rsidRDefault="005E70B7" w14:paraId="56D95ECE" w14:textId="77777777">
            <w:pPr>
              <w:rPr>
                <w:rFonts w:ascii="Arial" w:hAnsi="Arial" w:cs="Arial"/>
                <w:sz w:val="20"/>
                <w:szCs w:val="20"/>
              </w:rPr>
            </w:pPr>
            <w:r w:rsidRPr="00545333">
              <w:rPr>
                <w:rFonts w:ascii="Arial" w:hAnsi="Arial" w:cs="Arial"/>
                <w:sz w:val="20"/>
                <w:szCs w:val="20"/>
              </w:rPr>
              <w:t>16</w:t>
            </w:r>
          </w:p>
        </w:tc>
        <w:tc>
          <w:tcPr>
            <w:tcW w:w="2725" w:type="dxa"/>
          </w:tcPr>
          <w:p w:rsidRPr="00545333" w:rsidR="005E70B7" w:rsidP="0048723C" w:rsidRDefault="005E70B7" w14:paraId="6C16E916" w14:textId="77777777">
            <w:pPr>
              <w:rPr>
                <w:rFonts w:ascii="Arial" w:hAnsi="Arial" w:cs="Arial"/>
                <w:sz w:val="20"/>
                <w:szCs w:val="20"/>
              </w:rPr>
            </w:pPr>
            <w:r w:rsidRPr="00545333">
              <w:rPr>
                <w:rFonts w:ascii="Arial" w:hAnsi="Arial" w:cs="Arial"/>
                <w:sz w:val="20"/>
                <w:szCs w:val="20"/>
              </w:rPr>
              <w:t xml:space="preserve">Komen tot een </w:t>
            </w:r>
          </w:p>
          <w:p w:rsidRPr="00545333" w:rsidR="005E70B7" w:rsidP="0048723C" w:rsidRDefault="005E70B7" w14:paraId="45F8F28B" w14:textId="77777777">
            <w:pPr>
              <w:rPr>
                <w:rFonts w:ascii="Arial" w:hAnsi="Arial" w:cs="Arial"/>
                <w:sz w:val="20"/>
                <w:szCs w:val="20"/>
              </w:rPr>
            </w:pPr>
            <w:r w:rsidRPr="00545333">
              <w:rPr>
                <w:rFonts w:ascii="Arial" w:hAnsi="Arial" w:cs="Arial"/>
                <w:sz w:val="20"/>
                <w:szCs w:val="20"/>
              </w:rPr>
              <w:t xml:space="preserve">gecoördineerde, </w:t>
            </w:r>
          </w:p>
          <w:p w:rsidRPr="00545333" w:rsidR="005E70B7" w:rsidP="0048723C" w:rsidRDefault="005E70B7" w14:paraId="7A7D9A94" w14:textId="77777777">
            <w:pPr>
              <w:rPr>
                <w:rFonts w:ascii="Arial" w:hAnsi="Arial" w:cs="Arial"/>
                <w:sz w:val="20"/>
                <w:szCs w:val="20"/>
              </w:rPr>
            </w:pPr>
            <w:r w:rsidRPr="00545333">
              <w:rPr>
                <w:rFonts w:ascii="Arial" w:hAnsi="Arial" w:cs="Arial"/>
                <w:sz w:val="20"/>
                <w:szCs w:val="20"/>
              </w:rPr>
              <w:t xml:space="preserve">efficiënte en effectieve </w:t>
            </w:r>
          </w:p>
          <w:p w:rsidRPr="00545333" w:rsidR="005E70B7" w:rsidP="0048723C" w:rsidRDefault="005E70B7" w14:paraId="3FA02909" w14:textId="77777777">
            <w:pPr>
              <w:rPr>
                <w:rFonts w:ascii="Arial" w:hAnsi="Arial" w:cs="Arial"/>
                <w:sz w:val="20"/>
                <w:szCs w:val="20"/>
              </w:rPr>
            </w:pPr>
            <w:r w:rsidRPr="00545333">
              <w:rPr>
                <w:rFonts w:ascii="Arial" w:hAnsi="Arial" w:cs="Arial"/>
                <w:sz w:val="20"/>
                <w:szCs w:val="20"/>
              </w:rPr>
              <w:t>afwikkeling van 305a</w:t>
            </w:r>
          </w:p>
          <w:p w:rsidRPr="00545333" w:rsidR="005E70B7" w:rsidP="0048723C" w:rsidRDefault="005E70B7" w14:paraId="7E530F1D" w14:textId="77777777">
            <w:pPr>
              <w:rPr>
                <w:rFonts w:ascii="Arial" w:hAnsi="Arial" w:cs="Arial"/>
                <w:sz w:val="20"/>
                <w:szCs w:val="20"/>
              </w:rPr>
            </w:pPr>
            <w:r w:rsidRPr="00545333">
              <w:rPr>
                <w:rFonts w:ascii="Arial" w:hAnsi="Arial" w:cs="Arial"/>
                <w:sz w:val="20"/>
                <w:szCs w:val="20"/>
              </w:rPr>
              <w:t>acties</w:t>
            </w:r>
          </w:p>
        </w:tc>
        <w:tc>
          <w:tcPr>
            <w:tcW w:w="5600" w:type="dxa"/>
          </w:tcPr>
          <w:p w:rsidRPr="00545333" w:rsidR="005E70B7" w:rsidP="0048723C" w:rsidRDefault="005E70B7" w14:paraId="5377CB5D" w14:textId="77777777">
            <w:pPr>
              <w:rPr>
                <w:rFonts w:ascii="Arial" w:hAnsi="Arial" w:cs="Arial"/>
                <w:sz w:val="20"/>
                <w:szCs w:val="20"/>
              </w:rPr>
            </w:pPr>
            <w:r w:rsidRPr="00545333">
              <w:rPr>
                <w:rFonts w:ascii="Arial" w:hAnsi="Arial" w:cs="Arial"/>
                <w:sz w:val="20"/>
                <w:szCs w:val="20"/>
              </w:rPr>
              <w:t>Om de voorfase te bespoedigen ligt de vraag voor of 305a organisaties die ervaring hebben met de 305a-actie (</w:t>
            </w:r>
            <w:proofErr w:type="spellStart"/>
            <w:r w:rsidRPr="00545333">
              <w:rPr>
                <w:rFonts w:ascii="Arial" w:hAnsi="Arial" w:cs="Arial"/>
                <w:sz w:val="20"/>
                <w:szCs w:val="20"/>
              </w:rPr>
              <w:t>repeat</w:t>
            </w:r>
            <w:proofErr w:type="spellEnd"/>
            <w:r w:rsidRPr="00545333">
              <w:rPr>
                <w:rFonts w:ascii="Arial" w:hAnsi="Arial" w:cs="Arial"/>
                <w:sz w:val="20"/>
                <w:szCs w:val="20"/>
              </w:rPr>
              <w:t xml:space="preserve"> players) herhaaldelijk op alle punten van de ontvankelijkheidstoets getoetst zouden moeten worden. De </w:t>
            </w:r>
            <w:proofErr w:type="spellStart"/>
            <w:r w:rsidRPr="00545333">
              <w:rPr>
                <w:rFonts w:ascii="Arial" w:hAnsi="Arial" w:cs="Arial"/>
                <w:sz w:val="20"/>
                <w:szCs w:val="20"/>
              </w:rPr>
              <w:t>wetssystematische</w:t>
            </w:r>
            <w:proofErr w:type="spellEnd"/>
            <w:r w:rsidRPr="00545333">
              <w:rPr>
                <w:rFonts w:ascii="Arial" w:hAnsi="Arial" w:cs="Arial"/>
                <w:sz w:val="20"/>
                <w:szCs w:val="20"/>
              </w:rPr>
              <w:t xml:space="preserve"> keuze ligt voor hoe deze ontvankelijkheidstoets kan worden vormgegeven, zodanig dat de voorfase wordt bespoedigd. Verschillende opties zijn genoemd door professionals, die allemaal vragen om wetgevend optreden. Een tweesporensysteem lijkt overweging te verdienen.</w:t>
            </w:r>
          </w:p>
          <w:p w:rsidRPr="00545333" w:rsidR="005E70B7" w:rsidP="0048723C" w:rsidRDefault="005E70B7" w14:paraId="35C18421" w14:textId="77777777">
            <w:pPr>
              <w:rPr>
                <w:rFonts w:ascii="Arial" w:hAnsi="Arial" w:cs="Arial"/>
                <w:sz w:val="20"/>
                <w:szCs w:val="20"/>
              </w:rPr>
            </w:pPr>
          </w:p>
          <w:p w:rsidRPr="00545333" w:rsidR="005E70B7" w:rsidP="0048723C" w:rsidRDefault="005E70B7" w14:paraId="5BF6BB8E" w14:textId="77777777">
            <w:pPr>
              <w:rPr>
                <w:rFonts w:ascii="Arial" w:hAnsi="Arial" w:cs="Arial"/>
                <w:sz w:val="20"/>
                <w:szCs w:val="20"/>
              </w:rPr>
            </w:pPr>
          </w:p>
        </w:tc>
      </w:tr>
      <w:tr w:rsidRPr="00545333" w:rsidR="005E70B7" w:rsidTr="0048723C" w14:paraId="7F7423BE" w14:textId="77777777">
        <w:trPr>
          <w:trHeight w:val="2391"/>
        </w:trPr>
        <w:tc>
          <w:tcPr>
            <w:tcW w:w="692" w:type="dxa"/>
          </w:tcPr>
          <w:p w:rsidRPr="00545333" w:rsidR="005E70B7" w:rsidP="0048723C" w:rsidRDefault="005E70B7" w14:paraId="6BAF1A8F" w14:textId="77777777">
            <w:pPr>
              <w:rPr>
                <w:rFonts w:ascii="Arial" w:hAnsi="Arial" w:cs="Arial"/>
                <w:sz w:val="20"/>
                <w:szCs w:val="20"/>
              </w:rPr>
            </w:pPr>
            <w:r w:rsidRPr="00545333">
              <w:rPr>
                <w:rFonts w:ascii="Arial" w:hAnsi="Arial" w:cs="Arial"/>
                <w:sz w:val="20"/>
                <w:szCs w:val="20"/>
              </w:rPr>
              <w:t>17</w:t>
            </w:r>
          </w:p>
        </w:tc>
        <w:tc>
          <w:tcPr>
            <w:tcW w:w="2725" w:type="dxa"/>
          </w:tcPr>
          <w:p w:rsidRPr="00545333" w:rsidR="005E70B7" w:rsidP="0048723C" w:rsidRDefault="005E70B7" w14:paraId="379ABF2F" w14:textId="77777777">
            <w:pPr>
              <w:rPr>
                <w:rFonts w:ascii="Arial" w:hAnsi="Arial" w:cs="Arial"/>
                <w:sz w:val="20"/>
                <w:szCs w:val="20"/>
              </w:rPr>
            </w:pPr>
            <w:r w:rsidRPr="00545333">
              <w:rPr>
                <w:rFonts w:ascii="Arial" w:hAnsi="Arial" w:cs="Arial"/>
                <w:sz w:val="20"/>
                <w:szCs w:val="20"/>
              </w:rPr>
              <w:t xml:space="preserve">Komen tot een </w:t>
            </w:r>
          </w:p>
          <w:p w:rsidRPr="00545333" w:rsidR="005E70B7" w:rsidP="0048723C" w:rsidRDefault="005E70B7" w14:paraId="46A542D1" w14:textId="77777777">
            <w:pPr>
              <w:rPr>
                <w:rFonts w:ascii="Arial" w:hAnsi="Arial" w:cs="Arial"/>
                <w:sz w:val="20"/>
                <w:szCs w:val="20"/>
              </w:rPr>
            </w:pPr>
            <w:r w:rsidRPr="00545333">
              <w:rPr>
                <w:rFonts w:ascii="Arial" w:hAnsi="Arial" w:cs="Arial"/>
                <w:sz w:val="20"/>
                <w:szCs w:val="20"/>
              </w:rPr>
              <w:t xml:space="preserve">gecoördineerde, </w:t>
            </w:r>
          </w:p>
          <w:p w:rsidRPr="00545333" w:rsidR="005E70B7" w:rsidP="0048723C" w:rsidRDefault="005E70B7" w14:paraId="4D013679" w14:textId="77777777">
            <w:pPr>
              <w:rPr>
                <w:rFonts w:ascii="Arial" w:hAnsi="Arial" w:cs="Arial"/>
                <w:sz w:val="20"/>
                <w:szCs w:val="20"/>
              </w:rPr>
            </w:pPr>
            <w:r w:rsidRPr="00545333">
              <w:rPr>
                <w:rFonts w:ascii="Arial" w:hAnsi="Arial" w:cs="Arial"/>
                <w:sz w:val="20"/>
                <w:szCs w:val="20"/>
              </w:rPr>
              <w:t xml:space="preserve">efficiënte en effectieve </w:t>
            </w:r>
          </w:p>
          <w:p w:rsidRPr="00545333" w:rsidR="005E70B7" w:rsidP="0048723C" w:rsidRDefault="005E70B7" w14:paraId="4293A509" w14:textId="77777777">
            <w:pPr>
              <w:rPr>
                <w:rFonts w:ascii="Arial" w:hAnsi="Arial" w:cs="Arial"/>
                <w:sz w:val="20"/>
                <w:szCs w:val="20"/>
              </w:rPr>
            </w:pPr>
            <w:r w:rsidRPr="00545333">
              <w:rPr>
                <w:rFonts w:ascii="Arial" w:hAnsi="Arial" w:cs="Arial"/>
                <w:sz w:val="20"/>
                <w:szCs w:val="20"/>
              </w:rPr>
              <w:t>afwikkeling van 305a</w:t>
            </w:r>
          </w:p>
          <w:p w:rsidRPr="00545333" w:rsidR="005E70B7" w:rsidP="0048723C" w:rsidRDefault="005E70B7" w14:paraId="352F2562" w14:textId="77777777">
            <w:pPr>
              <w:rPr>
                <w:rFonts w:ascii="Arial" w:hAnsi="Arial" w:cs="Arial"/>
                <w:sz w:val="20"/>
                <w:szCs w:val="20"/>
              </w:rPr>
            </w:pPr>
            <w:r w:rsidRPr="00545333">
              <w:rPr>
                <w:rFonts w:ascii="Arial" w:hAnsi="Arial" w:cs="Arial"/>
                <w:sz w:val="20"/>
                <w:szCs w:val="20"/>
              </w:rPr>
              <w:t>acties</w:t>
            </w:r>
          </w:p>
        </w:tc>
        <w:tc>
          <w:tcPr>
            <w:tcW w:w="5600" w:type="dxa"/>
          </w:tcPr>
          <w:p w:rsidRPr="004507BA" w:rsidR="005E70B7" w:rsidP="0048723C" w:rsidRDefault="005E70B7" w14:paraId="6CB9F5A5" w14:textId="77777777">
            <w:pPr>
              <w:rPr>
                <w:rFonts w:ascii="Arial" w:hAnsi="Arial" w:cs="Arial"/>
                <w:sz w:val="20"/>
                <w:szCs w:val="20"/>
              </w:rPr>
            </w:pPr>
            <w:r w:rsidRPr="00545333">
              <w:rPr>
                <w:rFonts w:ascii="Arial" w:hAnsi="Arial" w:cs="Arial"/>
                <w:sz w:val="20"/>
                <w:szCs w:val="20"/>
              </w:rPr>
              <w:t xml:space="preserve">De </w:t>
            </w:r>
            <w:proofErr w:type="spellStart"/>
            <w:r w:rsidRPr="00545333">
              <w:rPr>
                <w:rFonts w:ascii="Arial" w:hAnsi="Arial" w:cs="Arial"/>
                <w:sz w:val="20"/>
                <w:szCs w:val="20"/>
              </w:rPr>
              <w:t>wetssystematische</w:t>
            </w:r>
            <w:proofErr w:type="spellEnd"/>
            <w:r w:rsidRPr="00545333">
              <w:rPr>
                <w:rFonts w:ascii="Arial" w:hAnsi="Arial" w:cs="Arial"/>
                <w:sz w:val="20"/>
                <w:szCs w:val="20"/>
              </w:rPr>
              <w:t xml:space="preserve"> keuze ligt voor of voeging en tussenkomst mogelijk zou moeten zijn in een 305a-procedure. Hierbij kan ervoor gekozen worden om belangenorganisaties (en eventueel individuen, maar duidelijkheid daarover is gewenst) in een voorbereidende fase, met een 3/6 maandentermijn, te laten overgaan tot registeraantekening waardoor zij partij worden bij de procedure.</w:t>
            </w:r>
          </w:p>
          <w:p w:rsidRPr="00545333" w:rsidR="005E70B7" w:rsidP="0048723C" w:rsidRDefault="005E70B7" w14:paraId="35119B00" w14:textId="77777777">
            <w:pPr>
              <w:rPr>
                <w:rFonts w:ascii="Arial" w:hAnsi="Arial" w:cs="Arial"/>
                <w:sz w:val="20"/>
                <w:szCs w:val="20"/>
              </w:rPr>
            </w:pPr>
          </w:p>
        </w:tc>
      </w:tr>
      <w:tr w:rsidRPr="00545333" w:rsidR="005E70B7" w:rsidTr="0048723C" w14:paraId="4E7482E4" w14:textId="77777777">
        <w:tc>
          <w:tcPr>
            <w:tcW w:w="692" w:type="dxa"/>
          </w:tcPr>
          <w:p w:rsidRPr="0045380A" w:rsidR="005E70B7" w:rsidP="0048723C" w:rsidRDefault="005E70B7" w14:paraId="258C1A93" w14:textId="77777777">
            <w:pPr>
              <w:rPr>
                <w:rFonts w:ascii="Arial" w:hAnsi="Arial" w:cs="Arial"/>
                <w:b/>
                <w:bCs/>
                <w:sz w:val="20"/>
                <w:szCs w:val="20"/>
              </w:rPr>
            </w:pPr>
            <w:proofErr w:type="spellStart"/>
            <w:r w:rsidRPr="0045380A">
              <w:rPr>
                <w:rFonts w:ascii="Arial" w:hAnsi="Arial" w:cs="Arial"/>
                <w:b/>
                <w:bCs/>
                <w:sz w:val="20"/>
                <w:szCs w:val="20"/>
              </w:rPr>
              <w:t>Nr</w:t>
            </w:r>
            <w:proofErr w:type="spellEnd"/>
          </w:p>
        </w:tc>
        <w:tc>
          <w:tcPr>
            <w:tcW w:w="2725" w:type="dxa"/>
          </w:tcPr>
          <w:p w:rsidRPr="00545333" w:rsidR="005E70B7" w:rsidP="0048723C" w:rsidRDefault="005E70B7" w14:paraId="0AE43845" w14:textId="77777777">
            <w:pPr>
              <w:rPr>
                <w:rFonts w:ascii="Arial" w:hAnsi="Arial" w:cs="Arial"/>
                <w:b/>
                <w:bCs/>
                <w:sz w:val="20"/>
                <w:szCs w:val="20"/>
              </w:rPr>
            </w:pPr>
            <w:r>
              <w:rPr>
                <w:rFonts w:ascii="Arial" w:hAnsi="Arial" w:cs="Arial"/>
                <w:b/>
                <w:bCs/>
                <w:sz w:val="20"/>
                <w:szCs w:val="20"/>
              </w:rPr>
              <w:t>Doelstelling WAMCA</w:t>
            </w:r>
          </w:p>
        </w:tc>
        <w:tc>
          <w:tcPr>
            <w:tcW w:w="5600" w:type="dxa"/>
          </w:tcPr>
          <w:p w:rsidRPr="00545333" w:rsidR="005E70B7" w:rsidP="0048723C" w:rsidRDefault="005E70B7" w14:paraId="704F71C0" w14:textId="77777777">
            <w:pPr>
              <w:rPr>
                <w:rFonts w:ascii="Arial" w:hAnsi="Arial" w:cs="Arial"/>
                <w:b/>
                <w:bCs/>
                <w:sz w:val="20"/>
                <w:szCs w:val="20"/>
              </w:rPr>
            </w:pPr>
            <w:r w:rsidRPr="00545333">
              <w:rPr>
                <w:rFonts w:ascii="Arial" w:hAnsi="Arial" w:cs="Arial"/>
                <w:b/>
                <w:bCs/>
                <w:sz w:val="20"/>
                <w:szCs w:val="20"/>
              </w:rPr>
              <w:t>Monitoring</w:t>
            </w:r>
          </w:p>
          <w:p w:rsidRPr="00545333" w:rsidR="005E70B7" w:rsidP="0048723C" w:rsidRDefault="005E70B7" w14:paraId="32CBC5EA" w14:textId="77777777">
            <w:pPr>
              <w:rPr>
                <w:rFonts w:ascii="Arial" w:hAnsi="Arial" w:cs="Arial"/>
                <w:b/>
                <w:bCs/>
                <w:sz w:val="20"/>
                <w:szCs w:val="20"/>
              </w:rPr>
            </w:pPr>
          </w:p>
        </w:tc>
      </w:tr>
      <w:tr w:rsidRPr="00545333" w:rsidR="005E70B7" w:rsidTr="0048723C" w14:paraId="78F7CBFA" w14:textId="77777777">
        <w:tc>
          <w:tcPr>
            <w:tcW w:w="692" w:type="dxa"/>
          </w:tcPr>
          <w:p w:rsidRPr="00545333" w:rsidR="005E70B7" w:rsidP="0048723C" w:rsidRDefault="005E70B7" w14:paraId="66CE3958" w14:textId="77777777">
            <w:pPr>
              <w:rPr>
                <w:rFonts w:ascii="Arial" w:hAnsi="Arial" w:cs="Arial"/>
                <w:sz w:val="20"/>
                <w:szCs w:val="20"/>
              </w:rPr>
            </w:pPr>
            <w:r w:rsidRPr="00545333">
              <w:rPr>
                <w:rFonts w:ascii="Arial" w:hAnsi="Arial" w:cs="Arial"/>
                <w:sz w:val="20"/>
                <w:szCs w:val="20"/>
              </w:rPr>
              <w:t>18</w:t>
            </w:r>
          </w:p>
        </w:tc>
        <w:tc>
          <w:tcPr>
            <w:tcW w:w="2725" w:type="dxa"/>
          </w:tcPr>
          <w:p w:rsidRPr="00545333" w:rsidR="005E70B7" w:rsidP="0048723C" w:rsidRDefault="005E70B7" w14:paraId="107AE0FA" w14:textId="77777777">
            <w:pPr>
              <w:rPr>
                <w:rFonts w:ascii="Arial" w:hAnsi="Arial" w:cs="Arial"/>
                <w:sz w:val="20"/>
                <w:szCs w:val="20"/>
              </w:rPr>
            </w:pPr>
            <w:r w:rsidRPr="00545333">
              <w:rPr>
                <w:rFonts w:ascii="Arial" w:hAnsi="Arial" w:cs="Arial"/>
                <w:sz w:val="20"/>
                <w:szCs w:val="20"/>
              </w:rPr>
              <w:t xml:space="preserve">Collectieve </w:t>
            </w:r>
          </w:p>
          <w:p w:rsidRPr="00545333" w:rsidR="005E70B7" w:rsidP="0048723C" w:rsidRDefault="005E70B7" w14:paraId="5515A1E6" w14:textId="77777777">
            <w:pPr>
              <w:rPr>
                <w:rFonts w:ascii="Arial" w:hAnsi="Arial" w:cs="Arial"/>
                <w:sz w:val="20"/>
                <w:szCs w:val="20"/>
              </w:rPr>
            </w:pPr>
            <w:r w:rsidRPr="00545333">
              <w:rPr>
                <w:rFonts w:ascii="Arial" w:hAnsi="Arial" w:cs="Arial"/>
                <w:sz w:val="20"/>
                <w:szCs w:val="20"/>
              </w:rPr>
              <w:t xml:space="preserve">schadeafwikkeling </w:t>
            </w:r>
          </w:p>
          <w:p w:rsidRPr="00545333" w:rsidR="005E70B7" w:rsidP="0048723C" w:rsidRDefault="005E70B7" w14:paraId="39F0CE8B" w14:textId="77777777">
            <w:pPr>
              <w:rPr>
                <w:rFonts w:ascii="Arial" w:hAnsi="Arial" w:cs="Arial"/>
                <w:sz w:val="20"/>
                <w:szCs w:val="20"/>
              </w:rPr>
            </w:pPr>
            <w:r w:rsidRPr="00545333">
              <w:rPr>
                <w:rFonts w:ascii="Arial" w:hAnsi="Arial" w:cs="Arial"/>
                <w:sz w:val="20"/>
                <w:szCs w:val="20"/>
              </w:rPr>
              <w:t>mogelijk maken</w:t>
            </w:r>
          </w:p>
        </w:tc>
        <w:tc>
          <w:tcPr>
            <w:tcW w:w="5600" w:type="dxa"/>
          </w:tcPr>
          <w:p w:rsidRPr="004507BA" w:rsidR="005E70B7" w:rsidP="0048723C" w:rsidRDefault="005E70B7" w14:paraId="66308A1A" w14:textId="77777777">
            <w:pPr>
              <w:rPr>
                <w:rFonts w:ascii="Arial" w:hAnsi="Arial" w:cs="Arial"/>
                <w:sz w:val="20"/>
                <w:szCs w:val="20"/>
              </w:rPr>
            </w:pPr>
            <w:r w:rsidRPr="00545333">
              <w:rPr>
                <w:rFonts w:ascii="Arial" w:hAnsi="Arial" w:cs="Arial"/>
                <w:sz w:val="20"/>
                <w:szCs w:val="20"/>
              </w:rPr>
              <w:t>Monitor de wijze waarop de rechter komt tot een collectieve schadeafwikkeling, en of het geldende schadevergoedingsrecht afdoende ruimte biedt voor een redelijke schadevergoeding (die in overeenstemming met het recht is).</w:t>
            </w:r>
          </w:p>
          <w:p w:rsidRPr="00545333" w:rsidR="005E70B7" w:rsidP="0048723C" w:rsidRDefault="005E70B7" w14:paraId="6F2EFEF4" w14:textId="77777777">
            <w:pPr>
              <w:rPr>
                <w:rFonts w:ascii="Arial" w:hAnsi="Arial" w:cs="Arial"/>
                <w:sz w:val="20"/>
                <w:szCs w:val="20"/>
              </w:rPr>
            </w:pPr>
          </w:p>
        </w:tc>
      </w:tr>
      <w:tr w:rsidRPr="00545333" w:rsidR="005E70B7" w:rsidTr="0048723C" w14:paraId="797B0A1F" w14:textId="77777777">
        <w:tc>
          <w:tcPr>
            <w:tcW w:w="692" w:type="dxa"/>
          </w:tcPr>
          <w:p w:rsidRPr="00545333" w:rsidR="005E70B7" w:rsidP="0048723C" w:rsidRDefault="005E70B7" w14:paraId="5559210B" w14:textId="77777777">
            <w:pPr>
              <w:rPr>
                <w:rFonts w:ascii="Arial" w:hAnsi="Arial" w:cs="Arial"/>
                <w:sz w:val="20"/>
                <w:szCs w:val="20"/>
              </w:rPr>
            </w:pPr>
            <w:r w:rsidRPr="00545333">
              <w:rPr>
                <w:rFonts w:ascii="Arial" w:hAnsi="Arial" w:cs="Arial"/>
                <w:sz w:val="20"/>
                <w:szCs w:val="20"/>
              </w:rPr>
              <w:t>19</w:t>
            </w:r>
          </w:p>
        </w:tc>
        <w:tc>
          <w:tcPr>
            <w:tcW w:w="2725" w:type="dxa"/>
          </w:tcPr>
          <w:p w:rsidRPr="00545333" w:rsidR="005E70B7" w:rsidP="0048723C" w:rsidRDefault="005E70B7" w14:paraId="57557A23" w14:textId="77777777">
            <w:pPr>
              <w:rPr>
                <w:rFonts w:ascii="Arial" w:hAnsi="Arial" w:cs="Arial"/>
                <w:sz w:val="20"/>
                <w:szCs w:val="20"/>
              </w:rPr>
            </w:pPr>
            <w:r w:rsidRPr="00545333">
              <w:rPr>
                <w:rFonts w:ascii="Arial" w:hAnsi="Arial" w:cs="Arial"/>
                <w:sz w:val="20"/>
                <w:szCs w:val="20"/>
              </w:rPr>
              <w:t>Komen tot een gecoördineerde, efficiënte en effectieve afwikkeling van 305a acties</w:t>
            </w:r>
          </w:p>
        </w:tc>
        <w:tc>
          <w:tcPr>
            <w:tcW w:w="5600" w:type="dxa"/>
          </w:tcPr>
          <w:p w:rsidRPr="00545333" w:rsidR="005E70B7" w:rsidP="0048723C" w:rsidRDefault="005E70B7" w14:paraId="053B7413" w14:textId="77777777">
            <w:pPr>
              <w:rPr>
                <w:rFonts w:ascii="Arial" w:hAnsi="Arial" w:cs="Arial"/>
                <w:sz w:val="20"/>
                <w:szCs w:val="20"/>
              </w:rPr>
            </w:pPr>
            <w:r w:rsidRPr="00545333">
              <w:rPr>
                <w:rFonts w:ascii="Arial" w:hAnsi="Arial" w:cs="Arial"/>
                <w:sz w:val="20"/>
                <w:szCs w:val="20"/>
              </w:rPr>
              <w:t>Monitor of deze rol van de EB in de toekomst door wettelijk interveniëren moet worden versterkt. De regierol van de EB is in reguliere acties nog maar weinig beproefd.</w:t>
            </w:r>
          </w:p>
          <w:p w:rsidRPr="00545333" w:rsidR="005E70B7" w:rsidP="0048723C" w:rsidRDefault="005E70B7" w14:paraId="54E0AAD5" w14:textId="77777777">
            <w:pPr>
              <w:rPr>
                <w:rFonts w:ascii="Arial" w:hAnsi="Arial" w:cs="Arial"/>
                <w:sz w:val="20"/>
                <w:szCs w:val="20"/>
              </w:rPr>
            </w:pPr>
          </w:p>
          <w:p w:rsidRPr="00545333" w:rsidR="005E70B7" w:rsidP="0048723C" w:rsidRDefault="005E70B7" w14:paraId="4A06947B" w14:textId="77777777">
            <w:pPr>
              <w:rPr>
                <w:rFonts w:ascii="Arial" w:hAnsi="Arial" w:cs="Arial"/>
                <w:sz w:val="20"/>
                <w:szCs w:val="20"/>
              </w:rPr>
            </w:pPr>
          </w:p>
        </w:tc>
      </w:tr>
      <w:tr w:rsidRPr="00545333" w:rsidR="005E70B7" w:rsidTr="0048723C" w14:paraId="2AF89D9B" w14:textId="77777777">
        <w:tc>
          <w:tcPr>
            <w:tcW w:w="692" w:type="dxa"/>
          </w:tcPr>
          <w:p w:rsidRPr="00545333" w:rsidR="005E70B7" w:rsidP="0048723C" w:rsidRDefault="005E70B7" w14:paraId="0040467F" w14:textId="77777777">
            <w:pPr>
              <w:rPr>
                <w:rFonts w:ascii="Arial" w:hAnsi="Arial" w:cs="Arial"/>
                <w:sz w:val="20"/>
                <w:szCs w:val="20"/>
              </w:rPr>
            </w:pPr>
            <w:r>
              <w:rPr>
                <w:rFonts w:ascii="Arial" w:hAnsi="Arial" w:cs="Arial"/>
                <w:sz w:val="20"/>
                <w:szCs w:val="20"/>
              </w:rPr>
              <w:t>20</w:t>
            </w:r>
          </w:p>
        </w:tc>
        <w:tc>
          <w:tcPr>
            <w:tcW w:w="2725" w:type="dxa"/>
          </w:tcPr>
          <w:p w:rsidRPr="00545333" w:rsidR="005E70B7" w:rsidP="0048723C" w:rsidRDefault="005E70B7" w14:paraId="3CDD13BC" w14:textId="77777777">
            <w:pPr>
              <w:rPr>
                <w:rFonts w:ascii="Arial" w:hAnsi="Arial" w:cs="Arial"/>
                <w:sz w:val="20"/>
                <w:szCs w:val="20"/>
              </w:rPr>
            </w:pPr>
            <w:r w:rsidRPr="00545333">
              <w:rPr>
                <w:rFonts w:ascii="Arial" w:hAnsi="Arial" w:cs="Arial"/>
                <w:sz w:val="20"/>
                <w:szCs w:val="20"/>
              </w:rPr>
              <w:t>En verder</w:t>
            </w:r>
          </w:p>
        </w:tc>
        <w:tc>
          <w:tcPr>
            <w:tcW w:w="5600" w:type="dxa"/>
          </w:tcPr>
          <w:p w:rsidRPr="00545333" w:rsidR="005E70B7" w:rsidP="0048723C" w:rsidRDefault="005E70B7" w14:paraId="084AE37A" w14:textId="77777777">
            <w:pPr>
              <w:rPr>
                <w:rFonts w:ascii="Arial" w:hAnsi="Arial" w:cs="Arial"/>
                <w:sz w:val="20"/>
                <w:szCs w:val="20"/>
              </w:rPr>
            </w:pPr>
            <w:r w:rsidRPr="00545333">
              <w:rPr>
                <w:rFonts w:ascii="Arial" w:hAnsi="Arial" w:cs="Arial"/>
                <w:sz w:val="20"/>
                <w:szCs w:val="20"/>
              </w:rPr>
              <w:t>Monitor de 305a-actie en eventuele wetswijzigingen naar aanleiding van dit onderzoek periodiek. Het is een relatief ‘jonge wet’ met maatschappelijke relevantie.</w:t>
            </w:r>
          </w:p>
          <w:p w:rsidRPr="00545333" w:rsidR="005E70B7" w:rsidP="0048723C" w:rsidRDefault="005E70B7" w14:paraId="3C056875" w14:textId="77777777">
            <w:pPr>
              <w:rPr>
                <w:rFonts w:ascii="Arial" w:hAnsi="Arial" w:cs="Arial"/>
                <w:sz w:val="20"/>
                <w:szCs w:val="20"/>
              </w:rPr>
            </w:pPr>
          </w:p>
          <w:p w:rsidRPr="00545333" w:rsidR="005E70B7" w:rsidP="0048723C" w:rsidRDefault="005E70B7" w14:paraId="36851FA1" w14:textId="77777777">
            <w:pPr>
              <w:rPr>
                <w:rFonts w:ascii="Arial" w:hAnsi="Arial" w:cs="Arial"/>
                <w:sz w:val="20"/>
                <w:szCs w:val="20"/>
              </w:rPr>
            </w:pPr>
          </w:p>
          <w:p w:rsidRPr="00545333" w:rsidR="005E70B7" w:rsidP="0048723C" w:rsidRDefault="005E70B7" w14:paraId="2C1B3623" w14:textId="77777777">
            <w:pPr>
              <w:rPr>
                <w:rFonts w:ascii="Arial" w:hAnsi="Arial" w:cs="Arial"/>
                <w:sz w:val="20"/>
                <w:szCs w:val="20"/>
              </w:rPr>
            </w:pPr>
          </w:p>
        </w:tc>
      </w:tr>
    </w:tbl>
    <w:p w:rsidRPr="00545333" w:rsidR="005E70B7" w:rsidP="005E70B7" w:rsidRDefault="005E70B7" w14:paraId="1EC30253" w14:textId="77777777">
      <w:pPr>
        <w:rPr>
          <w:rFonts w:ascii="Arial" w:hAnsi="Arial" w:cs="Arial"/>
          <w:sz w:val="20"/>
          <w:szCs w:val="20"/>
        </w:rPr>
      </w:pPr>
    </w:p>
    <w:p w:rsidR="00173C46" w:rsidRDefault="00173C46" w14:paraId="73B10037" w14:textId="77777777"/>
    <w:sectPr w:rsidR="00173C46">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760E6" w14:textId="77777777" w:rsidR="004772BE" w:rsidRDefault="004772BE">
      <w:pPr>
        <w:spacing w:line="240" w:lineRule="auto"/>
      </w:pPr>
      <w:r>
        <w:separator/>
      </w:r>
    </w:p>
  </w:endnote>
  <w:endnote w:type="continuationSeparator" w:id="0">
    <w:p w14:paraId="660705F2" w14:textId="77777777" w:rsidR="004772BE" w:rsidRDefault="004772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DLaM Display">
    <w:charset w:val="00"/>
    <w:family w:val="auto"/>
    <w:pitch w:val="variable"/>
    <w:sig w:usb0="8000206F" w:usb1="42000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CA28D" w14:textId="77777777" w:rsidR="00173C46" w:rsidRDefault="00173C46">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84C8B" w14:textId="77777777" w:rsidR="004772BE" w:rsidRDefault="004772BE">
      <w:pPr>
        <w:pStyle w:val="Voetnoottekst"/>
      </w:pPr>
    </w:p>
  </w:footnote>
  <w:footnote w:type="continuationSeparator" w:id="0">
    <w:p w14:paraId="392095E1" w14:textId="77777777" w:rsidR="004772BE" w:rsidRDefault="004772BE">
      <w:pPr>
        <w:pStyle w:val="Voetnoottekst"/>
      </w:pPr>
    </w:p>
  </w:footnote>
  <w:footnote w:id="1">
    <w:p w14:paraId="0C1DA25C"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w:t>
      </w:r>
      <w:bookmarkStart w:id="1" w:name="_Hlk241070941"/>
      <w:r w:rsidRPr="00CF3E72">
        <w:rPr>
          <w:rFonts w:cs="Arial"/>
        </w:rPr>
        <w:t xml:space="preserve">Zie </w:t>
      </w:r>
      <w:r w:rsidRPr="00CF3E72">
        <w:rPr>
          <w:rFonts w:cs="Arial"/>
          <w:i/>
          <w:iCs/>
        </w:rPr>
        <w:t>Kamerstukken II</w:t>
      </w:r>
      <w:r w:rsidRPr="00CF3E72">
        <w:rPr>
          <w:rFonts w:cs="Arial"/>
        </w:rPr>
        <w:t xml:space="preserve"> 2024/25, 29 279, nr. 975 en </w:t>
      </w:r>
      <w:r w:rsidRPr="00CF3E72">
        <w:rPr>
          <w:rFonts w:cs="Arial"/>
          <w:i/>
          <w:iCs/>
        </w:rPr>
        <w:t>Kamerstukken I</w:t>
      </w:r>
      <w:r w:rsidRPr="00CF3E72">
        <w:rPr>
          <w:rFonts w:cs="Arial"/>
        </w:rPr>
        <w:t xml:space="preserve"> 2024/25, 35 925 VI, nr. AQ.</w:t>
      </w:r>
      <w:bookmarkEnd w:id="1"/>
    </w:p>
  </w:footnote>
  <w:footnote w:id="2">
    <w:p w14:paraId="67EA6D00"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Zie </w:t>
      </w:r>
      <w:bookmarkStart w:id="2" w:name="_Hlk239411112"/>
      <w:bookmarkStart w:id="3" w:name="_Hlk241071042"/>
      <w:r w:rsidRPr="00CF3E72">
        <w:rPr>
          <w:rFonts w:cs="Arial"/>
          <w:i/>
          <w:iCs/>
        </w:rPr>
        <w:t>Kamerstukken II</w:t>
      </w:r>
      <w:r w:rsidRPr="00CF3E72">
        <w:rPr>
          <w:rFonts w:cs="Arial"/>
        </w:rPr>
        <w:t xml:space="preserve"> 2025/26, 29 279, nr. 1002 en </w:t>
      </w:r>
      <w:bookmarkEnd w:id="2"/>
      <w:r w:rsidRPr="00CF3E72">
        <w:rPr>
          <w:rFonts w:cs="Arial"/>
          <w:i/>
          <w:iCs/>
        </w:rPr>
        <w:t xml:space="preserve">Kamerstukken I </w:t>
      </w:r>
      <w:r w:rsidRPr="00CF3E72">
        <w:rPr>
          <w:rFonts w:cs="Arial"/>
        </w:rPr>
        <w:t>2025/26, 35 925 VI / 34608 AT</w:t>
      </w:r>
      <w:bookmarkEnd w:id="3"/>
      <w:r w:rsidRPr="00CF3E72">
        <w:rPr>
          <w:rFonts w:cs="Arial"/>
        </w:rPr>
        <w:t>.</w:t>
      </w:r>
    </w:p>
  </w:footnote>
  <w:footnote w:id="3">
    <w:p w14:paraId="27648114" w14:textId="77777777" w:rsidR="001F35E7" w:rsidRPr="00CF3E72" w:rsidRDefault="001F35E7" w:rsidP="001F35E7">
      <w:pPr>
        <w:pStyle w:val="Voetnoottekst"/>
        <w:rPr>
          <w:rFonts w:ascii="Arial" w:hAnsi="Arial" w:cs="Arial"/>
        </w:rPr>
      </w:pPr>
      <w:r w:rsidRPr="00CF3E72">
        <w:rPr>
          <w:rStyle w:val="Voetnootmarkering"/>
          <w:rFonts w:cs="Arial"/>
        </w:rPr>
        <w:footnoteRef/>
      </w:r>
      <w:r w:rsidRPr="00CF3E72">
        <w:rPr>
          <w:rFonts w:cs="Arial"/>
        </w:rPr>
        <w:t xml:space="preserve"> Tijdens de monitoringsbijeenkomst zijn de bij de WAMCA betrokkenen (vertegenwoordigers van bedrijven, belangenorganisaties, advocaten, rechters, procesfinanciers en wetenschappers) gevraagd om een eerste reacties. Tijdens de focusgroepen zijn betrokkenen in de gelegenheid gesteld om nader in te gaan op specifieke onderwerpen. Voor de focusgroep over procesfinanciering zijn daarnaast (rechts)economen uitgenodigd.</w:t>
      </w:r>
    </w:p>
  </w:footnote>
  <w:footnote w:id="4">
    <w:p w14:paraId="55B89B34" w14:textId="3C90C60E"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Zie het Verslag van het commissiedebat Civielrechtelijke onderwerpen op 22 april 2026, </w:t>
      </w:r>
      <w:r w:rsidRPr="00CF3E72">
        <w:rPr>
          <w:rFonts w:cs="Arial"/>
          <w:i/>
          <w:iCs/>
        </w:rPr>
        <w:t>Kamerstukken II</w:t>
      </w:r>
      <w:r w:rsidRPr="00CF3E72">
        <w:rPr>
          <w:rFonts w:cs="Arial"/>
        </w:rPr>
        <w:t>, 2025/26,</w:t>
      </w:r>
      <w:r w:rsidR="00247B40">
        <w:rPr>
          <w:rFonts w:cs="Arial"/>
        </w:rPr>
        <w:t xml:space="preserve"> </w:t>
      </w:r>
      <w:r w:rsidRPr="00CF3E72">
        <w:rPr>
          <w:rFonts w:cs="Arial"/>
        </w:rPr>
        <w:t>29 279, nr. 1064.</w:t>
      </w:r>
    </w:p>
  </w:footnote>
  <w:footnote w:id="5">
    <w:p w14:paraId="262709E9"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Zie de toezeggingenlijst CD Civielrechtelijke onderwerpen van 22 april 2026, 2026D24990, TZ202604-199. Zie over de positie van de vakbonden ook de brief van FNV en CNV van 3 september 2026 aan mij, in afschrift aan Uw Kamer, https://www.cnv.nl/nieuws/cnv-en-fnv-vragen-aandacht-voor-rol-vakbonden-bij-wamca/#brief.</w:t>
      </w:r>
    </w:p>
  </w:footnote>
  <w:footnote w:id="6">
    <w:p w14:paraId="42B3F853"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w:t>
      </w:r>
      <w:bookmarkStart w:id="4" w:name="_Hlk241073328"/>
      <w:r w:rsidRPr="00CF3E72">
        <w:rPr>
          <w:rFonts w:cs="Arial"/>
          <w:i/>
          <w:iCs/>
        </w:rPr>
        <w:t>Kamerstukken II</w:t>
      </w:r>
      <w:r w:rsidRPr="00CF3E72">
        <w:rPr>
          <w:rFonts w:cs="Arial"/>
        </w:rPr>
        <w:t xml:space="preserve"> 2025/26, 29 279, nr. 1033.</w:t>
      </w:r>
      <w:bookmarkEnd w:id="4"/>
    </w:p>
  </w:footnote>
  <w:footnote w:id="7">
    <w:p w14:paraId="0D4A6956"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w:t>
      </w:r>
      <w:bookmarkStart w:id="5" w:name="_Hlk241073393"/>
      <w:r w:rsidRPr="00CF3E72">
        <w:rPr>
          <w:rFonts w:cs="Arial"/>
          <w:i/>
          <w:iCs/>
        </w:rPr>
        <w:t>Kamerstukken II</w:t>
      </w:r>
      <w:r w:rsidRPr="00CF3E72">
        <w:rPr>
          <w:rFonts w:cs="Arial"/>
        </w:rPr>
        <w:t xml:space="preserve"> 2025/26, 29 279, nr. 1034</w:t>
      </w:r>
      <w:bookmarkEnd w:id="5"/>
      <w:r w:rsidRPr="00CF3E72">
        <w:rPr>
          <w:rFonts w:cs="Arial"/>
        </w:rPr>
        <w:t>.</w:t>
      </w:r>
    </w:p>
  </w:footnote>
  <w:footnote w:id="8">
    <w:p w14:paraId="7AB7D245"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Zie hierover nader </w:t>
      </w:r>
      <w:hyperlink r:id="rId1" w:history="1">
        <w:r w:rsidRPr="00CF3E72">
          <w:rPr>
            <w:rStyle w:val="Hyperlink"/>
            <w:rFonts w:cs="Arial"/>
          </w:rPr>
          <w:t>Jaarlijkse rapportage 2024-2025: Tegenspraak onder druk | College voor de Rechten van de Mens</w:t>
        </w:r>
      </w:hyperlink>
      <w:r w:rsidRPr="00CF3E72">
        <w:rPr>
          <w:rFonts w:cs="Arial"/>
        </w:rPr>
        <w:t>,</w:t>
      </w:r>
      <w:r w:rsidRPr="00CF3E72">
        <w:t xml:space="preserve"> </w:t>
      </w:r>
      <w:r w:rsidRPr="00CF3E72">
        <w:rPr>
          <w:rFonts w:cs="Arial"/>
        </w:rPr>
        <w:t>https://publicaties.mensenrechten.nl/publicatie/24d329a2-cdb0-4f6e-9429-fb7ef9cf5e3.</w:t>
      </w:r>
    </w:p>
  </w:footnote>
  <w:footnote w:id="9">
    <w:p w14:paraId="790A8C96"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Artikel 3:305a lid 2, aanhef, BW.</w:t>
      </w:r>
    </w:p>
  </w:footnote>
  <w:footnote w:id="10">
    <w:p w14:paraId="24C04982" w14:textId="4F22E5FB" w:rsidR="001F35E7" w:rsidRPr="00CF3E72" w:rsidRDefault="001F35E7" w:rsidP="001F35E7">
      <w:pPr>
        <w:pStyle w:val="Voetnoottekst"/>
        <w:rPr>
          <w:rFonts w:cs="Arial"/>
        </w:rPr>
      </w:pPr>
      <w:r w:rsidRPr="00CF3E72">
        <w:rPr>
          <w:rStyle w:val="Voetnootmarkering"/>
          <w:rFonts w:cs="Arial"/>
        </w:rPr>
        <w:footnoteRef/>
      </w:r>
      <w:r w:rsidR="00247B40">
        <w:rPr>
          <w:rFonts w:cs="Arial"/>
        </w:rPr>
        <w:t xml:space="preserve"> </w:t>
      </w:r>
      <w:r w:rsidRPr="00CF3E72">
        <w:rPr>
          <w:rFonts w:cs="Arial"/>
        </w:rPr>
        <w:t xml:space="preserve">De belangenorganisatie moet bijvoorbeeld een toezichthoudend orgaan hebben (artikel 3:305a lid 2 onder a BW) en bestuurders mogen geen rechtstreeks of middellijk winstoogmerk hebben (artikel 3:305a lid 3 onder a BW). </w:t>
      </w:r>
    </w:p>
  </w:footnote>
  <w:footnote w:id="11">
    <w:p w14:paraId="3F813D15" w14:textId="32A361DA" w:rsidR="00A66462" w:rsidRDefault="00A66462">
      <w:pPr>
        <w:pStyle w:val="Voetnoottekst"/>
      </w:pPr>
      <w:r>
        <w:rPr>
          <w:rStyle w:val="Voetnootmarkering"/>
        </w:rPr>
        <w:footnoteRef/>
      </w:r>
      <w:r>
        <w:t xml:space="preserve"> Reden hiervoor was dat de wetgever voorzag dat </w:t>
      </w:r>
      <w:r w:rsidRPr="00A66462">
        <w:t>bepaalde collectieve acties naar hun aard niet aan de nieuwe ontvankelijkheidsvoorwaarden zouden kunnen voldoen. Het is uiteindelijk aan de rechter om ambtshalve te toetsen of in een concreet geval een uitzondering op de ontvankelijkheidseisen moet gelden (</w:t>
      </w:r>
      <w:r w:rsidRPr="00A25C37">
        <w:rPr>
          <w:i/>
          <w:iCs/>
        </w:rPr>
        <w:t>Kamerstukken II</w:t>
      </w:r>
      <w:r w:rsidRPr="00A66462">
        <w:t>, 2016</w:t>
      </w:r>
      <w:r w:rsidR="00A25C37">
        <w:t>/</w:t>
      </w:r>
      <w:r w:rsidRPr="00A66462">
        <w:t xml:space="preserve">17, 34 608, nr. 3, p. 28). </w:t>
      </w:r>
      <w:r>
        <w:t>Toepassing van lid 6 van artikel 3:305a BW kan</w:t>
      </w:r>
      <w:r w:rsidRPr="00A66462">
        <w:t xml:space="preserve"> gepast zijn wanneer een representatieve belangenorganisatie een andere vordering instelt dan een schadevergoeding en er een maatschappelijk belang mee is gemoeid (</w:t>
      </w:r>
      <w:r w:rsidRPr="00A25C37">
        <w:rPr>
          <w:i/>
          <w:iCs/>
        </w:rPr>
        <w:t>Kamerstukken II</w:t>
      </w:r>
      <w:r w:rsidRPr="00A66462">
        <w:t>, 2017</w:t>
      </w:r>
      <w:r w:rsidR="00A25C37">
        <w:t>/</w:t>
      </w:r>
      <w:r w:rsidRPr="00A66462">
        <w:t>18, 34 608, nr. 6, p. 21)</w:t>
      </w:r>
      <w:r>
        <w:t>.</w:t>
      </w:r>
    </w:p>
  </w:footnote>
  <w:footnote w:id="12">
    <w:p w14:paraId="7FD0D32B"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Artikel IV Wet van 20 maart 2019 tot wijziging van het Burgerlijk Wetboek en het Wetboek van Burgerlijke Rechtsvordering teneinde de afwikkeling van massaschade in een collectieve actie mogelijk te maken (Wet afwikkeling massaschade in collectieve actie), Stb. 2019, 130. </w:t>
      </w:r>
    </w:p>
  </w:footnote>
  <w:footnote w:id="13">
    <w:p w14:paraId="09421BC0"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w:t>
      </w:r>
      <w:hyperlink r:id="rId2" w:history="1">
        <w:r w:rsidRPr="00CF3E72">
          <w:rPr>
            <w:rStyle w:val="Hyperlink"/>
            <w:rFonts w:cs="Arial"/>
          </w:rPr>
          <w:t>Regeerprogramma. Uitwerking van het hoofdlijnenakkoord door het kabinet.pdf</w:t>
        </w:r>
      </w:hyperlink>
      <w:r w:rsidRPr="00CF3E72">
        <w:rPr>
          <w:rFonts w:cs="Arial"/>
        </w:rPr>
        <w:t xml:space="preserve"> van 13 september 2024.</w:t>
      </w:r>
    </w:p>
  </w:footnote>
  <w:footnote w:id="14">
    <w:p w14:paraId="482F436E" w14:textId="5F11B4FE"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Zie </w:t>
      </w:r>
      <w:r w:rsidRPr="00CF3E72">
        <w:rPr>
          <w:rFonts w:cs="Arial"/>
          <w:i/>
          <w:iCs/>
        </w:rPr>
        <w:t>Kamerstukken II</w:t>
      </w:r>
      <w:r w:rsidRPr="00CF3E72">
        <w:rPr>
          <w:rFonts w:cs="Arial"/>
        </w:rPr>
        <w:t xml:space="preserve"> 2022/23, 36 169, nr. 37 (gewijzigde motie Stoffer c.s.), </w:t>
      </w:r>
      <w:r w:rsidRPr="00CF3E72">
        <w:rPr>
          <w:rFonts w:cs="Arial"/>
          <w:i/>
          <w:iCs/>
        </w:rPr>
        <w:t>Kamerstukken II</w:t>
      </w:r>
      <w:r w:rsidRPr="00CF3E72">
        <w:rPr>
          <w:rFonts w:cs="Arial"/>
        </w:rPr>
        <w:t xml:space="preserve"> 2023/24, 36 169, nr. 41 (moties Diederik van Dijk c.s.) en </w:t>
      </w:r>
      <w:r w:rsidRPr="00CF3E72">
        <w:rPr>
          <w:rFonts w:cs="Arial"/>
          <w:i/>
          <w:iCs/>
        </w:rPr>
        <w:t>Kamerstukken I</w:t>
      </w:r>
      <w:r w:rsidRPr="00CF3E72">
        <w:rPr>
          <w:rFonts w:cs="Arial"/>
        </w:rPr>
        <w:t xml:space="preserve"> </w:t>
      </w:r>
      <w:r w:rsidR="00771380">
        <w:rPr>
          <w:rFonts w:cs="Arial"/>
        </w:rPr>
        <w:t xml:space="preserve">2022/23 </w:t>
      </w:r>
      <w:r w:rsidRPr="00CF3E72">
        <w:rPr>
          <w:rFonts w:cs="Arial"/>
        </w:rPr>
        <w:t>35 334 en 33 576</w:t>
      </w:r>
      <w:r w:rsidR="00771380">
        <w:rPr>
          <w:rFonts w:cs="Arial"/>
        </w:rPr>
        <w:t>, BF</w:t>
      </w:r>
      <w:r w:rsidRPr="00CF3E72">
        <w:rPr>
          <w:rFonts w:cs="Arial"/>
        </w:rPr>
        <w:t xml:space="preserve"> (toezegging T03660).</w:t>
      </w:r>
    </w:p>
  </w:footnote>
  <w:footnote w:id="15">
    <w:p w14:paraId="583AB305" w14:textId="2FC0E109"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Zie</w:t>
      </w:r>
      <w:r w:rsidR="00247B40">
        <w:rPr>
          <w:rFonts w:cs="Arial"/>
        </w:rPr>
        <w:t xml:space="preserve"> </w:t>
      </w:r>
      <w:r w:rsidRPr="00CF3E72">
        <w:rPr>
          <w:rFonts w:cs="Arial"/>
        </w:rPr>
        <w:t>rechtsvergelijkend rapport p. 57.</w:t>
      </w:r>
    </w:p>
  </w:footnote>
  <w:footnote w:id="16">
    <w:p w14:paraId="5EF29B69"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Die relatie tot de achterban kan bijvoorbeeld blijken uit actieve aansluiting bij de collectieve actie, donaties aan of lidmaatschap van een belangenorganisatie.</w:t>
      </w:r>
    </w:p>
  </w:footnote>
  <w:footnote w:id="17">
    <w:p w14:paraId="1C40E7C2" w14:textId="77777777" w:rsidR="001F35E7" w:rsidRPr="00CF3E72" w:rsidRDefault="001F35E7" w:rsidP="001F35E7">
      <w:pPr>
        <w:pStyle w:val="Voetnoottekst"/>
        <w:rPr>
          <w:rFonts w:ascii="Arial" w:hAnsi="Arial" w:cs="Arial"/>
        </w:rPr>
      </w:pPr>
      <w:r w:rsidRPr="00CF3E72">
        <w:rPr>
          <w:rStyle w:val="Voetnootmarkering"/>
          <w:rFonts w:cs="Arial"/>
        </w:rPr>
        <w:footnoteRef/>
      </w:r>
      <w:r w:rsidRPr="00CF3E72">
        <w:rPr>
          <w:rFonts w:cs="Arial"/>
        </w:rPr>
        <w:t xml:space="preserve"> Verdrag betreffende toegang tot informatie, inspraak in besluitvorming en toegang tot de rechter inzake milieuaangelegenheden, Aarhus, 25-06-1998, </w:t>
      </w:r>
      <w:proofErr w:type="spellStart"/>
      <w:r w:rsidRPr="00CF3E72">
        <w:rPr>
          <w:rFonts w:cs="Arial"/>
        </w:rPr>
        <w:t>Trb</w:t>
      </w:r>
      <w:proofErr w:type="spellEnd"/>
      <w:r w:rsidRPr="00CF3E72">
        <w:rPr>
          <w:rFonts w:cs="Arial"/>
        </w:rPr>
        <w:t xml:space="preserve">. 1998, 289 (Engelse en Franse tekst); </w:t>
      </w:r>
      <w:proofErr w:type="spellStart"/>
      <w:r w:rsidRPr="00CF3E72">
        <w:rPr>
          <w:rFonts w:cs="Arial"/>
        </w:rPr>
        <w:t>Trb</w:t>
      </w:r>
      <w:proofErr w:type="spellEnd"/>
      <w:r w:rsidRPr="00CF3E72">
        <w:rPr>
          <w:rFonts w:cs="Arial"/>
        </w:rPr>
        <w:t>. 2001, 73 (Nederlandse tekst).</w:t>
      </w:r>
    </w:p>
  </w:footnote>
  <w:footnote w:id="18">
    <w:p w14:paraId="0107C470"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Rechtsvergelijkend rapport, p. 36-39.</w:t>
      </w:r>
    </w:p>
  </w:footnote>
  <w:footnote w:id="19">
    <w:p w14:paraId="2207B0B1"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Evaluatierapport, p. 75-76.</w:t>
      </w:r>
    </w:p>
  </w:footnote>
  <w:footnote w:id="20">
    <w:p w14:paraId="1C122C07" w14:textId="77777777" w:rsidR="001F35E7" w:rsidRPr="00CF3E72" w:rsidRDefault="001F35E7" w:rsidP="001F35E7">
      <w:pPr>
        <w:pStyle w:val="Voetnoottekst"/>
        <w:rPr>
          <w:rFonts w:cs="Arial"/>
        </w:rPr>
      </w:pPr>
      <w:r w:rsidRPr="00CF3E72">
        <w:rPr>
          <w:rStyle w:val="Voetnootmarkering"/>
          <w:rFonts w:cs="Arial"/>
        </w:rPr>
        <w:footnoteRef/>
      </w:r>
      <w:r w:rsidRPr="00CF3E72">
        <w:rPr>
          <w:rFonts w:cs="Arial"/>
        </w:rPr>
        <w:t xml:space="preserve"> Van één collectieve actie was niet duidelijk in welke categorie deze thuishoort.</w:t>
      </w:r>
    </w:p>
  </w:footnote>
  <w:footnote w:id="21">
    <w:p w14:paraId="002FD097" w14:textId="7966EF12" w:rsidR="001F35E7" w:rsidRPr="00545333" w:rsidRDefault="001F35E7" w:rsidP="001F35E7">
      <w:pPr>
        <w:pStyle w:val="Voetnoottekst"/>
        <w:rPr>
          <w:rFonts w:ascii="Arial" w:hAnsi="Arial" w:cs="Arial"/>
          <w:sz w:val="18"/>
          <w:szCs w:val="18"/>
        </w:rPr>
      </w:pPr>
      <w:r w:rsidRPr="00CF3E72">
        <w:rPr>
          <w:rStyle w:val="Voetnootmarkering"/>
          <w:rFonts w:cs="Arial"/>
        </w:rPr>
        <w:footnoteRef/>
      </w:r>
      <w:r w:rsidRPr="00CF3E72">
        <w:rPr>
          <w:rFonts w:cs="Arial"/>
        </w:rPr>
        <w:t xml:space="preserve"> Uit het Centraal register voor collectieve vorderingen blijkt dat in de periode na het afsluiten van het evaluatieonderzoek (1 mei 2025 tot 1 september 2026) </w:t>
      </w:r>
      <w:r w:rsidR="00DF4D48">
        <w:rPr>
          <w:rFonts w:cs="Arial"/>
        </w:rPr>
        <w:t xml:space="preserve">nog geen collectieve schadeafwikkeling heeft plaatsgevonden. Er zijn </w:t>
      </w:r>
      <w:r w:rsidRPr="00CF3E72">
        <w:rPr>
          <w:rFonts w:cs="Arial"/>
        </w:rPr>
        <w:t>27 dagvaardingen geregistreerd, waarvan één kortgedingdagvaarding. Van de 26 bodemprocedures wordt in 17 gevallen schadevergoeding gevorderd. De 26 bodemprocedures hebben betrekking op 22 gebeurtenissen; in drie procedures zijn meerdere dagvaardingen over dezelfde gebeurtenis ingediend. Van de 26 bodemprocedures worden drie procedures tegen gemeenten gevoerd en drie tegen de Staat. Ook de ingeschreven kortgedingdagvaarding betreft een procedure tegen de Staat</w:t>
      </w:r>
      <w:r w:rsidRPr="001F35E7">
        <w:rPr>
          <w:rFonts w:cs="Arial"/>
          <w:sz w:val="16"/>
          <w:szCs w:val="16"/>
        </w:rPr>
        <w:t>.</w:t>
      </w:r>
      <w:r w:rsidRPr="00545333">
        <w:rPr>
          <w:rFonts w:ascii="Arial" w:hAnsi="Arial" w:cs="Arial"/>
          <w:sz w:val="18"/>
          <w:szCs w:val="18"/>
        </w:rPr>
        <w:t xml:space="preserve"> </w:t>
      </w:r>
    </w:p>
  </w:footnote>
  <w:footnote w:id="22">
    <w:p w14:paraId="4561E9FD"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Voor de bespreking van de aanbevelingen is het door de onderzoekers gebruikte begrip ‘reguliere acties’ (voor alle collectieve acties die niet op lid 6 van artikel 3:305a BW zijn gebaseerd) niet relevant. Onder lid 6 van artikel 3:305a BW kunnen naast vorderingen met een ideëel doel en een beperkt financieel belang ook vorderingen vallen waarop deze bepaling vanwege hun aard of vanwege de aard van de achterban wordt toegepast.</w:t>
      </w:r>
    </w:p>
  </w:footnote>
  <w:footnote w:id="23">
    <w:p w14:paraId="585A68C9"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Het gaat om gewenste duidelijkheid over het moment waarop bepaalde incidentele vorderingen beoordeeld mogen worden (aanbeveling 1) en over de vraag of de begrippen ‘gelijksoortigheid’ in 3:305a lid 1 BW en ‘voldoende gelijke feitelijke en rechtsvragen’ in artikel 1018c lid 5 onder b Rv dezelfde toetsingsmaatstaf betreffen (aanbeveling 2).</w:t>
      </w:r>
    </w:p>
  </w:footnote>
  <w:footnote w:id="24">
    <w:p w14:paraId="1F72DDB5" w14:textId="77777777" w:rsidR="001F35E7" w:rsidRPr="00B52155" w:rsidRDefault="001F35E7" w:rsidP="001F35E7">
      <w:pPr>
        <w:pStyle w:val="Voetnoottekst"/>
        <w:rPr>
          <w:rFonts w:cs="Arial"/>
          <w:lang w:val="en-US"/>
        </w:rPr>
      </w:pPr>
      <w:r w:rsidRPr="002E3E2A">
        <w:rPr>
          <w:rStyle w:val="Voetnootmarkering"/>
          <w:rFonts w:cs="Arial"/>
        </w:rPr>
        <w:footnoteRef/>
      </w:r>
      <w:r w:rsidRPr="00B52155">
        <w:rPr>
          <w:rFonts w:cs="Arial"/>
          <w:lang w:val="en-US"/>
        </w:rPr>
        <w:t xml:space="preserve"> Evaluatierapport, p. 235.</w:t>
      </w:r>
    </w:p>
  </w:footnote>
  <w:footnote w:id="25">
    <w:p w14:paraId="14B037CE" w14:textId="77777777" w:rsidR="001F35E7" w:rsidRPr="002E3E2A" w:rsidRDefault="001F35E7" w:rsidP="001F35E7">
      <w:pPr>
        <w:pStyle w:val="Voetnoottekst"/>
        <w:rPr>
          <w:rFonts w:cs="Arial"/>
          <w:lang w:val="en-US"/>
        </w:rPr>
      </w:pPr>
      <w:r w:rsidRPr="002E3E2A">
        <w:rPr>
          <w:rStyle w:val="Voetnootmarkering"/>
          <w:rFonts w:cs="Arial"/>
        </w:rPr>
        <w:footnoteRef/>
      </w:r>
      <w:bookmarkStart w:id="6" w:name="_Hlk238454816"/>
      <w:r w:rsidRPr="002E3E2A">
        <w:rPr>
          <w:rFonts w:cs="Arial"/>
          <w:lang w:val="en-US"/>
        </w:rPr>
        <w:t xml:space="preserve"> </w:t>
      </w:r>
      <w:bookmarkEnd w:id="6"/>
      <w:r w:rsidRPr="002E3E2A">
        <w:rPr>
          <w:rFonts w:cs="Arial"/>
          <w:lang w:val="en-US"/>
        </w:rPr>
        <w:t xml:space="preserve">HR 17 </w:t>
      </w:r>
      <w:proofErr w:type="spellStart"/>
      <w:r w:rsidRPr="002E3E2A">
        <w:rPr>
          <w:rFonts w:cs="Arial"/>
          <w:lang w:val="en-US"/>
        </w:rPr>
        <w:t>juli</w:t>
      </w:r>
      <w:proofErr w:type="spellEnd"/>
      <w:r w:rsidRPr="002E3E2A">
        <w:rPr>
          <w:rFonts w:cs="Arial"/>
          <w:lang w:val="en-US"/>
        </w:rPr>
        <w:t xml:space="preserve"> 2026, ECLI:NL:HR:2026:1198 (</w:t>
      </w:r>
      <w:r w:rsidRPr="002E3E2A">
        <w:rPr>
          <w:rFonts w:cs="Arial"/>
          <w:i/>
          <w:iCs/>
          <w:lang w:val="en-US"/>
        </w:rPr>
        <w:t>Oracle/</w:t>
      </w:r>
      <w:proofErr w:type="spellStart"/>
      <w:r w:rsidRPr="002E3E2A">
        <w:rPr>
          <w:rFonts w:cs="Arial"/>
          <w:i/>
          <w:iCs/>
          <w:lang w:val="en-US"/>
        </w:rPr>
        <w:t>Stichting</w:t>
      </w:r>
      <w:proofErr w:type="spellEnd"/>
      <w:r w:rsidRPr="002E3E2A">
        <w:rPr>
          <w:rFonts w:cs="Arial"/>
          <w:i/>
          <w:iCs/>
          <w:lang w:val="en-US"/>
        </w:rPr>
        <w:t xml:space="preserve"> The Privacy Collective</w:t>
      </w:r>
      <w:r w:rsidRPr="002E3E2A">
        <w:rPr>
          <w:rFonts w:cs="Arial"/>
          <w:lang w:val="en-US"/>
        </w:rPr>
        <w:t xml:space="preserve">), </w:t>
      </w:r>
      <w:proofErr w:type="spellStart"/>
      <w:r w:rsidRPr="002E3E2A">
        <w:rPr>
          <w:rFonts w:cs="Arial"/>
          <w:lang w:val="en-US"/>
        </w:rPr>
        <w:t>r.o</w:t>
      </w:r>
      <w:proofErr w:type="spellEnd"/>
      <w:r w:rsidRPr="002E3E2A">
        <w:rPr>
          <w:rFonts w:cs="Arial"/>
          <w:lang w:val="en-US"/>
        </w:rPr>
        <w:t xml:space="preserve">. 4.1.2-4.2.7. </w:t>
      </w:r>
    </w:p>
  </w:footnote>
  <w:footnote w:id="26">
    <w:p w14:paraId="4759A583" w14:textId="77777777" w:rsidR="001F35E7" w:rsidRPr="002E3E2A" w:rsidRDefault="001F35E7" w:rsidP="001F35E7">
      <w:pPr>
        <w:pStyle w:val="Voetnoottekst"/>
        <w:rPr>
          <w:rFonts w:cs="Arial"/>
          <w:lang w:val="en-US"/>
        </w:rPr>
      </w:pPr>
      <w:r w:rsidRPr="002E3E2A">
        <w:rPr>
          <w:rStyle w:val="Voetnootmarkering"/>
          <w:rFonts w:cs="Arial"/>
        </w:rPr>
        <w:footnoteRef/>
      </w:r>
      <w:r w:rsidRPr="002E3E2A">
        <w:rPr>
          <w:rFonts w:cs="Arial"/>
          <w:lang w:val="en-US"/>
        </w:rPr>
        <w:t xml:space="preserve"> HR 17 </w:t>
      </w:r>
      <w:proofErr w:type="spellStart"/>
      <w:r w:rsidRPr="002E3E2A">
        <w:rPr>
          <w:rFonts w:cs="Arial"/>
          <w:lang w:val="en-US"/>
        </w:rPr>
        <w:t>juli</w:t>
      </w:r>
      <w:proofErr w:type="spellEnd"/>
      <w:r w:rsidRPr="002E3E2A">
        <w:rPr>
          <w:rFonts w:cs="Arial"/>
          <w:lang w:val="en-US"/>
        </w:rPr>
        <w:t xml:space="preserve"> 2026, ECLI:NL:HR:2026:1198 (</w:t>
      </w:r>
      <w:r w:rsidRPr="002E3E2A">
        <w:rPr>
          <w:rFonts w:cs="Arial"/>
          <w:i/>
          <w:iCs/>
          <w:lang w:val="en-US"/>
        </w:rPr>
        <w:t>Oracle/</w:t>
      </w:r>
      <w:proofErr w:type="spellStart"/>
      <w:r w:rsidRPr="002E3E2A">
        <w:rPr>
          <w:rFonts w:cs="Arial"/>
          <w:i/>
          <w:iCs/>
          <w:lang w:val="en-US"/>
        </w:rPr>
        <w:t>Stichting</w:t>
      </w:r>
      <w:proofErr w:type="spellEnd"/>
      <w:r w:rsidRPr="002E3E2A">
        <w:rPr>
          <w:rFonts w:cs="Arial"/>
          <w:i/>
          <w:iCs/>
          <w:lang w:val="en-US"/>
        </w:rPr>
        <w:t xml:space="preserve"> The Privacy Collective</w:t>
      </w:r>
      <w:r w:rsidRPr="002E3E2A">
        <w:rPr>
          <w:rFonts w:cs="Arial"/>
          <w:lang w:val="en-US"/>
        </w:rPr>
        <w:t xml:space="preserve">), </w:t>
      </w:r>
      <w:proofErr w:type="spellStart"/>
      <w:r w:rsidRPr="002E3E2A">
        <w:rPr>
          <w:rFonts w:cs="Arial"/>
          <w:lang w:val="en-US"/>
        </w:rPr>
        <w:t>r.o</w:t>
      </w:r>
      <w:proofErr w:type="spellEnd"/>
      <w:r w:rsidRPr="002E3E2A">
        <w:rPr>
          <w:rFonts w:cs="Arial"/>
          <w:lang w:val="en-US"/>
        </w:rPr>
        <w:t>. 3.2.1-3.2.5.</w:t>
      </w:r>
    </w:p>
  </w:footnote>
  <w:footnote w:id="27">
    <w:p w14:paraId="552F7DF6" w14:textId="77777777" w:rsidR="001F35E7" w:rsidRPr="00B52155" w:rsidRDefault="001F35E7" w:rsidP="001F35E7">
      <w:pPr>
        <w:pStyle w:val="Voetnoottekst"/>
        <w:rPr>
          <w:rFonts w:cs="Arial"/>
          <w:lang w:val="en-US"/>
        </w:rPr>
      </w:pPr>
    </w:p>
  </w:footnote>
  <w:footnote w:id="28">
    <w:p w14:paraId="1A002B60" w14:textId="757C8429" w:rsidR="001F35E7" w:rsidRPr="002E3E2A" w:rsidRDefault="001F35E7" w:rsidP="001F35E7">
      <w:pPr>
        <w:pStyle w:val="Voetnoottekst"/>
        <w:rPr>
          <w:rStyle w:val="Voetnootmarkering"/>
        </w:rPr>
      </w:pPr>
      <w:r w:rsidRPr="002E3E2A">
        <w:rPr>
          <w:rStyle w:val="Voetnootmarkering"/>
        </w:rPr>
        <w:footnoteRef/>
      </w:r>
      <w:r w:rsidR="00CC50D4" w:rsidRPr="002E3E2A">
        <w:t xml:space="preserve"> </w:t>
      </w:r>
      <w:r w:rsidRPr="002E3E2A">
        <w:rPr>
          <w:rFonts w:cs="Arial"/>
        </w:rPr>
        <w:t xml:space="preserve">Arrest in incident HR 10 oktober 2025, ECLI:NL:HR:2025:1534 (Milieudefensie/Shell), </w:t>
      </w:r>
      <w:proofErr w:type="spellStart"/>
      <w:r w:rsidRPr="002E3E2A">
        <w:rPr>
          <w:rFonts w:cs="Arial"/>
        </w:rPr>
        <w:t>r.o.</w:t>
      </w:r>
      <w:proofErr w:type="spellEnd"/>
      <w:r w:rsidRPr="002E3E2A">
        <w:rPr>
          <w:rFonts w:cs="Arial"/>
        </w:rPr>
        <w:t xml:space="preserve"> 3.3.</w:t>
      </w:r>
    </w:p>
  </w:footnote>
  <w:footnote w:id="29">
    <w:p w14:paraId="138CAFA9"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Zie in dit verband ook de tekst van artikel 1018c lid 1 onder e over de informatie die de belangenorganisatie moet opnemen in de dagvaarding: “e. de gegevens die de rechter in staat stellen om voor deze collectieve vordering een exclusieve belangenbehartiger aan te wijzen, </w:t>
      </w:r>
      <w:r w:rsidRPr="002E3E2A">
        <w:rPr>
          <w:rFonts w:cs="Arial"/>
          <w:i/>
          <w:iCs/>
        </w:rPr>
        <w:t>voor het geval andere collectieve vorderingen voor dezelfde gebeurtenis overeenkomstig artikel 1018d worden ingesteld</w:t>
      </w:r>
      <w:r w:rsidRPr="002E3E2A">
        <w:rPr>
          <w:rFonts w:cs="Arial"/>
        </w:rPr>
        <w:t>”.</w:t>
      </w:r>
    </w:p>
  </w:footnote>
  <w:footnote w:id="30">
    <w:p w14:paraId="173B9933"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129-130. </w:t>
      </w:r>
    </w:p>
  </w:footnote>
  <w:footnote w:id="31">
    <w:p w14:paraId="6470F2D8"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Zie hierover ook de brief van FNV/CNV van 3 september 2026, p. 4, waarin wordt gewezen op het dwingendrechtelijke karakter van de kwalificatie van een arbeidsrelatie als arbeidsovereenkomst.</w:t>
      </w:r>
    </w:p>
  </w:footnote>
  <w:footnote w:id="32">
    <w:p w14:paraId="5C2146F2"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In het geval van een uitspraak over de kwalificatie van een arbeidsrelatie als arbeidsovereenkomst is nog wel denkbaar dat een individuele werker daarna duidelijk maakt waarom de bijzondere omstandigheden van zijn of haar arbeidsrelatie maken dat die arbeidsrelatie niet onder het bereik van de uitspraak valt en de werker dus daardoor niet gebonden is.</w:t>
      </w:r>
    </w:p>
  </w:footnote>
  <w:footnote w:id="33">
    <w:p w14:paraId="03ABA322"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131. </w:t>
      </w:r>
    </w:p>
  </w:footnote>
  <w:footnote w:id="34">
    <w:p w14:paraId="6A9E146F"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13 en 236.</w:t>
      </w:r>
    </w:p>
  </w:footnote>
  <w:footnote w:id="35">
    <w:p w14:paraId="4D82D24C" w14:textId="77777777" w:rsidR="001F35E7" w:rsidRPr="00B52155" w:rsidRDefault="001F35E7" w:rsidP="001F35E7">
      <w:pPr>
        <w:pStyle w:val="Voetnoottekst"/>
        <w:rPr>
          <w:rFonts w:cs="Arial"/>
          <w:lang w:val="en-US"/>
        </w:rPr>
      </w:pPr>
      <w:r w:rsidRPr="002E3E2A">
        <w:rPr>
          <w:rStyle w:val="Voetnootmarkering"/>
          <w:rFonts w:cs="Arial"/>
        </w:rPr>
        <w:footnoteRef/>
      </w:r>
      <w:r w:rsidRPr="00B52155">
        <w:rPr>
          <w:rFonts w:cs="Arial"/>
          <w:lang w:val="en-US"/>
        </w:rPr>
        <w:t xml:space="preserve"> HR 17 juli 2026, ECLI:NL:HR:2026:1198 (</w:t>
      </w:r>
      <w:r w:rsidRPr="00B52155">
        <w:rPr>
          <w:rFonts w:cs="Arial"/>
          <w:i/>
          <w:iCs/>
          <w:lang w:val="en-US"/>
        </w:rPr>
        <w:t>Oracle/Stichting The Privacy Collective</w:t>
      </w:r>
      <w:r w:rsidRPr="00B52155">
        <w:rPr>
          <w:rFonts w:cs="Arial"/>
          <w:lang w:val="en-US"/>
        </w:rPr>
        <w:t>), r.o. 3.3.6.</w:t>
      </w:r>
    </w:p>
  </w:footnote>
  <w:footnote w:id="36">
    <w:p w14:paraId="2ECA7DA2" w14:textId="77777777" w:rsidR="001F35E7" w:rsidRPr="00B52155" w:rsidRDefault="001F35E7" w:rsidP="001F35E7">
      <w:pPr>
        <w:pStyle w:val="Voetnoottekst"/>
        <w:rPr>
          <w:rFonts w:cs="Arial"/>
          <w:lang w:val="en-US"/>
        </w:rPr>
      </w:pPr>
      <w:r w:rsidRPr="002E3E2A">
        <w:rPr>
          <w:rStyle w:val="Voetnootmarkering"/>
          <w:rFonts w:cs="Arial"/>
        </w:rPr>
        <w:footnoteRef/>
      </w:r>
      <w:r w:rsidRPr="00B52155">
        <w:rPr>
          <w:rFonts w:cs="Arial"/>
          <w:lang w:val="en-US"/>
        </w:rPr>
        <w:t xml:space="preserve"> Idem. </w:t>
      </w:r>
    </w:p>
  </w:footnote>
  <w:footnote w:id="37">
    <w:p w14:paraId="29428965" w14:textId="77777777" w:rsidR="001F35E7" w:rsidRPr="00B52155" w:rsidRDefault="001F35E7" w:rsidP="001F35E7">
      <w:pPr>
        <w:pStyle w:val="Voetnoottekst"/>
        <w:rPr>
          <w:rFonts w:cs="Arial"/>
          <w:lang w:val="en-US"/>
        </w:rPr>
      </w:pPr>
      <w:r w:rsidRPr="002E3E2A">
        <w:rPr>
          <w:rStyle w:val="Voetnootmarkering"/>
          <w:rFonts w:cs="Arial"/>
        </w:rPr>
        <w:footnoteRef/>
      </w:r>
      <w:r w:rsidRPr="00B52155">
        <w:rPr>
          <w:rFonts w:cs="Arial"/>
          <w:lang w:val="en-US"/>
        </w:rPr>
        <w:t xml:space="preserve"> Zie ook Conclusie A-G De Bock (ECLI:NL:PHR:2026:129), vóór HR 17 juli 2026, ECLI:NL:HR:2026:1198 (</w:t>
      </w:r>
      <w:r w:rsidRPr="00B52155">
        <w:rPr>
          <w:rFonts w:cs="Arial"/>
          <w:i/>
          <w:iCs/>
          <w:lang w:val="en-US"/>
        </w:rPr>
        <w:t>Oracle/Stichting The Privacy Collective</w:t>
      </w:r>
      <w:r w:rsidRPr="00B52155">
        <w:rPr>
          <w:rFonts w:cs="Arial"/>
          <w:lang w:val="en-US"/>
        </w:rPr>
        <w:t xml:space="preserve">), punten 6.24-6.25. </w:t>
      </w:r>
    </w:p>
  </w:footnote>
  <w:footnote w:id="38">
    <w:p w14:paraId="789D9D7D" w14:textId="113C47B9"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In de </w:t>
      </w:r>
      <w:hyperlink r:id="rId3" w:history="1">
        <w:r w:rsidRPr="002E3E2A">
          <w:rPr>
            <w:rStyle w:val="Hyperlink"/>
            <w:rFonts w:cs="Arial"/>
          </w:rPr>
          <w:t>Jaarlijkse rapportage 2024-2025: Tegenspraak onder druk | College voor de Rechten van de Mens</w:t>
        </w:r>
      </w:hyperlink>
      <w:r w:rsidRPr="002E3E2A">
        <w:rPr>
          <w:rFonts w:cs="Arial"/>
        </w:rPr>
        <w:t>,</w:t>
      </w:r>
      <w:r w:rsidRPr="002E3E2A">
        <w:t xml:space="preserve"> </w:t>
      </w:r>
      <w:r w:rsidRPr="002E3E2A">
        <w:rPr>
          <w:rFonts w:cs="Arial"/>
        </w:rPr>
        <w:t>wijst het College voor de rechten van de mens</w:t>
      </w:r>
      <w:r w:rsidR="00917F9B">
        <w:rPr>
          <w:rFonts w:cs="Arial"/>
        </w:rPr>
        <w:t xml:space="preserve"> er</w:t>
      </w:r>
      <w:r w:rsidRPr="002E3E2A">
        <w:rPr>
          <w:rFonts w:cs="Arial"/>
        </w:rPr>
        <w:t xml:space="preserve"> bovendien op dat “Verdere aanscherping van het representativiteitsvereiste (…) de toegang tot de rechter voor deze organisaties nog verder [zou] kunnen belemmeren”.</w:t>
      </w:r>
    </w:p>
  </w:footnote>
  <w:footnote w:id="39">
    <w:p w14:paraId="51AFAE48"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Rechtsvergelijkend rapport, p. 30, evaluatierapport, p. 13.</w:t>
      </w:r>
    </w:p>
  </w:footnote>
  <w:footnote w:id="40">
    <w:p w14:paraId="5BBDF352"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Zie over dit Verdrag ook de brief van Staatssecretaris van Infrastructuur en Watermanagement van 2 juni 2026 Tweede beleidsreactie op onderzoek Universiteit Utrecht ‘Naar een robuuste implementatie van het Verdrag van Aarhus?’, </w:t>
      </w:r>
      <w:r w:rsidRPr="002E3E2A">
        <w:rPr>
          <w:rFonts w:cs="Arial"/>
          <w:i/>
          <w:iCs/>
        </w:rPr>
        <w:t>Kamerstukken II</w:t>
      </w:r>
      <w:r w:rsidRPr="002E3E2A">
        <w:rPr>
          <w:rFonts w:cs="Arial"/>
        </w:rPr>
        <w:t>, 2025/26, 28 663, nr. 85.</w:t>
      </w:r>
    </w:p>
  </w:footnote>
  <w:footnote w:id="41">
    <w:p w14:paraId="212C7199" w14:textId="71B2CFBF"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101-102</w:t>
      </w:r>
      <w:r w:rsidR="00A66462">
        <w:rPr>
          <w:rFonts w:cs="Arial"/>
        </w:rPr>
        <w:t xml:space="preserve"> en de </w:t>
      </w:r>
      <w:r w:rsidR="00202734">
        <w:rPr>
          <w:rFonts w:cs="Arial"/>
        </w:rPr>
        <w:t xml:space="preserve">rechtspraak genoemd in </w:t>
      </w:r>
      <w:r w:rsidR="00A66462">
        <w:rPr>
          <w:rFonts w:cs="Arial"/>
        </w:rPr>
        <w:t xml:space="preserve">voetnoot </w:t>
      </w:r>
      <w:r w:rsidR="00202734">
        <w:rPr>
          <w:rFonts w:cs="Arial"/>
        </w:rPr>
        <w:t>451.</w:t>
      </w:r>
    </w:p>
  </w:footnote>
  <w:footnote w:id="42">
    <w:p w14:paraId="410EC822"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Uit het evaluatierapport, p. 13 blijkt dat onder professionals die hebben deelgenomen aan het vragenlijstonderzoek verschil van mening bestaat of voor een kwalitatieve representativiteitstoets een wettelijke herziening nodig is. </w:t>
      </w:r>
    </w:p>
  </w:footnote>
  <w:footnote w:id="43">
    <w:p w14:paraId="64303728" w14:textId="77777777" w:rsidR="00514832" w:rsidRPr="002E3E2A" w:rsidRDefault="00514832" w:rsidP="00514832">
      <w:pPr>
        <w:pStyle w:val="Voetnoottekst"/>
        <w:rPr>
          <w:rFonts w:cs="Arial"/>
        </w:rPr>
      </w:pPr>
      <w:r w:rsidRPr="002E3E2A">
        <w:rPr>
          <w:rStyle w:val="Voetnootmarkering"/>
          <w:rFonts w:cs="Arial"/>
        </w:rPr>
        <w:footnoteRef/>
      </w:r>
      <w:r w:rsidRPr="002E3E2A">
        <w:rPr>
          <w:rFonts w:cs="Arial"/>
        </w:rPr>
        <w:t xml:space="preserve"> Evaluatierapport, p. 10.</w:t>
      </w:r>
    </w:p>
  </w:footnote>
  <w:footnote w:id="44">
    <w:p w14:paraId="28C0DF10" w14:textId="77777777" w:rsidR="00514832" w:rsidRPr="002E3E2A" w:rsidRDefault="00514832" w:rsidP="00514832">
      <w:pPr>
        <w:pStyle w:val="Voetnoottekst"/>
        <w:rPr>
          <w:rFonts w:cs="Arial"/>
        </w:rPr>
      </w:pPr>
      <w:r w:rsidRPr="002E3E2A">
        <w:rPr>
          <w:rStyle w:val="Voetnootmarkering"/>
          <w:rFonts w:cs="Arial"/>
        </w:rPr>
        <w:footnoteRef/>
      </w:r>
      <w:r w:rsidRPr="002E3E2A">
        <w:rPr>
          <w:rFonts w:cs="Arial"/>
        </w:rPr>
        <w:t xml:space="preserve"> Artikel 393 lid 2 Rv. </w:t>
      </w:r>
    </w:p>
  </w:footnote>
  <w:footnote w:id="45">
    <w:p w14:paraId="6F209A1D"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13.</w:t>
      </w:r>
    </w:p>
  </w:footnote>
  <w:footnote w:id="46">
    <w:p w14:paraId="59601639"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222. </w:t>
      </w:r>
    </w:p>
  </w:footnote>
  <w:footnote w:id="47">
    <w:p w14:paraId="56417A39"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De aanwijzing van een belangenorganisaties als bevoegde instantie voor het instellen van een collectieve actie in een andere lidstaat gebeurt door de Staatssecretaris van Justitie en Veiligheid (artikel 3:305e BW).</w:t>
      </w:r>
    </w:p>
  </w:footnote>
  <w:footnote w:id="48">
    <w:p w14:paraId="28FABDAA"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Er moet dan immers een systeem worden opgezet met normen, toetsing en rechtsmiddelen tegen weigering of intrekking van de certificering.</w:t>
      </w:r>
    </w:p>
  </w:footnote>
  <w:footnote w:id="49">
    <w:p w14:paraId="364AFE3F"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Groene Serie Burgerlijke Rechtsvordering, art. 94 Rv, </w:t>
      </w:r>
      <w:proofErr w:type="spellStart"/>
      <w:r w:rsidRPr="002E3E2A">
        <w:rPr>
          <w:rFonts w:cs="Arial"/>
        </w:rPr>
        <w:t>aant</w:t>
      </w:r>
      <w:proofErr w:type="spellEnd"/>
      <w:r w:rsidRPr="002E3E2A">
        <w:rPr>
          <w:rFonts w:cs="Arial"/>
        </w:rPr>
        <w:t>. 7.</w:t>
      </w:r>
    </w:p>
  </w:footnote>
  <w:footnote w:id="50">
    <w:p w14:paraId="76088868" w14:textId="1B5087AC" w:rsidR="001F35E7" w:rsidRPr="00B52155" w:rsidRDefault="001F35E7" w:rsidP="001F35E7">
      <w:pPr>
        <w:pStyle w:val="Voetnoottekst"/>
        <w:rPr>
          <w:rFonts w:cs="Arial"/>
          <w:lang w:val="en-US"/>
        </w:rPr>
      </w:pPr>
      <w:r w:rsidRPr="002E3E2A">
        <w:rPr>
          <w:rStyle w:val="Voetnootmarkering"/>
          <w:rFonts w:cs="Arial"/>
        </w:rPr>
        <w:footnoteRef/>
      </w:r>
      <w:r w:rsidRPr="002E3E2A">
        <w:rPr>
          <w:rFonts w:cs="Arial"/>
        </w:rPr>
        <w:t xml:space="preserve"> Vrijwel elke collectieve schadevergoedingsactie kent meerdere gedaagde partijen, vaak onderdelen binnen hetzelfde concern. zie bijv. </w:t>
      </w:r>
      <w:r w:rsidRPr="002E3E2A">
        <w:rPr>
          <w:rFonts w:cs="Arial"/>
          <w:lang w:val="en-US"/>
        </w:rPr>
        <w:t xml:space="preserve">HR 17 </w:t>
      </w:r>
      <w:proofErr w:type="spellStart"/>
      <w:r w:rsidRPr="002E3E2A">
        <w:rPr>
          <w:rFonts w:cs="Arial"/>
          <w:lang w:val="en-US"/>
        </w:rPr>
        <w:t>juli</w:t>
      </w:r>
      <w:proofErr w:type="spellEnd"/>
      <w:r w:rsidRPr="002E3E2A">
        <w:rPr>
          <w:rFonts w:cs="Arial"/>
          <w:lang w:val="en-US"/>
        </w:rPr>
        <w:t xml:space="preserve"> 2026, ECLI:NL:HR:2026:1198 (</w:t>
      </w:r>
      <w:r w:rsidRPr="002E3E2A">
        <w:rPr>
          <w:rFonts w:cs="Arial"/>
          <w:i/>
          <w:iCs/>
          <w:lang w:val="en-US"/>
        </w:rPr>
        <w:t>Oracle/</w:t>
      </w:r>
      <w:proofErr w:type="spellStart"/>
      <w:r w:rsidRPr="002E3E2A">
        <w:rPr>
          <w:rFonts w:cs="Arial"/>
          <w:i/>
          <w:iCs/>
          <w:lang w:val="en-US"/>
        </w:rPr>
        <w:t>Stichting</w:t>
      </w:r>
      <w:proofErr w:type="spellEnd"/>
      <w:r w:rsidRPr="002E3E2A">
        <w:rPr>
          <w:rFonts w:cs="Arial"/>
          <w:i/>
          <w:iCs/>
          <w:lang w:val="en-US"/>
        </w:rPr>
        <w:t xml:space="preserve"> The Privacy Collective</w:t>
      </w:r>
      <w:r w:rsidRPr="002E3E2A">
        <w:rPr>
          <w:rFonts w:cs="Arial"/>
          <w:lang w:val="en-US"/>
        </w:rPr>
        <w:t>)</w:t>
      </w:r>
      <w:r w:rsidRPr="00B52155">
        <w:rPr>
          <w:rFonts w:cs="Arial"/>
          <w:lang w:val="en-US"/>
        </w:rPr>
        <w:t>.</w:t>
      </w:r>
    </w:p>
  </w:footnote>
  <w:footnote w:id="51">
    <w:p w14:paraId="4065EF99"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171.</w:t>
      </w:r>
    </w:p>
  </w:footnote>
  <w:footnote w:id="52">
    <w:p w14:paraId="21A59720" w14:textId="614C2E60"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Zie bijv. hof Den Haag 25 april 2023, ECLI:NL:GHDHA:2023:736, waarin het hof de incidentele vordering van Mens en Milieu tot voeging aan de </w:t>
      </w:r>
      <w:r w:rsidR="00726D49">
        <w:rPr>
          <w:rFonts w:cs="Arial"/>
        </w:rPr>
        <w:t>kant</w:t>
      </w:r>
      <w:r w:rsidRPr="002E3E2A">
        <w:rPr>
          <w:rFonts w:cs="Arial"/>
        </w:rPr>
        <w:t xml:space="preserve"> van Shell in de appelprocedure in de zaak </w:t>
      </w:r>
      <w:r w:rsidRPr="002E3E2A">
        <w:rPr>
          <w:rFonts w:cs="Arial"/>
          <w:i/>
          <w:iCs/>
        </w:rPr>
        <w:t>Milieudefensie/Shell</w:t>
      </w:r>
      <w:r w:rsidRPr="002E3E2A">
        <w:rPr>
          <w:rFonts w:cs="Arial"/>
        </w:rPr>
        <w:t xml:space="preserve"> toewees. </w:t>
      </w:r>
    </w:p>
  </w:footnote>
  <w:footnote w:id="53">
    <w:p w14:paraId="68A37898"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12. </w:t>
      </w:r>
    </w:p>
  </w:footnote>
  <w:footnote w:id="54">
    <w:p w14:paraId="6256547B"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Zie volledige tekst aanbeveling 17 in de bijlage bij deze brief.</w:t>
      </w:r>
    </w:p>
  </w:footnote>
  <w:footnote w:id="55">
    <w:p w14:paraId="24F3D6CA"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Arrest in incident HR 10 oktober 2025, ECLI:NL:HR:2025:1534 (</w:t>
      </w:r>
      <w:r w:rsidRPr="002E3E2A">
        <w:rPr>
          <w:rFonts w:cs="Arial"/>
          <w:i/>
          <w:iCs/>
        </w:rPr>
        <w:t>Milieudefensie/Shell</w:t>
      </w:r>
      <w:r w:rsidRPr="002E3E2A">
        <w:rPr>
          <w:rFonts w:cs="Arial"/>
        </w:rPr>
        <w:t xml:space="preserve">), </w:t>
      </w:r>
      <w:proofErr w:type="spellStart"/>
      <w:r w:rsidRPr="002E3E2A">
        <w:rPr>
          <w:rFonts w:cs="Arial"/>
        </w:rPr>
        <w:t>r.o.</w:t>
      </w:r>
      <w:proofErr w:type="spellEnd"/>
      <w:r w:rsidRPr="002E3E2A">
        <w:rPr>
          <w:rFonts w:cs="Arial"/>
        </w:rPr>
        <w:t xml:space="preserve"> 3.3.</w:t>
      </w:r>
    </w:p>
  </w:footnote>
  <w:footnote w:id="56">
    <w:p w14:paraId="3983D0A2"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142.</w:t>
      </w:r>
    </w:p>
  </w:footnote>
  <w:footnote w:id="57">
    <w:p w14:paraId="10E7BB1C"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225.</w:t>
      </w:r>
    </w:p>
  </w:footnote>
  <w:footnote w:id="58">
    <w:p w14:paraId="2501D600" w14:textId="06D050BD" w:rsidR="001F35E7" w:rsidRPr="002E3E2A" w:rsidRDefault="001F35E7" w:rsidP="001F35E7">
      <w:pPr>
        <w:pStyle w:val="Voetnoottekst"/>
        <w:rPr>
          <w:rFonts w:cs="Arial"/>
          <w:b/>
          <w:bCs/>
        </w:rPr>
      </w:pPr>
      <w:r w:rsidRPr="002E3E2A">
        <w:rPr>
          <w:rStyle w:val="Voetnootmarkering"/>
          <w:rFonts w:cs="Arial"/>
        </w:rPr>
        <w:footnoteRef/>
      </w:r>
      <w:r w:rsidRPr="002E3E2A">
        <w:rPr>
          <w:rFonts w:cs="Arial"/>
        </w:rPr>
        <w:t xml:space="preserve"> Zie evaluatierapport p. 141-142. Zie bijvoorbeeld de voorzieningenrechter van de rechtbank Den Haag, die overwoog dat het wettelijk systeem niet toelaat dat naast de belangenbehartigende organisatie individuele gedupeerden als partij in dezelfde procedure een rechtsvordering instellen of zich in de procedure mengen via voeging of tussenkomst, onder verwijzing naar de </w:t>
      </w:r>
      <w:proofErr w:type="spellStart"/>
      <w:r w:rsidRPr="002E3E2A">
        <w:rPr>
          <w:rFonts w:cs="Arial"/>
        </w:rPr>
        <w:t>MvT</w:t>
      </w:r>
      <w:proofErr w:type="spellEnd"/>
      <w:r w:rsidRPr="002E3E2A">
        <w:rPr>
          <w:rFonts w:cs="Arial"/>
        </w:rPr>
        <w:t xml:space="preserve"> (</w:t>
      </w:r>
      <w:proofErr w:type="spellStart"/>
      <w:r w:rsidRPr="002E3E2A">
        <w:rPr>
          <w:rFonts w:cs="Arial"/>
        </w:rPr>
        <w:t>rb</w:t>
      </w:r>
      <w:proofErr w:type="spellEnd"/>
      <w:r w:rsidRPr="002E3E2A">
        <w:rPr>
          <w:rFonts w:cs="Arial"/>
        </w:rPr>
        <w:t>. Den Haag (</w:t>
      </w:r>
      <w:proofErr w:type="spellStart"/>
      <w:r w:rsidRPr="002E3E2A">
        <w:rPr>
          <w:rFonts w:cs="Arial"/>
        </w:rPr>
        <w:t>Vzr</w:t>
      </w:r>
      <w:proofErr w:type="spellEnd"/>
      <w:r w:rsidRPr="002E3E2A">
        <w:rPr>
          <w:rFonts w:cs="Arial"/>
        </w:rPr>
        <w:t>) 13 oktober 2023, ECLI:NL:RBDHA:2023:15385 (</w:t>
      </w:r>
      <w:r w:rsidRPr="002E3E2A">
        <w:rPr>
          <w:rFonts w:cs="Arial"/>
          <w:i/>
          <w:iCs/>
        </w:rPr>
        <w:t>XR/Staat &amp; Gemeente Den Haag</w:t>
      </w:r>
      <w:r w:rsidRPr="002E3E2A">
        <w:rPr>
          <w:rFonts w:cs="Arial"/>
        </w:rPr>
        <w:t xml:space="preserve">), </w:t>
      </w:r>
      <w:proofErr w:type="spellStart"/>
      <w:r w:rsidRPr="002E3E2A">
        <w:rPr>
          <w:rFonts w:cs="Arial"/>
        </w:rPr>
        <w:t>r.o.</w:t>
      </w:r>
      <w:proofErr w:type="spellEnd"/>
      <w:r w:rsidRPr="002E3E2A">
        <w:rPr>
          <w:rFonts w:cs="Arial"/>
        </w:rPr>
        <w:t xml:space="preserve"> 4.6). De rechtbank Midden-Nederland oordeelde, eveneens onder verwijzing naar de </w:t>
      </w:r>
      <w:proofErr w:type="spellStart"/>
      <w:r w:rsidRPr="002E3E2A">
        <w:rPr>
          <w:rFonts w:cs="Arial"/>
        </w:rPr>
        <w:t>MvT</w:t>
      </w:r>
      <w:proofErr w:type="spellEnd"/>
      <w:r w:rsidRPr="002E3E2A">
        <w:rPr>
          <w:rFonts w:cs="Arial"/>
        </w:rPr>
        <w:t xml:space="preserve">, dat individuele eisers zich niet kunnen voegen aan de </w:t>
      </w:r>
      <w:r w:rsidR="00726D49">
        <w:rPr>
          <w:rFonts w:cs="Arial"/>
        </w:rPr>
        <w:t>kant</w:t>
      </w:r>
      <w:r w:rsidRPr="002E3E2A">
        <w:rPr>
          <w:rFonts w:cs="Arial"/>
        </w:rPr>
        <w:t xml:space="preserve"> van de belangenorganisaties, maar dat zij wel naast de belangenorganisatie een vordering kunnen instellen (</w:t>
      </w:r>
      <w:proofErr w:type="spellStart"/>
      <w:r w:rsidRPr="002E3E2A">
        <w:rPr>
          <w:rFonts w:cs="Arial"/>
        </w:rPr>
        <w:t>rb</w:t>
      </w:r>
      <w:proofErr w:type="spellEnd"/>
      <w:r w:rsidRPr="002E3E2A">
        <w:rPr>
          <w:rFonts w:cs="Arial"/>
        </w:rPr>
        <w:t>. Midden-Nederland 17 juli 2024, ECLI:NL:RBMNE:2024:4106 (</w:t>
      </w:r>
      <w:r w:rsidRPr="002E3E2A">
        <w:rPr>
          <w:rFonts w:cs="Arial"/>
          <w:i/>
          <w:iCs/>
        </w:rPr>
        <w:t>DBC c.s./</w:t>
      </w:r>
      <w:proofErr w:type="spellStart"/>
      <w:r w:rsidRPr="002E3E2A">
        <w:rPr>
          <w:rFonts w:cs="Arial"/>
          <w:i/>
          <w:iCs/>
        </w:rPr>
        <w:t>NZa</w:t>
      </w:r>
      <w:proofErr w:type="spellEnd"/>
      <w:r w:rsidRPr="002E3E2A">
        <w:rPr>
          <w:rFonts w:cs="Arial"/>
        </w:rPr>
        <w:t xml:space="preserve">), </w:t>
      </w:r>
      <w:proofErr w:type="spellStart"/>
      <w:r w:rsidRPr="002E3E2A">
        <w:rPr>
          <w:rFonts w:cs="Arial"/>
        </w:rPr>
        <w:t>rov</w:t>
      </w:r>
      <w:proofErr w:type="spellEnd"/>
      <w:r w:rsidRPr="002E3E2A">
        <w:rPr>
          <w:rFonts w:cs="Arial"/>
        </w:rPr>
        <w:t>. 4.41-4.44).</w:t>
      </w:r>
    </w:p>
  </w:footnote>
  <w:footnote w:id="59">
    <w:p w14:paraId="527B73A6"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https://www.hogeraad.nl/actueel/lopende-zaken/?zoeken_term=ECLI%3ANL%3AGHDHA%3A2025%3A2437&amp;Sector=1&amp;Instantie=&amp;Soortzaak=&amp;Status=, Incidenteel cassatie beroep tegen ECLI:NL:GHDHA:2025:2437. </w:t>
      </w:r>
    </w:p>
  </w:footnote>
  <w:footnote w:id="60">
    <w:p w14:paraId="6510833D"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Ik ga er daarbij vanuit dat een oordeel over de toelaatbaarheid van voeging ook zal gelden voor tussenkomst.</w:t>
      </w:r>
    </w:p>
  </w:footnote>
  <w:footnote w:id="61">
    <w:p w14:paraId="4587B67E"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12.</w:t>
      </w:r>
    </w:p>
  </w:footnote>
  <w:footnote w:id="62">
    <w:p w14:paraId="0270D8DE"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Evaluatierapport, p. 237.</w:t>
      </w:r>
    </w:p>
  </w:footnote>
  <w:footnote w:id="63">
    <w:p w14:paraId="3E3C6F00" w14:textId="79AF341D"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Zie het Verslag van het commissiedebat Civielrechtelijke onderwerpen op 22 april 2026, </w:t>
      </w:r>
      <w:r w:rsidRPr="002E3E2A">
        <w:rPr>
          <w:rFonts w:cs="Arial"/>
          <w:i/>
          <w:iCs/>
        </w:rPr>
        <w:t>Kamerstukken II</w:t>
      </w:r>
      <w:r w:rsidRPr="002E3E2A">
        <w:rPr>
          <w:rFonts w:cs="Arial"/>
        </w:rPr>
        <w:t>, 2025/26,</w:t>
      </w:r>
      <w:r w:rsidR="00247B40">
        <w:rPr>
          <w:rFonts w:cs="Arial"/>
        </w:rPr>
        <w:t xml:space="preserve"> </w:t>
      </w:r>
      <w:r w:rsidRPr="002E3E2A">
        <w:rPr>
          <w:rFonts w:cs="Arial"/>
        </w:rPr>
        <w:t xml:space="preserve">29 279, nr. 1064. De maatschappelijke gevolgen vielen buiten de reikwijdte van het evaluatieonderzoek, zie p. 32 van het evaluatierapport. </w:t>
      </w:r>
    </w:p>
  </w:footnote>
  <w:footnote w:id="64">
    <w:p w14:paraId="2F7B2F3E"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Zie in dit kader ook de brief van VNO NCW en VEUO d.d. 30 maart 2026 aan de staatssecretaris J&amp;V en ministers van EZK en Financiën over de werking van het Nederlandse stelsel rond collectieve acties. </w:t>
      </w:r>
    </w:p>
  </w:footnote>
  <w:footnote w:id="65">
    <w:p w14:paraId="23D018A5"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Motie van het lid Postma (36600 L, 18).</w:t>
      </w:r>
    </w:p>
  </w:footnote>
  <w:footnote w:id="66">
    <w:p w14:paraId="014E317C" w14:textId="31EFE11A"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Wel zijn </w:t>
      </w:r>
      <w:r w:rsidR="00514832" w:rsidRPr="002E3E2A">
        <w:rPr>
          <w:rFonts w:cs="Arial"/>
        </w:rPr>
        <w:t>de onderzoekers</w:t>
      </w:r>
      <w:r w:rsidRPr="002E3E2A">
        <w:rPr>
          <w:rFonts w:cs="Arial"/>
        </w:rPr>
        <w:t xml:space="preserve"> kort ingegaan op de verwerkingsverantwoordelijkheid onder de AVG voor de in het register geplaatste informatie.</w:t>
      </w:r>
    </w:p>
  </w:footnote>
  <w:footnote w:id="67">
    <w:p w14:paraId="2FCD16B9" w14:textId="77777777"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Zie bijvoorbeeld artikel 4:24a Wet financieel toezicht.</w:t>
      </w:r>
    </w:p>
  </w:footnote>
  <w:footnote w:id="68">
    <w:p w14:paraId="69ED8548" w14:textId="55831E33" w:rsidR="001F35E7" w:rsidRPr="002E3E2A" w:rsidRDefault="001F35E7" w:rsidP="001F35E7">
      <w:pPr>
        <w:pStyle w:val="Voetnoottekst"/>
        <w:rPr>
          <w:rFonts w:cs="Arial"/>
        </w:rPr>
      </w:pPr>
      <w:r w:rsidRPr="002E3E2A">
        <w:rPr>
          <w:rStyle w:val="Voetnootmarkering"/>
          <w:rFonts w:cs="Arial"/>
        </w:rPr>
        <w:footnoteRef/>
      </w:r>
      <w:r w:rsidRPr="002E3E2A">
        <w:rPr>
          <w:rFonts w:cs="Arial"/>
        </w:rPr>
        <w:t xml:space="preserve"> De door FNV/CNV in hun brief genoemde Temper-zaak (Hof Amsterdam 16 juni 2026, ECLI:NL:GHAMS:2026:1612) ligt op dit moment bij de Hoge Raad.</w:t>
      </w:r>
    </w:p>
  </w:footnote>
  <w:footnote w:id="69">
    <w:p w14:paraId="3A3CFAC7" w14:textId="77777777" w:rsidR="005E70B7" w:rsidRPr="00545333" w:rsidRDefault="005E70B7" w:rsidP="005E70B7">
      <w:pPr>
        <w:pStyle w:val="Voetnoottekst"/>
        <w:rPr>
          <w:rFonts w:ascii="Arial" w:hAnsi="Arial" w:cs="Arial"/>
          <w:sz w:val="18"/>
          <w:szCs w:val="18"/>
        </w:rPr>
      </w:pPr>
      <w:r w:rsidRPr="00545333">
        <w:rPr>
          <w:rStyle w:val="Voetnootmarkering"/>
          <w:rFonts w:ascii="Arial" w:hAnsi="Arial" w:cs="Arial"/>
          <w:sz w:val="18"/>
          <w:szCs w:val="18"/>
        </w:rPr>
        <w:footnoteRef/>
      </w:r>
      <w:r w:rsidRPr="00545333">
        <w:rPr>
          <w:rFonts w:ascii="Arial" w:hAnsi="Arial" w:cs="Arial"/>
          <w:sz w:val="18"/>
          <w:szCs w:val="18"/>
        </w:rPr>
        <w:t xml:space="preserve"> Zie p. 235-237 Evaluatierapport.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0D2FE" w14:textId="77777777" w:rsidR="00173C46" w:rsidRDefault="005E70B7">
    <w:r>
      <w:rPr>
        <w:noProof/>
      </w:rPr>
      <mc:AlternateContent>
        <mc:Choice Requires="wps">
          <w:drawing>
            <wp:anchor distT="0" distB="0" distL="0" distR="0" simplePos="0" relativeHeight="251652608" behindDoc="0" locked="1" layoutInCell="1" allowOverlap="1" wp14:anchorId="5BD1F9A0" wp14:editId="2162460B">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9A96BD1" w14:textId="77777777" w:rsidR="00173C46" w:rsidRDefault="005E70B7">
                          <w:pPr>
                            <w:pStyle w:val="Referentiegegevensbold"/>
                          </w:pPr>
                          <w:r>
                            <w:t>Datum</w:t>
                          </w:r>
                        </w:p>
                        <w:p w14:paraId="039A08D2" w14:textId="616F0B3D" w:rsidR="00173C46" w:rsidRDefault="00B52155">
                          <w:pPr>
                            <w:pStyle w:val="Referentiegegevens"/>
                          </w:pPr>
                          <w:r>
                            <w:t>12 oktober 2026</w:t>
                          </w:r>
                        </w:p>
                        <w:p w14:paraId="4751163D" w14:textId="77777777" w:rsidR="00173C46" w:rsidRDefault="00173C46">
                          <w:pPr>
                            <w:pStyle w:val="WitregelW1"/>
                          </w:pPr>
                        </w:p>
                        <w:p w14:paraId="0CCEF39C" w14:textId="77777777" w:rsidR="00173C46" w:rsidRDefault="005E70B7">
                          <w:pPr>
                            <w:pStyle w:val="Referentiegegevensbold"/>
                          </w:pPr>
                          <w:r>
                            <w:t>Onze referentie</w:t>
                          </w:r>
                        </w:p>
                        <w:p w14:paraId="7A646C27" w14:textId="59CF3D68" w:rsidR="00173C46" w:rsidRDefault="00B52155">
                          <w:pPr>
                            <w:pStyle w:val="Referentiegegevens"/>
                          </w:pPr>
                          <w:r w:rsidRPr="00B52155">
                            <w:t>8069507</w:t>
                          </w:r>
                        </w:p>
                      </w:txbxContent>
                    </wps:txbx>
                    <wps:bodyPr vert="horz" wrap="square" lIns="0" tIns="0" rIns="0" bIns="0" anchor="t" anchorCtr="0"/>
                  </wps:wsp>
                </a:graphicData>
              </a:graphic>
            </wp:anchor>
          </w:drawing>
        </mc:Choice>
        <mc:Fallback>
          <w:pict>
            <v:shapetype w14:anchorId="5BD1F9A0"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49A96BD1" w14:textId="77777777" w:rsidR="00173C46" w:rsidRDefault="005E70B7">
                    <w:pPr>
                      <w:pStyle w:val="Referentiegegevensbold"/>
                    </w:pPr>
                    <w:r>
                      <w:t>Datum</w:t>
                    </w:r>
                  </w:p>
                  <w:p w14:paraId="039A08D2" w14:textId="616F0B3D" w:rsidR="00173C46" w:rsidRDefault="00B52155">
                    <w:pPr>
                      <w:pStyle w:val="Referentiegegevens"/>
                    </w:pPr>
                    <w:r>
                      <w:t>12 oktober 2026</w:t>
                    </w:r>
                  </w:p>
                  <w:p w14:paraId="4751163D" w14:textId="77777777" w:rsidR="00173C46" w:rsidRDefault="00173C46">
                    <w:pPr>
                      <w:pStyle w:val="WitregelW1"/>
                    </w:pPr>
                  </w:p>
                  <w:p w14:paraId="0CCEF39C" w14:textId="77777777" w:rsidR="00173C46" w:rsidRDefault="005E70B7">
                    <w:pPr>
                      <w:pStyle w:val="Referentiegegevensbold"/>
                    </w:pPr>
                    <w:r>
                      <w:t>Onze referentie</w:t>
                    </w:r>
                  </w:p>
                  <w:p w14:paraId="7A646C27" w14:textId="59CF3D68" w:rsidR="00173C46" w:rsidRDefault="00B52155">
                    <w:pPr>
                      <w:pStyle w:val="Referentiegegevens"/>
                    </w:pPr>
                    <w:r w:rsidRPr="00B52155">
                      <w:t>8069507</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5225E272" wp14:editId="126D1013">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0DB510F8" w14:textId="17BE6FC1" w:rsidR="00173C46" w:rsidRDefault="00173C46">
                          <w:pPr>
                            <w:pStyle w:val="Rubricering"/>
                          </w:pPr>
                        </w:p>
                      </w:txbxContent>
                    </wps:txbx>
                    <wps:bodyPr vert="horz" wrap="square" lIns="0" tIns="0" rIns="0" bIns="0" anchor="t" anchorCtr="0"/>
                  </wps:wsp>
                </a:graphicData>
              </a:graphic>
            </wp:anchor>
          </w:drawing>
        </mc:Choice>
        <mc:Fallback>
          <w:pict>
            <v:shape w14:anchorId="5225E272"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0DB510F8" w14:textId="17BE6FC1" w:rsidR="00173C46" w:rsidRDefault="00173C46">
                    <w:pPr>
                      <w:pStyle w:val="Rubricering"/>
                    </w:pPr>
                  </w:p>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7D0E6883" wp14:editId="2CCC71F6">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397453F" w14:textId="77777777" w:rsidR="00173C46" w:rsidRDefault="005E70B7">
                          <w:pPr>
                            <w:pStyle w:val="Referentiegegevens"/>
                          </w:pPr>
                          <w:r>
                            <w:t xml:space="preserve">Pagina </w:t>
                          </w:r>
                          <w:r>
                            <w:fldChar w:fldCharType="begin"/>
                          </w:r>
                          <w:r>
                            <w:instrText>PAGE</w:instrText>
                          </w:r>
                          <w:r>
                            <w:fldChar w:fldCharType="separate"/>
                          </w:r>
                          <w:r w:rsidR="001F35E7">
                            <w:rPr>
                              <w:noProof/>
                            </w:rPr>
                            <w:t>2</w:t>
                          </w:r>
                          <w:r>
                            <w:fldChar w:fldCharType="end"/>
                          </w:r>
                          <w:r>
                            <w:t xml:space="preserve"> van </w:t>
                          </w:r>
                          <w:r>
                            <w:fldChar w:fldCharType="begin"/>
                          </w:r>
                          <w:r>
                            <w:instrText>NUMPAGES</w:instrText>
                          </w:r>
                          <w:r>
                            <w:fldChar w:fldCharType="separate"/>
                          </w:r>
                          <w:r w:rsidR="001F35E7">
                            <w:rPr>
                              <w:noProof/>
                            </w:rPr>
                            <w:t>2</w:t>
                          </w:r>
                          <w:r>
                            <w:fldChar w:fldCharType="end"/>
                          </w:r>
                        </w:p>
                      </w:txbxContent>
                    </wps:txbx>
                    <wps:bodyPr vert="horz" wrap="square" lIns="0" tIns="0" rIns="0" bIns="0" anchor="t" anchorCtr="0"/>
                  </wps:wsp>
                </a:graphicData>
              </a:graphic>
            </wp:anchor>
          </w:drawing>
        </mc:Choice>
        <mc:Fallback>
          <w:pict>
            <v:shape w14:anchorId="7D0E6883"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4397453F" w14:textId="77777777" w:rsidR="00173C46" w:rsidRDefault="005E70B7">
                    <w:pPr>
                      <w:pStyle w:val="Referentiegegevens"/>
                    </w:pPr>
                    <w:r>
                      <w:t xml:space="preserve">Pagina </w:t>
                    </w:r>
                    <w:r>
                      <w:fldChar w:fldCharType="begin"/>
                    </w:r>
                    <w:r>
                      <w:instrText>PAGE</w:instrText>
                    </w:r>
                    <w:r>
                      <w:fldChar w:fldCharType="separate"/>
                    </w:r>
                    <w:r w:rsidR="001F35E7">
                      <w:rPr>
                        <w:noProof/>
                      </w:rPr>
                      <w:t>2</w:t>
                    </w:r>
                    <w:r>
                      <w:fldChar w:fldCharType="end"/>
                    </w:r>
                    <w:r>
                      <w:t xml:space="preserve"> van </w:t>
                    </w:r>
                    <w:r>
                      <w:fldChar w:fldCharType="begin"/>
                    </w:r>
                    <w:r>
                      <w:instrText>NUMPAGES</w:instrText>
                    </w:r>
                    <w:r>
                      <w:fldChar w:fldCharType="separate"/>
                    </w:r>
                    <w:r w:rsidR="001F35E7">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90EA8" w14:textId="77777777" w:rsidR="00173C46" w:rsidRDefault="005E70B7">
    <w:pPr>
      <w:spacing w:after="6377" w:line="14" w:lineRule="exact"/>
    </w:pPr>
    <w:r>
      <w:rPr>
        <w:noProof/>
      </w:rPr>
      <mc:AlternateContent>
        <mc:Choice Requires="wps">
          <w:drawing>
            <wp:anchor distT="0" distB="0" distL="0" distR="0" simplePos="0" relativeHeight="251655680" behindDoc="0" locked="1" layoutInCell="1" allowOverlap="1" wp14:anchorId="3A3CB452" wp14:editId="45DE9258">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10A3E57D" w14:textId="77777777" w:rsidR="001F35E7" w:rsidRDefault="005E70B7">
                          <w:r>
                            <w:t xml:space="preserve">Aan de Voorzitter van de Tweede Kamer </w:t>
                          </w:r>
                        </w:p>
                        <w:p w14:paraId="2C975424" w14:textId="592C396D" w:rsidR="00173C46" w:rsidRDefault="005E70B7">
                          <w:r>
                            <w:t>der Staten Generaal</w:t>
                          </w:r>
                        </w:p>
                        <w:p w14:paraId="4483ABEA" w14:textId="77777777" w:rsidR="00173C46" w:rsidRDefault="005E70B7">
                          <w:r>
                            <w:t>Postbus 20018</w:t>
                          </w:r>
                        </w:p>
                        <w:p w14:paraId="0A670AC0" w14:textId="77777777" w:rsidR="00173C46" w:rsidRDefault="005E70B7">
                          <w:r>
                            <w:t>2500 EA   DEN HAAG</w:t>
                          </w:r>
                        </w:p>
                      </w:txbxContent>
                    </wps:txbx>
                    <wps:bodyPr vert="horz" wrap="square" lIns="0" tIns="0" rIns="0" bIns="0" anchor="t" anchorCtr="0"/>
                  </wps:wsp>
                </a:graphicData>
              </a:graphic>
            </wp:anchor>
          </w:drawing>
        </mc:Choice>
        <mc:Fallback>
          <w:pict>
            <v:shapetype w14:anchorId="3A3CB452"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10A3E57D" w14:textId="77777777" w:rsidR="001F35E7" w:rsidRDefault="005E70B7">
                    <w:r>
                      <w:t xml:space="preserve">Aan de Voorzitter van de Tweede Kamer </w:t>
                    </w:r>
                  </w:p>
                  <w:p w14:paraId="2C975424" w14:textId="592C396D" w:rsidR="00173C46" w:rsidRDefault="005E70B7">
                    <w:r>
                      <w:t>der Staten Generaal</w:t>
                    </w:r>
                  </w:p>
                  <w:p w14:paraId="4483ABEA" w14:textId="77777777" w:rsidR="00173C46" w:rsidRDefault="005E70B7">
                    <w:r>
                      <w:t>Postbus 20018</w:t>
                    </w:r>
                  </w:p>
                  <w:p w14:paraId="0A670AC0" w14:textId="77777777" w:rsidR="00173C46" w:rsidRDefault="005E70B7">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06A10AAC" wp14:editId="6B230DA6">
              <wp:simplePos x="1009015" y="3354704"/>
              <wp:positionH relativeFrom="page">
                <wp:posOffset>1009015</wp:posOffset>
              </wp:positionH>
              <wp:positionV relativeFrom="paragraph">
                <wp:posOffset>3354704</wp:posOffset>
              </wp:positionV>
              <wp:extent cx="4787900" cy="32385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173C46" w14:paraId="6293C049" w14:textId="77777777">
                            <w:trPr>
                              <w:trHeight w:val="240"/>
                            </w:trPr>
                            <w:tc>
                              <w:tcPr>
                                <w:tcW w:w="1140" w:type="dxa"/>
                              </w:tcPr>
                              <w:p w14:paraId="543473F1" w14:textId="77777777" w:rsidR="00173C46" w:rsidRDefault="005E70B7">
                                <w:r>
                                  <w:t>Datum</w:t>
                                </w:r>
                              </w:p>
                            </w:tc>
                            <w:tc>
                              <w:tcPr>
                                <w:tcW w:w="5918" w:type="dxa"/>
                              </w:tcPr>
                              <w:p w14:paraId="7B50B745" w14:textId="5523D964" w:rsidR="00173C46" w:rsidRDefault="00B52155">
                                <w:r>
                                  <w:t>12 oktober 2026</w:t>
                                </w:r>
                              </w:p>
                            </w:tc>
                          </w:tr>
                          <w:tr w:rsidR="00173C46" w14:paraId="20F0782D" w14:textId="77777777">
                            <w:trPr>
                              <w:trHeight w:val="240"/>
                            </w:trPr>
                            <w:tc>
                              <w:tcPr>
                                <w:tcW w:w="1140" w:type="dxa"/>
                              </w:tcPr>
                              <w:p w14:paraId="594491DA" w14:textId="77777777" w:rsidR="00173C46" w:rsidRDefault="005E70B7">
                                <w:r>
                                  <w:t>Betreft</w:t>
                                </w:r>
                              </w:p>
                            </w:tc>
                            <w:tc>
                              <w:tcPr>
                                <w:tcW w:w="5918" w:type="dxa"/>
                              </w:tcPr>
                              <w:p w14:paraId="369C3029" w14:textId="7D886E5E" w:rsidR="00173C46" w:rsidRDefault="006B4A93">
                                <w:r>
                                  <w:t>Kabinetsreactie WAMCA evaluatie</w:t>
                                </w:r>
                              </w:p>
                            </w:tc>
                          </w:tr>
                        </w:tbl>
                        <w:p w14:paraId="443F23AC" w14:textId="77777777" w:rsidR="005E70B7" w:rsidRDefault="005E70B7"/>
                      </w:txbxContent>
                    </wps:txbx>
                    <wps:bodyPr vert="horz" wrap="square" lIns="0" tIns="0" rIns="0" bIns="0" anchor="t" anchorCtr="0"/>
                  </wps:wsp>
                </a:graphicData>
              </a:graphic>
            </wp:anchor>
          </w:drawing>
        </mc:Choice>
        <mc:Fallback>
          <w:pict>
            <v:shape w14:anchorId="06A10AAC" id="46feebd0-aa3c-11ea-a756-beb5f67e67be" o:spid="_x0000_s1030" type="#_x0000_t202" style="position:absolute;margin-left:79.45pt;margin-top:264.15pt;width:377pt;height:25.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jXFeEp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173C46" w14:paraId="6293C049" w14:textId="77777777">
                      <w:trPr>
                        <w:trHeight w:val="240"/>
                      </w:trPr>
                      <w:tc>
                        <w:tcPr>
                          <w:tcW w:w="1140" w:type="dxa"/>
                        </w:tcPr>
                        <w:p w14:paraId="543473F1" w14:textId="77777777" w:rsidR="00173C46" w:rsidRDefault="005E70B7">
                          <w:r>
                            <w:t>Datum</w:t>
                          </w:r>
                        </w:p>
                      </w:tc>
                      <w:tc>
                        <w:tcPr>
                          <w:tcW w:w="5918" w:type="dxa"/>
                        </w:tcPr>
                        <w:p w14:paraId="7B50B745" w14:textId="5523D964" w:rsidR="00173C46" w:rsidRDefault="00B52155">
                          <w:r>
                            <w:t>12 oktober 2026</w:t>
                          </w:r>
                        </w:p>
                      </w:tc>
                    </w:tr>
                    <w:tr w:rsidR="00173C46" w14:paraId="20F0782D" w14:textId="77777777">
                      <w:trPr>
                        <w:trHeight w:val="240"/>
                      </w:trPr>
                      <w:tc>
                        <w:tcPr>
                          <w:tcW w:w="1140" w:type="dxa"/>
                        </w:tcPr>
                        <w:p w14:paraId="594491DA" w14:textId="77777777" w:rsidR="00173C46" w:rsidRDefault="005E70B7">
                          <w:r>
                            <w:t>Betreft</w:t>
                          </w:r>
                        </w:p>
                      </w:tc>
                      <w:tc>
                        <w:tcPr>
                          <w:tcW w:w="5918" w:type="dxa"/>
                        </w:tcPr>
                        <w:p w14:paraId="369C3029" w14:textId="7D886E5E" w:rsidR="00173C46" w:rsidRDefault="006B4A93">
                          <w:r>
                            <w:t>Kabinetsreactie WAMCA evaluatie</w:t>
                          </w:r>
                        </w:p>
                      </w:tc>
                    </w:tr>
                  </w:tbl>
                  <w:p w14:paraId="443F23AC" w14:textId="77777777" w:rsidR="005E70B7" w:rsidRDefault="005E70B7"/>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3ACF76BE" wp14:editId="440B1DFB">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5E5BED3" w14:textId="77777777" w:rsidR="00173C46" w:rsidRPr="00B52155" w:rsidRDefault="005E70B7">
                          <w:pPr>
                            <w:pStyle w:val="Referentiegegevens"/>
                            <w:rPr>
                              <w:lang w:val="de-DE"/>
                            </w:rPr>
                          </w:pPr>
                          <w:proofErr w:type="spellStart"/>
                          <w:r w:rsidRPr="00B52155">
                            <w:rPr>
                              <w:lang w:val="de-DE"/>
                            </w:rPr>
                            <w:t>Turfmarkt</w:t>
                          </w:r>
                          <w:proofErr w:type="spellEnd"/>
                          <w:r w:rsidRPr="00B52155">
                            <w:rPr>
                              <w:lang w:val="de-DE"/>
                            </w:rPr>
                            <w:t xml:space="preserve"> 147</w:t>
                          </w:r>
                        </w:p>
                        <w:p w14:paraId="59D65AAD" w14:textId="77777777" w:rsidR="00173C46" w:rsidRPr="00B52155" w:rsidRDefault="005E70B7">
                          <w:pPr>
                            <w:pStyle w:val="Referentiegegevens"/>
                            <w:rPr>
                              <w:lang w:val="de-DE"/>
                            </w:rPr>
                          </w:pPr>
                          <w:r w:rsidRPr="00B52155">
                            <w:rPr>
                              <w:lang w:val="de-DE"/>
                            </w:rPr>
                            <w:t>2511 DP  Den Haag</w:t>
                          </w:r>
                        </w:p>
                        <w:p w14:paraId="0F617744" w14:textId="77777777" w:rsidR="00173C46" w:rsidRPr="00B52155" w:rsidRDefault="005E70B7">
                          <w:pPr>
                            <w:pStyle w:val="Referentiegegevens"/>
                            <w:rPr>
                              <w:lang w:val="de-DE"/>
                            </w:rPr>
                          </w:pPr>
                          <w:r w:rsidRPr="00B52155">
                            <w:rPr>
                              <w:lang w:val="de-DE"/>
                            </w:rPr>
                            <w:t>Postbus 20301</w:t>
                          </w:r>
                        </w:p>
                        <w:p w14:paraId="29292C11" w14:textId="77777777" w:rsidR="00173C46" w:rsidRPr="00B52155" w:rsidRDefault="005E70B7">
                          <w:pPr>
                            <w:pStyle w:val="Referentiegegevens"/>
                            <w:rPr>
                              <w:lang w:val="de-DE"/>
                            </w:rPr>
                          </w:pPr>
                          <w:r w:rsidRPr="00B52155">
                            <w:rPr>
                              <w:lang w:val="de-DE"/>
                            </w:rPr>
                            <w:t>2500 EH  Den Haag</w:t>
                          </w:r>
                        </w:p>
                        <w:p w14:paraId="2B8C6324" w14:textId="77777777" w:rsidR="00173C46" w:rsidRPr="00B52155" w:rsidRDefault="005E70B7">
                          <w:pPr>
                            <w:pStyle w:val="Referentiegegevens"/>
                            <w:rPr>
                              <w:lang w:val="de-DE"/>
                            </w:rPr>
                          </w:pPr>
                          <w:r w:rsidRPr="00B52155">
                            <w:rPr>
                              <w:lang w:val="de-DE"/>
                            </w:rPr>
                            <w:t>www.rijksoverheid.nl/jenv</w:t>
                          </w:r>
                        </w:p>
                        <w:p w14:paraId="43C4232F" w14:textId="77777777" w:rsidR="00173C46" w:rsidRPr="00B52155" w:rsidRDefault="00173C46">
                          <w:pPr>
                            <w:pStyle w:val="WitregelW2"/>
                            <w:rPr>
                              <w:lang w:val="de-DE"/>
                            </w:rPr>
                          </w:pPr>
                        </w:p>
                        <w:p w14:paraId="5686AA60" w14:textId="77777777" w:rsidR="00173C46" w:rsidRDefault="005E70B7">
                          <w:pPr>
                            <w:pStyle w:val="Referentiegegevensbold"/>
                          </w:pPr>
                          <w:r>
                            <w:t>Onze referentie</w:t>
                          </w:r>
                        </w:p>
                        <w:p w14:paraId="0742F8B9" w14:textId="1ED96E1F" w:rsidR="00173C46" w:rsidRDefault="00B52155">
                          <w:pPr>
                            <w:pStyle w:val="Referentiegegevens"/>
                          </w:pPr>
                          <w:r w:rsidRPr="00B52155">
                            <w:t>8069507</w:t>
                          </w:r>
                        </w:p>
                        <w:p w14:paraId="2F4C8E80" w14:textId="77777777" w:rsidR="00173C46" w:rsidRDefault="00173C46">
                          <w:pPr>
                            <w:pStyle w:val="WitregelW1"/>
                          </w:pPr>
                        </w:p>
                        <w:p w14:paraId="27038E4E" w14:textId="77777777" w:rsidR="00173C46" w:rsidRDefault="005E70B7">
                          <w:pPr>
                            <w:pStyle w:val="Referentiegegevensbold"/>
                          </w:pPr>
                          <w:r>
                            <w:t>Bijlage(n)</w:t>
                          </w:r>
                        </w:p>
                        <w:p w14:paraId="4E771CF4" w14:textId="54F1F4A4" w:rsidR="00173C46" w:rsidRDefault="00B52155">
                          <w:pPr>
                            <w:pStyle w:val="Referentiegegevens"/>
                          </w:pPr>
                          <w:r>
                            <w:t>2</w:t>
                          </w:r>
                        </w:p>
                        <w:p w14:paraId="4A9E9595" w14:textId="77777777" w:rsidR="00173C46" w:rsidRDefault="00173C46">
                          <w:pPr>
                            <w:pStyle w:val="WitregelW2"/>
                          </w:pPr>
                        </w:p>
                      </w:txbxContent>
                    </wps:txbx>
                    <wps:bodyPr vert="horz" wrap="square" lIns="0" tIns="0" rIns="0" bIns="0" anchor="t" anchorCtr="0"/>
                  </wps:wsp>
                </a:graphicData>
              </a:graphic>
            </wp:anchor>
          </w:drawing>
        </mc:Choice>
        <mc:Fallback>
          <w:pict>
            <v:shape w14:anchorId="3ACF76BE"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05E5BED3" w14:textId="77777777" w:rsidR="00173C46" w:rsidRPr="00B52155" w:rsidRDefault="005E70B7">
                    <w:pPr>
                      <w:pStyle w:val="Referentiegegevens"/>
                      <w:rPr>
                        <w:lang w:val="de-DE"/>
                      </w:rPr>
                    </w:pPr>
                    <w:proofErr w:type="spellStart"/>
                    <w:r w:rsidRPr="00B52155">
                      <w:rPr>
                        <w:lang w:val="de-DE"/>
                      </w:rPr>
                      <w:t>Turfmarkt</w:t>
                    </w:r>
                    <w:proofErr w:type="spellEnd"/>
                    <w:r w:rsidRPr="00B52155">
                      <w:rPr>
                        <w:lang w:val="de-DE"/>
                      </w:rPr>
                      <w:t xml:space="preserve"> 147</w:t>
                    </w:r>
                  </w:p>
                  <w:p w14:paraId="59D65AAD" w14:textId="77777777" w:rsidR="00173C46" w:rsidRPr="00B52155" w:rsidRDefault="005E70B7">
                    <w:pPr>
                      <w:pStyle w:val="Referentiegegevens"/>
                      <w:rPr>
                        <w:lang w:val="de-DE"/>
                      </w:rPr>
                    </w:pPr>
                    <w:r w:rsidRPr="00B52155">
                      <w:rPr>
                        <w:lang w:val="de-DE"/>
                      </w:rPr>
                      <w:t>2511 DP  Den Haag</w:t>
                    </w:r>
                  </w:p>
                  <w:p w14:paraId="0F617744" w14:textId="77777777" w:rsidR="00173C46" w:rsidRPr="00B52155" w:rsidRDefault="005E70B7">
                    <w:pPr>
                      <w:pStyle w:val="Referentiegegevens"/>
                      <w:rPr>
                        <w:lang w:val="de-DE"/>
                      </w:rPr>
                    </w:pPr>
                    <w:r w:rsidRPr="00B52155">
                      <w:rPr>
                        <w:lang w:val="de-DE"/>
                      </w:rPr>
                      <w:t>Postbus 20301</w:t>
                    </w:r>
                  </w:p>
                  <w:p w14:paraId="29292C11" w14:textId="77777777" w:rsidR="00173C46" w:rsidRPr="00B52155" w:rsidRDefault="005E70B7">
                    <w:pPr>
                      <w:pStyle w:val="Referentiegegevens"/>
                      <w:rPr>
                        <w:lang w:val="de-DE"/>
                      </w:rPr>
                    </w:pPr>
                    <w:r w:rsidRPr="00B52155">
                      <w:rPr>
                        <w:lang w:val="de-DE"/>
                      </w:rPr>
                      <w:t>2500 EH  Den Haag</w:t>
                    </w:r>
                  </w:p>
                  <w:p w14:paraId="2B8C6324" w14:textId="77777777" w:rsidR="00173C46" w:rsidRPr="00B52155" w:rsidRDefault="005E70B7">
                    <w:pPr>
                      <w:pStyle w:val="Referentiegegevens"/>
                      <w:rPr>
                        <w:lang w:val="de-DE"/>
                      </w:rPr>
                    </w:pPr>
                    <w:r w:rsidRPr="00B52155">
                      <w:rPr>
                        <w:lang w:val="de-DE"/>
                      </w:rPr>
                      <w:t>www.rijksoverheid.nl/jenv</w:t>
                    </w:r>
                  </w:p>
                  <w:p w14:paraId="43C4232F" w14:textId="77777777" w:rsidR="00173C46" w:rsidRPr="00B52155" w:rsidRDefault="00173C46">
                    <w:pPr>
                      <w:pStyle w:val="WitregelW2"/>
                      <w:rPr>
                        <w:lang w:val="de-DE"/>
                      </w:rPr>
                    </w:pPr>
                  </w:p>
                  <w:p w14:paraId="5686AA60" w14:textId="77777777" w:rsidR="00173C46" w:rsidRDefault="005E70B7">
                    <w:pPr>
                      <w:pStyle w:val="Referentiegegevensbold"/>
                    </w:pPr>
                    <w:r>
                      <w:t>Onze referentie</w:t>
                    </w:r>
                  </w:p>
                  <w:p w14:paraId="0742F8B9" w14:textId="1ED96E1F" w:rsidR="00173C46" w:rsidRDefault="00B52155">
                    <w:pPr>
                      <w:pStyle w:val="Referentiegegevens"/>
                    </w:pPr>
                    <w:r w:rsidRPr="00B52155">
                      <w:t>8069507</w:t>
                    </w:r>
                  </w:p>
                  <w:p w14:paraId="2F4C8E80" w14:textId="77777777" w:rsidR="00173C46" w:rsidRDefault="00173C46">
                    <w:pPr>
                      <w:pStyle w:val="WitregelW1"/>
                    </w:pPr>
                  </w:p>
                  <w:p w14:paraId="27038E4E" w14:textId="77777777" w:rsidR="00173C46" w:rsidRDefault="005E70B7">
                    <w:pPr>
                      <w:pStyle w:val="Referentiegegevensbold"/>
                    </w:pPr>
                    <w:r>
                      <w:t>Bijlage(n)</w:t>
                    </w:r>
                  </w:p>
                  <w:p w14:paraId="4E771CF4" w14:textId="54F1F4A4" w:rsidR="00173C46" w:rsidRDefault="00B52155">
                    <w:pPr>
                      <w:pStyle w:val="Referentiegegevens"/>
                    </w:pPr>
                    <w:r>
                      <w:t>2</w:t>
                    </w:r>
                  </w:p>
                  <w:p w14:paraId="4A9E9595" w14:textId="77777777" w:rsidR="00173C46" w:rsidRDefault="00173C46">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798A008B" wp14:editId="3E43D6F2">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2E98BC4" w14:textId="1D653443" w:rsidR="00173C46" w:rsidRDefault="00173C46">
                          <w:pPr>
                            <w:pStyle w:val="Rubricering"/>
                          </w:pPr>
                        </w:p>
                      </w:txbxContent>
                    </wps:txbx>
                    <wps:bodyPr vert="horz" wrap="square" lIns="0" tIns="0" rIns="0" bIns="0" anchor="t" anchorCtr="0"/>
                  </wps:wsp>
                </a:graphicData>
              </a:graphic>
            </wp:anchor>
          </w:drawing>
        </mc:Choice>
        <mc:Fallback>
          <w:pict>
            <v:shape w14:anchorId="798A008B"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02E98BC4" w14:textId="1D653443" w:rsidR="00173C46" w:rsidRDefault="00173C46">
                    <w:pPr>
                      <w:pStyle w:val="Rubricering"/>
                    </w:pPr>
                  </w:p>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4B99E4E5" wp14:editId="69EEFD01">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FAE8DB1" w14:textId="77777777" w:rsidR="00173C46" w:rsidRDefault="005E70B7">
                          <w:pPr>
                            <w:pStyle w:val="Referentiegegevens"/>
                          </w:pPr>
                          <w:r>
                            <w:t xml:space="preserve">Pagina </w:t>
                          </w:r>
                          <w:r>
                            <w:fldChar w:fldCharType="begin"/>
                          </w:r>
                          <w:r>
                            <w:instrText>PAGE</w:instrText>
                          </w:r>
                          <w:r>
                            <w:fldChar w:fldCharType="separate"/>
                          </w:r>
                          <w:r w:rsidR="001F35E7">
                            <w:rPr>
                              <w:noProof/>
                            </w:rPr>
                            <w:t>1</w:t>
                          </w:r>
                          <w:r>
                            <w:fldChar w:fldCharType="end"/>
                          </w:r>
                          <w:r>
                            <w:t xml:space="preserve"> van </w:t>
                          </w:r>
                          <w:r>
                            <w:fldChar w:fldCharType="begin"/>
                          </w:r>
                          <w:r>
                            <w:instrText>NUMPAGES</w:instrText>
                          </w:r>
                          <w:r>
                            <w:fldChar w:fldCharType="separate"/>
                          </w:r>
                          <w:r w:rsidR="001F35E7">
                            <w:rPr>
                              <w:noProof/>
                            </w:rPr>
                            <w:t>2</w:t>
                          </w:r>
                          <w:r>
                            <w:fldChar w:fldCharType="end"/>
                          </w:r>
                        </w:p>
                      </w:txbxContent>
                    </wps:txbx>
                    <wps:bodyPr vert="horz" wrap="square" lIns="0" tIns="0" rIns="0" bIns="0" anchor="t" anchorCtr="0"/>
                  </wps:wsp>
                </a:graphicData>
              </a:graphic>
            </wp:anchor>
          </w:drawing>
        </mc:Choice>
        <mc:Fallback>
          <w:pict>
            <v:shape w14:anchorId="4B99E4E5"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1FAE8DB1" w14:textId="77777777" w:rsidR="00173C46" w:rsidRDefault="005E70B7">
                    <w:pPr>
                      <w:pStyle w:val="Referentiegegevens"/>
                    </w:pPr>
                    <w:r>
                      <w:t xml:space="preserve">Pagina </w:t>
                    </w:r>
                    <w:r>
                      <w:fldChar w:fldCharType="begin"/>
                    </w:r>
                    <w:r>
                      <w:instrText>PAGE</w:instrText>
                    </w:r>
                    <w:r>
                      <w:fldChar w:fldCharType="separate"/>
                    </w:r>
                    <w:r w:rsidR="001F35E7">
                      <w:rPr>
                        <w:noProof/>
                      </w:rPr>
                      <w:t>1</w:t>
                    </w:r>
                    <w:r>
                      <w:fldChar w:fldCharType="end"/>
                    </w:r>
                    <w:r>
                      <w:t xml:space="preserve"> van </w:t>
                    </w:r>
                    <w:r>
                      <w:fldChar w:fldCharType="begin"/>
                    </w:r>
                    <w:r>
                      <w:instrText>NUMPAGES</w:instrText>
                    </w:r>
                    <w:r>
                      <w:fldChar w:fldCharType="separate"/>
                    </w:r>
                    <w:r w:rsidR="001F35E7">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106D0B13" wp14:editId="424E871B">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FF420B3" w14:textId="77777777" w:rsidR="00173C46" w:rsidRDefault="005E70B7">
                          <w:pPr>
                            <w:spacing w:line="240" w:lineRule="auto"/>
                          </w:pPr>
                          <w:r>
                            <w:rPr>
                              <w:noProof/>
                            </w:rPr>
                            <w:drawing>
                              <wp:inline distT="0" distB="0" distL="0" distR="0" wp14:anchorId="6339D157" wp14:editId="3C20EE9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06D0B13"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FF420B3" w14:textId="77777777" w:rsidR="00173C46" w:rsidRDefault="005E70B7">
                    <w:pPr>
                      <w:spacing w:line="240" w:lineRule="auto"/>
                    </w:pPr>
                    <w:r>
                      <w:rPr>
                        <w:noProof/>
                      </w:rPr>
                      <w:drawing>
                        <wp:inline distT="0" distB="0" distL="0" distR="0" wp14:anchorId="6339D157" wp14:editId="3C20EE91">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59A20148" wp14:editId="37180544">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0AB9875" w14:textId="77777777" w:rsidR="00173C46" w:rsidRDefault="005E70B7">
                          <w:pPr>
                            <w:spacing w:line="240" w:lineRule="auto"/>
                          </w:pPr>
                          <w:r>
                            <w:rPr>
                              <w:noProof/>
                            </w:rPr>
                            <w:drawing>
                              <wp:inline distT="0" distB="0" distL="0" distR="0" wp14:anchorId="566D0319" wp14:editId="2F1CA86E">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9A20148"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30AB9875" w14:textId="77777777" w:rsidR="00173C46" w:rsidRDefault="005E70B7">
                    <w:pPr>
                      <w:spacing w:line="240" w:lineRule="auto"/>
                    </w:pPr>
                    <w:r>
                      <w:rPr>
                        <w:noProof/>
                      </w:rPr>
                      <w:drawing>
                        <wp:inline distT="0" distB="0" distL="0" distR="0" wp14:anchorId="566D0319" wp14:editId="2F1CA86E">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2F8EE0F0" wp14:editId="17582BDC">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42C7D47D" w14:textId="77777777" w:rsidR="00173C46" w:rsidRDefault="005E70B7">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2F8EE0F0"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42C7D47D" w14:textId="77777777" w:rsidR="00173C46" w:rsidRDefault="005E70B7">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30783B"/>
    <w:multiLevelType w:val="multilevel"/>
    <w:tmpl w:val="52201711"/>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 w15:restartNumberingAfterBreak="0">
    <w:nsid w:val="A70B49B0"/>
    <w:multiLevelType w:val="multilevel"/>
    <w:tmpl w:val="0B08448C"/>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E795548F"/>
    <w:multiLevelType w:val="multilevel"/>
    <w:tmpl w:val="034FCF7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03FC15F5"/>
    <w:multiLevelType w:val="hybridMultilevel"/>
    <w:tmpl w:val="FE0805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54432A9"/>
    <w:multiLevelType w:val="hybridMultilevel"/>
    <w:tmpl w:val="3664002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7BD0B11"/>
    <w:multiLevelType w:val="hybridMultilevel"/>
    <w:tmpl w:val="FB8CD55E"/>
    <w:lvl w:ilvl="0" w:tplc="A4E69DC4">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7DC06AE"/>
    <w:multiLevelType w:val="hybridMultilevel"/>
    <w:tmpl w:val="F722727A"/>
    <w:lvl w:ilvl="0" w:tplc="C248EE8C">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41D26A0B"/>
    <w:multiLevelType w:val="hybridMultilevel"/>
    <w:tmpl w:val="38544F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7346A0B"/>
    <w:multiLevelType w:val="hybridMultilevel"/>
    <w:tmpl w:val="E2DA42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4C7C8EB6"/>
    <w:multiLevelType w:val="multilevel"/>
    <w:tmpl w:val="350854D6"/>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55130751"/>
    <w:multiLevelType w:val="hybridMultilevel"/>
    <w:tmpl w:val="842E4B0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6CA07261"/>
    <w:multiLevelType w:val="hybridMultilevel"/>
    <w:tmpl w:val="9700425A"/>
    <w:lvl w:ilvl="0" w:tplc="C4AC8D36">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1E07AA0"/>
    <w:multiLevelType w:val="hybridMultilevel"/>
    <w:tmpl w:val="613821F8"/>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7BF77E10"/>
    <w:multiLevelType w:val="hybridMultilevel"/>
    <w:tmpl w:val="45F8B4F6"/>
    <w:lvl w:ilvl="0" w:tplc="C3AAC93E">
      <w:start w:val="1"/>
      <w:numFmt w:val="decimal"/>
      <w:lvlText w:val="%1."/>
      <w:lvlJc w:val="left"/>
      <w:pPr>
        <w:ind w:left="720" w:hanging="360"/>
      </w:pPr>
      <w:rPr>
        <w:rFonts w:hint="default"/>
        <w:b w:val="0"/>
        <w:bCs w:val="0"/>
        <w:i w:val="0"/>
        <w:iCs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DB738FD"/>
    <w:multiLevelType w:val="hybridMultilevel"/>
    <w:tmpl w:val="C02020F8"/>
    <w:lvl w:ilvl="0" w:tplc="87FAFB28">
      <w:start w:val="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53894255">
    <w:abstractNumId w:val="2"/>
  </w:num>
  <w:num w:numId="2" w16cid:durableId="35282509">
    <w:abstractNumId w:val="9"/>
  </w:num>
  <w:num w:numId="3" w16cid:durableId="544023329">
    <w:abstractNumId w:val="0"/>
  </w:num>
  <w:num w:numId="4" w16cid:durableId="40982278">
    <w:abstractNumId w:val="1"/>
  </w:num>
  <w:num w:numId="5" w16cid:durableId="1346974663">
    <w:abstractNumId w:val="4"/>
  </w:num>
  <w:num w:numId="6" w16cid:durableId="1765689681">
    <w:abstractNumId w:val="3"/>
  </w:num>
  <w:num w:numId="7" w16cid:durableId="1174345794">
    <w:abstractNumId w:val="11"/>
  </w:num>
  <w:num w:numId="8" w16cid:durableId="145826846">
    <w:abstractNumId w:val="5"/>
  </w:num>
  <w:num w:numId="9" w16cid:durableId="362944771">
    <w:abstractNumId w:val="14"/>
  </w:num>
  <w:num w:numId="10" w16cid:durableId="401104631">
    <w:abstractNumId w:val="12"/>
  </w:num>
  <w:num w:numId="11" w16cid:durableId="319845856">
    <w:abstractNumId w:val="6"/>
  </w:num>
  <w:num w:numId="12" w16cid:durableId="290985473">
    <w:abstractNumId w:val="13"/>
  </w:num>
  <w:num w:numId="13" w16cid:durableId="955139044">
    <w:abstractNumId w:val="10"/>
  </w:num>
  <w:num w:numId="14" w16cid:durableId="324206980">
    <w:abstractNumId w:val="7"/>
  </w:num>
  <w:num w:numId="15" w16cid:durableId="1423105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C46"/>
    <w:rsid w:val="000704F0"/>
    <w:rsid w:val="00073E8F"/>
    <w:rsid w:val="000D16FE"/>
    <w:rsid w:val="000F3EB8"/>
    <w:rsid w:val="001124A5"/>
    <w:rsid w:val="00124DD7"/>
    <w:rsid w:val="00147522"/>
    <w:rsid w:val="00151D80"/>
    <w:rsid w:val="00173C46"/>
    <w:rsid w:val="00175AAD"/>
    <w:rsid w:val="00197BE1"/>
    <w:rsid w:val="001A27A9"/>
    <w:rsid w:val="001D30FF"/>
    <w:rsid w:val="001D53F3"/>
    <w:rsid w:val="001D75D3"/>
    <w:rsid w:val="001F35E7"/>
    <w:rsid w:val="00202734"/>
    <w:rsid w:val="00247B40"/>
    <w:rsid w:val="00260233"/>
    <w:rsid w:val="002E3E2A"/>
    <w:rsid w:val="00306949"/>
    <w:rsid w:val="00321F3C"/>
    <w:rsid w:val="003750C8"/>
    <w:rsid w:val="003955FD"/>
    <w:rsid w:val="00407B69"/>
    <w:rsid w:val="00410378"/>
    <w:rsid w:val="0041748A"/>
    <w:rsid w:val="004772BE"/>
    <w:rsid w:val="004B7761"/>
    <w:rsid w:val="004D1413"/>
    <w:rsid w:val="00514832"/>
    <w:rsid w:val="005563D7"/>
    <w:rsid w:val="00556EBF"/>
    <w:rsid w:val="005817E6"/>
    <w:rsid w:val="005E70B7"/>
    <w:rsid w:val="005F68DA"/>
    <w:rsid w:val="006A2732"/>
    <w:rsid w:val="006B4A93"/>
    <w:rsid w:val="006C7AEE"/>
    <w:rsid w:val="006E1A48"/>
    <w:rsid w:val="006E24F4"/>
    <w:rsid w:val="00726D49"/>
    <w:rsid w:val="00736BA8"/>
    <w:rsid w:val="0073782A"/>
    <w:rsid w:val="00754318"/>
    <w:rsid w:val="00771380"/>
    <w:rsid w:val="00793AEA"/>
    <w:rsid w:val="007A3A5C"/>
    <w:rsid w:val="007D4ACF"/>
    <w:rsid w:val="007D6CA9"/>
    <w:rsid w:val="008946F8"/>
    <w:rsid w:val="0089470A"/>
    <w:rsid w:val="008F36A6"/>
    <w:rsid w:val="00902854"/>
    <w:rsid w:val="00917F9B"/>
    <w:rsid w:val="00940764"/>
    <w:rsid w:val="00946A17"/>
    <w:rsid w:val="00983504"/>
    <w:rsid w:val="009D2828"/>
    <w:rsid w:val="009F6FC5"/>
    <w:rsid w:val="00A2090C"/>
    <w:rsid w:val="00A25C37"/>
    <w:rsid w:val="00A30F3F"/>
    <w:rsid w:val="00A66462"/>
    <w:rsid w:val="00AE2636"/>
    <w:rsid w:val="00AE50B0"/>
    <w:rsid w:val="00B20936"/>
    <w:rsid w:val="00B513EF"/>
    <w:rsid w:val="00B52155"/>
    <w:rsid w:val="00BB0AAD"/>
    <w:rsid w:val="00BF7B2B"/>
    <w:rsid w:val="00C55D08"/>
    <w:rsid w:val="00C70086"/>
    <w:rsid w:val="00C706DF"/>
    <w:rsid w:val="00C91A54"/>
    <w:rsid w:val="00CC50D4"/>
    <w:rsid w:val="00CF3E72"/>
    <w:rsid w:val="00D66900"/>
    <w:rsid w:val="00D75D1C"/>
    <w:rsid w:val="00D7684E"/>
    <w:rsid w:val="00D97784"/>
    <w:rsid w:val="00DF4D48"/>
    <w:rsid w:val="00E07141"/>
    <w:rsid w:val="00E43450"/>
    <w:rsid w:val="00E93F5B"/>
    <w:rsid w:val="00F46369"/>
    <w:rsid w:val="00F6325B"/>
    <w:rsid w:val="00F72727"/>
    <w:rsid w:val="00F76FE6"/>
    <w:rsid w:val="00FA0884"/>
    <w:rsid w:val="00FB38CE"/>
    <w:rsid w:val="00FE72FA"/>
    <w:rsid w:val="00FF7B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E8C1B"/>
  <w15:docId w15:val="{4D6B1D03-8C1A-47F8-A880-D59CDB9B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uiPriority="9"/>
    <w:lsdException w:name="heading 2" w:semiHidden="1" w:uiPriority="9"/>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qFormat="1"/>
    <w:lsdException w:name="Subtle Reference" w:semiHidden="1" w:uiPriority="31"/>
    <w:lsdException w:name="Intense Reference" w:semiHidden="1" w:uiPriority="32" w:qFormat="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link w:val="Kop1Char"/>
    <w:uiPriority w:val="9"/>
    <w:qFormat/>
    <w:pPr>
      <w:tabs>
        <w:tab w:val="left" w:pos="0"/>
      </w:tabs>
      <w:spacing w:before="240"/>
      <w:outlineLvl w:val="0"/>
    </w:pPr>
    <w:rPr>
      <w:b/>
    </w:rPr>
  </w:style>
  <w:style w:type="paragraph" w:styleId="Kop2">
    <w:name w:val="heading 2"/>
    <w:basedOn w:val="Standaard"/>
    <w:next w:val="Standaard"/>
    <w:link w:val="Kop2Char"/>
    <w:uiPriority w:val="9"/>
    <w:qFormat/>
    <w:pPr>
      <w:tabs>
        <w:tab w:val="left" w:pos="0"/>
      </w:tabs>
      <w:spacing w:before="240" w:line="240" w:lineRule="exact"/>
      <w:outlineLvl w:val="1"/>
    </w:pPr>
    <w:rPr>
      <w:i/>
    </w:rPr>
  </w:style>
  <w:style w:type="paragraph" w:styleId="Kop3">
    <w:name w:val="heading 3"/>
    <w:basedOn w:val="Standaard"/>
    <w:next w:val="Standaard"/>
    <w:link w:val="Kop3Char"/>
    <w:uiPriority w:val="9"/>
    <w:qFormat/>
    <w:pPr>
      <w:tabs>
        <w:tab w:val="left" w:pos="0"/>
      </w:tabs>
      <w:spacing w:before="240" w:line="240" w:lineRule="exact"/>
      <w:ind w:left="-1120"/>
      <w:outlineLvl w:val="2"/>
    </w:pPr>
  </w:style>
  <w:style w:type="paragraph" w:styleId="Kop4">
    <w:name w:val="heading 4"/>
    <w:basedOn w:val="Standaard"/>
    <w:next w:val="Standaard"/>
    <w:link w:val="Kop4Char"/>
    <w:uiPriority w:val="9"/>
    <w:semiHidden/>
    <w:unhideWhenUsed/>
    <w:qFormat/>
    <w:rsid w:val="001F35E7"/>
    <w:pPr>
      <w:keepNext/>
      <w:keepLines/>
      <w:autoSpaceDN/>
      <w:spacing w:before="80" w:after="40" w:line="259" w:lineRule="auto"/>
      <w:textAlignment w:val="auto"/>
      <w:outlineLvl w:val="3"/>
    </w:pPr>
    <w:rPr>
      <w:rFonts w:asciiTheme="minorHAnsi" w:eastAsiaTheme="majorEastAsia" w:hAnsiTheme="minorHAnsi" w:cstheme="majorBidi"/>
      <w:i/>
      <w:iCs/>
      <w:color w:val="0F4761" w:themeColor="accent1" w:themeShade="BF"/>
      <w:kern w:val="2"/>
      <w:szCs w:val="22"/>
      <w:lang w:eastAsia="en-US"/>
      <w14:ligatures w14:val="standardContextual"/>
    </w:rPr>
  </w:style>
  <w:style w:type="paragraph" w:styleId="Kop5">
    <w:name w:val="heading 5"/>
    <w:basedOn w:val="Standaard"/>
    <w:next w:val="Standaard"/>
    <w:link w:val="Kop5Char"/>
    <w:uiPriority w:val="9"/>
    <w:semiHidden/>
    <w:unhideWhenUsed/>
    <w:qFormat/>
    <w:rsid w:val="001F35E7"/>
    <w:pPr>
      <w:keepNext/>
      <w:keepLines/>
      <w:autoSpaceDN/>
      <w:spacing w:before="80" w:after="40" w:line="259" w:lineRule="auto"/>
      <w:textAlignment w:val="auto"/>
      <w:outlineLvl w:val="4"/>
    </w:pPr>
    <w:rPr>
      <w:rFonts w:asciiTheme="minorHAnsi" w:eastAsiaTheme="majorEastAsia" w:hAnsiTheme="minorHAnsi" w:cstheme="majorBidi"/>
      <w:color w:val="0F4761" w:themeColor="accent1" w:themeShade="BF"/>
      <w:kern w:val="2"/>
      <w:szCs w:val="22"/>
      <w:lang w:eastAsia="en-US"/>
      <w14:ligatures w14:val="standardContextual"/>
    </w:rPr>
  </w:style>
  <w:style w:type="paragraph" w:styleId="Kop6">
    <w:name w:val="heading 6"/>
    <w:basedOn w:val="Standaard"/>
    <w:next w:val="Standaard"/>
    <w:link w:val="Kop6Char"/>
    <w:uiPriority w:val="9"/>
    <w:semiHidden/>
    <w:unhideWhenUsed/>
    <w:qFormat/>
    <w:rsid w:val="001F35E7"/>
    <w:pPr>
      <w:keepNext/>
      <w:keepLines/>
      <w:autoSpaceDN/>
      <w:spacing w:before="40" w:line="259" w:lineRule="auto"/>
      <w:textAlignment w:val="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Kop7">
    <w:name w:val="heading 7"/>
    <w:basedOn w:val="Standaard"/>
    <w:next w:val="Standaard"/>
    <w:link w:val="Kop7Char"/>
    <w:uiPriority w:val="9"/>
    <w:semiHidden/>
    <w:unhideWhenUsed/>
    <w:qFormat/>
    <w:rsid w:val="001F35E7"/>
    <w:pPr>
      <w:keepNext/>
      <w:keepLines/>
      <w:autoSpaceDN/>
      <w:spacing w:before="40" w:line="259" w:lineRule="auto"/>
      <w:textAlignment w:val="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Kop8">
    <w:name w:val="heading 8"/>
    <w:basedOn w:val="Standaard"/>
    <w:next w:val="Standaard"/>
    <w:link w:val="Kop8Char"/>
    <w:uiPriority w:val="9"/>
    <w:semiHidden/>
    <w:unhideWhenUsed/>
    <w:qFormat/>
    <w:rsid w:val="001F35E7"/>
    <w:pPr>
      <w:keepNext/>
      <w:keepLines/>
      <w:autoSpaceDN/>
      <w:spacing w:line="259" w:lineRule="auto"/>
      <w:textAlignment w:val="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Kop9">
    <w:name w:val="heading 9"/>
    <w:basedOn w:val="Standaard"/>
    <w:next w:val="Standaard"/>
    <w:link w:val="Kop9Char"/>
    <w:uiPriority w:val="9"/>
    <w:semiHidden/>
    <w:unhideWhenUsed/>
    <w:qFormat/>
    <w:rsid w:val="001F35E7"/>
    <w:pPr>
      <w:keepNext/>
      <w:keepLines/>
      <w:autoSpaceDN/>
      <w:spacing w:line="259" w:lineRule="auto"/>
      <w:textAlignment w:val="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link w:val="OndertitelChar"/>
    <w:uiPriority w:val="11"/>
    <w:qFormat/>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link w:val="TitelChar"/>
    <w:uiPriority w:val="10"/>
    <w:qFormat/>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F35E7"/>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F35E7"/>
    <w:rPr>
      <w:rFonts w:ascii="Verdana" w:hAnsi="Verdana"/>
      <w:color w:val="000000"/>
      <w:sz w:val="18"/>
      <w:szCs w:val="18"/>
    </w:rPr>
  </w:style>
  <w:style w:type="paragraph" w:styleId="Voettekst">
    <w:name w:val="footer"/>
    <w:basedOn w:val="Standaard"/>
    <w:link w:val="VoettekstChar"/>
    <w:uiPriority w:val="99"/>
    <w:unhideWhenUsed/>
    <w:rsid w:val="001F35E7"/>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F35E7"/>
    <w:rPr>
      <w:rFonts w:ascii="Verdana" w:hAnsi="Verdana"/>
      <w:color w:val="000000"/>
      <w:sz w:val="18"/>
      <w:szCs w:val="18"/>
    </w:rPr>
  </w:style>
  <w:style w:type="character" w:customStyle="1" w:styleId="Kop4Char">
    <w:name w:val="Kop 4 Char"/>
    <w:basedOn w:val="Standaardalinea-lettertype"/>
    <w:link w:val="Kop4"/>
    <w:uiPriority w:val="9"/>
    <w:semiHidden/>
    <w:rsid w:val="001F35E7"/>
    <w:rPr>
      <w:rFonts w:asciiTheme="minorHAnsi" w:eastAsiaTheme="majorEastAsia" w:hAnsiTheme="minorHAnsi" w:cstheme="majorBidi"/>
      <w:i/>
      <w:iCs/>
      <w:color w:val="0F4761" w:themeColor="accent1" w:themeShade="BF"/>
      <w:kern w:val="2"/>
      <w:sz w:val="18"/>
      <w:szCs w:val="22"/>
      <w:lang w:eastAsia="en-US"/>
      <w14:ligatures w14:val="standardContextual"/>
    </w:rPr>
  </w:style>
  <w:style w:type="character" w:customStyle="1" w:styleId="Kop5Char">
    <w:name w:val="Kop 5 Char"/>
    <w:basedOn w:val="Standaardalinea-lettertype"/>
    <w:link w:val="Kop5"/>
    <w:uiPriority w:val="9"/>
    <w:semiHidden/>
    <w:rsid w:val="001F35E7"/>
    <w:rPr>
      <w:rFonts w:asciiTheme="minorHAnsi" w:eastAsiaTheme="majorEastAsia" w:hAnsiTheme="minorHAnsi" w:cstheme="majorBidi"/>
      <w:color w:val="0F4761" w:themeColor="accent1" w:themeShade="BF"/>
      <w:kern w:val="2"/>
      <w:sz w:val="18"/>
      <w:szCs w:val="22"/>
      <w:lang w:eastAsia="en-US"/>
      <w14:ligatures w14:val="standardContextual"/>
    </w:rPr>
  </w:style>
  <w:style w:type="character" w:customStyle="1" w:styleId="Kop6Char">
    <w:name w:val="Kop 6 Char"/>
    <w:basedOn w:val="Standaardalinea-lettertype"/>
    <w:link w:val="Kop6"/>
    <w:uiPriority w:val="9"/>
    <w:semiHidden/>
    <w:rsid w:val="001F35E7"/>
    <w:rPr>
      <w:rFonts w:asciiTheme="minorHAnsi" w:eastAsiaTheme="majorEastAsia" w:hAnsiTheme="minorHAnsi" w:cstheme="majorBidi"/>
      <w:i/>
      <w:iCs/>
      <w:color w:val="595959" w:themeColor="text1" w:themeTint="A6"/>
      <w:kern w:val="2"/>
      <w:sz w:val="18"/>
      <w:szCs w:val="22"/>
      <w:lang w:eastAsia="en-US"/>
      <w14:ligatures w14:val="standardContextual"/>
    </w:rPr>
  </w:style>
  <w:style w:type="character" w:customStyle="1" w:styleId="Kop7Char">
    <w:name w:val="Kop 7 Char"/>
    <w:basedOn w:val="Standaardalinea-lettertype"/>
    <w:link w:val="Kop7"/>
    <w:uiPriority w:val="9"/>
    <w:semiHidden/>
    <w:rsid w:val="001F35E7"/>
    <w:rPr>
      <w:rFonts w:asciiTheme="minorHAnsi" w:eastAsiaTheme="majorEastAsia" w:hAnsiTheme="minorHAnsi" w:cstheme="majorBidi"/>
      <w:color w:val="595959" w:themeColor="text1" w:themeTint="A6"/>
      <w:kern w:val="2"/>
      <w:sz w:val="18"/>
      <w:szCs w:val="22"/>
      <w:lang w:eastAsia="en-US"/>
      <w14:ligatures w14:val="standardContextual"/>
    </w:rPr>
  </w:style>
  <w:style w:type="character" w:customStyle="1" w:styleId="Kop8Char">
    <w:name w:val="Kop 8 Char"/>
    <w:basedOn w:val="Standaardalinea-lettertype"/>
    <w:link w:val="Kop8"/>
    <w:uiPriority w:val="9"/>
    <w:semiHidden/>
    <w:rsid w:val="001F35E7"/>
    <w:rPr>
      <w:rFonts w:asciiTheme="minorHAnsi" w:eastAsiaTheme="majorEastAsia" w:hAnsiTheme="minorHAnsi" w:cstheme="majorBidi"/>
      <w:i/>
      <w:iCs/>
      <w:color w:val="272727" w:themeColor="text1" w:themeTint="D8"/>
      <w:kern w:val="2"/>
      <w:sz w:val="18"/>
      <w:szCs w:val="22"/>
      <w:lang w:eastAsia="en-US"/>
      <w14:ligatures w14:val="standardContextual"/>
    </w:rPr>
  </w:style>
  <w:style w:type="character" w:customStyle="1" w:styleId="Kop9Char">
    <w:name w:val="Kop 9 Char"/>
    <w:basedOn w:val="Standaardalinea-lettertype"/>
    <w:link w:val="Kop9"/>
    <w:uiPriority w:val="9"/>
    <w:semiHidden/>
    <w:rsid w:val="001F35E7"/>
    <w:rPr>
      <w:rFonts w:asciiTheme="minorHAnsi" w:eastAsiaTheme="majorEastAsia" w:hAnsiTheme="minorHAnsi" w:cstheme="majorBidi"/>
      <w:color w:val="272727" w:themeColor="text1" w:themeTint="D8"/>
      <w:kern w:val="2"/>
      <w:sz w:val="18"/>
      <w:szCs w:val="22"/>
      <w:lang w:eastAsia="en-US"/>
      <w14:ligatures w14:val="standardContextual"/>
    </w:rPr>
  </w:style>
  <w:style w:type="character" w:customStyle="1" w:styleId="Kop1Char">
    <w:name w:val="Kop 1 Char"/>
    <w:basedOn w:val="Standaardalinea-lettertype"/>
    <w:link w:val="Kop1"/>
    <w:uiPriority w:val="9"/>
    <w:rsid w:val="001F35E7"/>
    <w:rPr>
      <w:rFonts w:ascii="Verdana" w:hAnsi="Verdana"/>
      <w:b/>
      <w:color w:val="000000"/>
      <w:sz w:val="18"/>
      <w:szCs w:val="18"/>
    </w:rPr>
  </w:style>
  <w:style w:type="character" w:customStyle="1" w:styleId="Kop2Char">
    <w:name w:val="Kop 2 Char"/>
    <w:basedOn w:val="Standaardalinea-lettertype"/>
    <w:link w:val="Kop2"/>
    <w:uiPriority w:val="9"/>
    <w:rsid w:val="001F35E7"/>
    <w:rPr>
      <w:rFonts w:ascii="Verdana" w:hAnsi="Verdana"/>
      <w:i/>
      <w:color w:val="000000"/>
      <w:sz w:val="18"/>
      <w:szCs w:val="18"/>
    </w:rPr>
  </w:style>
  <w:style w:type="character" w:customStyle="1" w:styleId="Kop3Char">
    <w:name w:val="Kop 3 Char"/>
    <w:basedOn w:val="Standaardalinea-lettertype"/>
    <w:link w:val="Kop3"/>
    <w:uiPriority w:val="9"/>
    <w:rsid w:val="001F35E7"/>
    <w:rPr>
      <w:rFonts w:ascii="Verdana" w:hAnsi="Verdana"/>
      <w:color w:val="000000"/>
      <w:sz w:val="18"/>
      <w:szCs w:val="18"/>
    </w:rPr>
  </w:style>
  <w:style w:type="character" w:customStyle="1" w:styleId="TitelChar">
    <w:name w:val="Titel Char"/>
    <w:basedOn w:val="Standaardalinea-lettertype"/>
    <w:link w:val="Titel"/>
    <w:uiPriority w:val="10"/>
    <w:rsid w:val="001F35E7"/>
    <w:rPr>
      <w:rFonts w:ascii="Verdana" w:hAnsi="Verdana"/>
      <w:b/>
      <w:color w:val="000000"/>
      <w:sz w:val="24"/>
      <w:szCs w:val="24"/>
    </w:rPr>
  </w:style>
  <w:style w:type="character" w:customStyle="1" w:styleId="OndertitelChar">
    <w:name w:val="Ondertitel Char"/>
    <w:basedOn w:val="Standaardalinea-lettertype"/>
    <w:link w:val="Ondertitel"/>
    <w:uiPriority w:val="11"/>
    <w:rsid w:val="001F35E7"/>
    <w:rPr>
      <w:rFonts w:ascii="Verdana" w:hAnsi="Verdana"/>
      <w:color w:val="000000"/>
      <w:sz w:val="24"/>
      <w:szCs w:val="24"/>
    </w:rPr>
  </w:style>
  <w:style w:type="paragraph" w:styleId="Citaat">
    <w:name w:val="Quote"/>
    <w:basedOn w:val="Standaard"/>
    <w:next w:val="Standaard"/>
    <w:link w:val="CitaatChar"/>
    <w:uiPriority w:val="29"/>
    <w:qFormat/>
    <w:rsid w:val="001F35E7"/>
    <w:pPr>
      <w:autoSpaceDN/>
      <w:spacing w:before="160" w:after="160" w:line="259" w:lineRule="auto"/>
      <w:jc w:val="center"/>
      <w:textAlignment w:val="auto"/>
    </w:pPr>
    <w:rPr>
      <w:rFonts w:eastAsiaTheme="minorHAnsi" w:cstheme="minorBidi"/>
      <w:i/>
      <w:iCs/>
      <w:color w:val="404040" w:themeColor="text1" w:themeTint="BF"/>
      <w:kern w:val="2"/>
      <w:szCs w:val="22"/>
      <w:lang w:eastAsia="en-US"/>
      <w14:ligatures w14:val="standardContextual"/>
    </w:rPr>
  </w:style>
  <w:style w:type="character" w:customStyle="1" w:styleId="CitaatChar">
    <w:name w:val="Citaat Char"/>
    <w:basedOn w:val="Standaardalinea-lettertype"/>
    <w:link w:val="Citaat"/>
    <w:uiPriority w:val="29"/>
    <w:rsid w:val="001F35E7"/>
    <w:rPr>
      <w:rFonts w:ascii="Verdana" w:eastAsiaTheme="minorHAnsi" w:hAnsi="Verdana" w:cstheme="minorBidi"/>
      <w:i/>
      <w:iCs/>
      <w:color w:val="404040" w:themeColor="text1" w:themeTint="BF"/>
      <w:kern w:val="2"/>
      <w:sz w:val="18"/>
      <w:szCs w:val="22"/>
      <w:lang w:eastAsia="en-US"/>
      <w14:ligatures w14:val="standardContextual"/>
    </w:rPr>
  </w:style>
  <w:style w:type="paragraph" w:styleId="Lijstalinea">
    <w:name w:val="List Paragraph"/>
    <w:basedOn w:val="Standaard"/>
    <w:uiPriority w:val="34"/>
    <w:qFormat/>
    <w:rsid w:val="001F35E7"/>
    <w:pPr>
      <w:autoSpaceDN/>
      <w:spacing w:after="160" w:line="259" w:lineRule="auto"/>
      <w:ind w:left="720"/>
      <w:contextualSpacing/>
      <w:textAlignment w:val="auto"/>
    </w:pPr>
    <w:rPr>
      <w:rFonts w:eastAsiaTheme="minorHAnsi" w:cstheme="minorBidi"/>
      <w:color w:val="auto"/>
      <w:kern w:val="2"/>
      <w:szCs w:val="22"/>
      <w:lang w:eastAsia="en-US"/>
      <w14:ligatures w14:val="standardContextual"/>
    </w:rPr>
  </w:style>
  <w:style w:type="character" w:styleId="Intensievebenadrukking">
    <w:name w:val="Intense Emphasis"/>
    <w:basedOn w:val="Standaardalinea-lettertype"/>
    <w:uiPriority w:val="21"/>
    <w:qFormat/>
    <w:rsid w:val="001F35E7"/>
    <w:rPr>
      <w:i/>
      <w:iCs/>
      <w:color w:val="0F4761" w:themeColor="accent1" w:themeShade="BF"/>
    </w:rPr>
  </w:style>
  <w:style w:type="paragraph" w:styleId="Duidelijkcitaat">
    <w:name w:val="Intense Quote"/>
    <w:basedOn w:val="Standaard"/>
    <w:next w:val="Standaard"/>
    <w:link w:val="DuidelijkcitaatChar"/>
    <w:uiPriority w:val="30"/>
    <w:qFormat/>
    <w:rsid w:val="001F35E7"/>
    <w:pPr>
      <w:pBdr>
        <w:top w:val="single" w:sz="4" w:space="10" w:color="0F4761" w:themeColor="accent1" w:themeShade="BF"/>
        <w:bottom w:val="single" w:sz="4" w:space="10" w:color="0F4761" w:themeColor="accent1" w:themeShade="BF"/>
      </w:pBdr>
      <w:autoSpaceDN/>
      <w:spacing w:before="360" w:after="360" w:line="259" w:lineRule="auto"/>
      <w:ind w:left="864" w:right="864"/>
      <w:jc w:val="center"/>
      <w:textAlignment w:val="auto"/>
    </w:pPr>
    <w:rPr>
      <w:rFonts w:eastAsiaTheme="minorHAnsi" w:cstheme="minorBidi"/>
      <w:i/>
      <w:iCs/>
      <w:color w:val="0F4761" w:themeColor="accent1" w:themeShade="BF"/>
      <w:kern w:val="2"/>
      <w:szCs w:val="22"/>
      <w:lang w:eastAsia="en-US"/>
      <w14:ligatures w14:val="standardContextual"/>
    </w:rPr>
  </w:style>
  <w:style w:type="character" w:customStyle="1" w:styleId="DuidelijkcitaatChar">
    <w:name w:val="Duidelijk citaat Char"/>
    <w:basedOn w:val="Standaardalinea-lettertype"/>
    <w:link w:val="Duidelijkcitaat"/>
    <w:uiPriority w:val="30"/>
    <w:rsid w:val="001F35E7"/>
    <w:rPr>
      <w:rFonts w:ascii="Verdana" w:eastAsiaTheme="minorHAnsi" w:hAnsi="Verdana" w:cstheme="minorBidi"/>
      <w:i/>
      <w:iCs/>
      <w:color w:val="0F4761" w:themeColor="accent1" w:themeShade="BF"/>
      <w:kern w:val="2"/>
      <w:sz w:val="18"/>
      <w:szCs w:val="22"/>
      <w:lang w:eastAsia="en-US"/>
      <w14:ligatures w14:val="standardContextual"/>
    </w:rPr>
  </w:style>
  <w:style w:type="character" w:styleId="Intensieveverwijzing">
    <w:name w:val="Intense Reference"/>
    <w:basedOn w:val="Standaardalinea-lettertype"/>
    <w:uiPriority w:val="32"/>
    <w:qFormat/>
    <w:rsid w:val="001F35E7"/>
    <w:rPr>
      <w:b/>
      <w:bCs/>
      <w:smallCaps/>
      <w:color w:val="0F4761" w:themeColor="accent1" w:themeShade="BF"/>
      <w:spacing w:val="5"/>
    </w:rPr>
  </w:style>
  <w:style w:type="character" w:customStyle="1" w:styleId="VoetnoottekstChar">
    <w:name w:val="Voetnoottekst Char"/>
    <w:basedOn w:val="Standaardalinea-lettertype"/>
    <w:link w:val="Voetnoottekst"/>
    <w:uiPriority w:val="99"/>
    <w:rsid w:val="001F35E7"/>
    <w:rPr>
      <w:rFonts w:ascii="Verdana" w:hAnsi="Verdana"/>
      <w:sz w:val="13"/>
      <w:szCs w:val="13"/>
    </w:rPr>
  </w:style>
  <w:style w:type="character" w:styleId="Voetnootmarkering">
    <w:name w:val="footnote reference"/>
    <w:basedOn w:val="Standaardalinea-lettertype"/>
    <w:uiPriority w:val="99"/>
    <w:semiHidden/>
    <w:unhideWhenUsed/>
    <w:rsid w:val="001F35E7"/>
    <w:rPr>
      <w:vertAlign w:val="superscript"/>
    </w:rPr>
  </w:style>
  <w:style w:type="character" w:styleId="Verwijzingopmerking">
    <w:name w:val="annotation reference"/>
    <w:basedOn w:val="Standaardalinea-lettertype"/>
    <w:uiPriority w:val="99"/>
    <w:semiHidden/>
    <w:unhideWhenUsed/>
    <w:rsid w:val="001F35E7"/>
    <w:rPr>
      <w:sz w:val="16"/>
      <w:szCs w:val="16"/>
    </w:rPr>
  </w:style>
  <w:style w:type="paragraph" w:styleId="Tekstopmerking">
    <w:name w:val="annotation text"/>
    <w:basedOn w:val="Standaard"/>
    <w:link w:val="TekstopmerkingChar"/>
    <w:uiPriority w:val="99"/>
    <w:unhideWhenUsed/>
    <w:rsid w:val="001F35E7"/>
    <w:pPr>
      <w:autoSpaceDN/>
      <w:spacing w:after="160" w:line="240" w:lineRule="auto"/>
      <w:textAlignment w:val="auto"/>
    </w:pPr>
    <w:rPr>
      <w:rFonts w:eastAsiaTheme="minorHAnsi" w:cstheme="minorBidi"/>
      <w:color w:val="auto"/>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1F35E7"/>
    <w:rPr>
      <w:rFonts w:ascii="Verdana" w:eastAsiaTheme="minorHAnsi" w:hAnsi="Verdana" w:cstheme="minorBidi"/>
      <w:kern w:val="2"/>
      <w:lang w:eastAsia="en-US"/>
      <w14:ligatures w14:val="standardContextual"/>
    </w:rPr>
  </w:style>
  <w:style w:type="paragraph" w:styleId="Onderwerpvanopmerking">
    <w:name w:val="annotation subject"/>
    <w:basedOn w:val="Tekstopmerking"/>
    <w:next w:val="Tekstopmerking"/>
    <w:link w:val="OnderwerpvanopmerkingChar"/>
    <w:uiPriority w:val="99"/>
    <w:semiHidden/>
    <w:unhideWhenUsed/>
    <w:rsid w:val="001F35E7"/>
    <w:rPr>
      <w:b/>
      <w:bCs/>
    </w:rPr>
  </w:style>
  <w:style w:type="character" w:customStyle="1" w:styleId="OnderwerpvanopmerkingChar">
    <w:name w:val="Onderwerp van opmerking Char"/>
    <w:basedOn w:val="TekstopmerkingChar"/>
    <w:link w:val="Onderwerpvanopmerking"/>
    <w:uiPriority w:val="99"/>
    <w:semiHidden/>
    <w:rsid w:val="001F35E7"/>
    <w:rPr>
      <w:rFonts w:ascii="Verdana" w:eastAsiaTheme="minorHAnsi" w:hAnsi="Verdana" w:cstheme="minorBidi"/>
      <w:b/>
      <w:bCs/>
      <w:kern w:val="2"/>
      <w:lang w:eastAsia="en-US"/>
      <w14:ligatures w14:val="standardContextual"/>
    </w:rPr>
  </w:style>
  <w:style w:type="character" w:styleId="Onopgelostemelding">
    <w:name w:val="Unresolved Mention"/>
    <w:basedOn w:val="Standaardalinea-lettertype"/>
    <w:uiPriority w:val="99"/>
    <w:semiHidden/>
    <w:unhideWhenUsed/>
    <w:rsid w:val="001F35E7"/>
    <w:rPr>
      <w:color w:val="605E5C"/>
      <w:shd w:val="clear" w:color="auto" w:fill="E1DFDD"/>
    </w:rPr>
  </w:style>
  <w:style w:type="character" w:styleId="GevolgdeHyperlink">
    <w:name w:val="FollowedHyperlink"/>
    <w:basedOn w:val="Standaardalinea-lettertype"/>
    <w:uiPriority w:val="99"/>
    <w:semiHidden/>
    <w:unhideWhenUsed/>
    <w:rsid w:val="001F35E7"/>
    <w:rPr>
      <w:color w:val="96607D" w:themeColor="followedHyperlink"/>
      <w:u w:val="single"/>
    </w:rPr>
  </w:style>
  <w:style w:type="paragraph" w:styleId="Revisie">
    <w:name w:val="Revision"/>
    <w:hidden/>
    <w:uiPriority w:val="99"/>
    <w:semiHidden/>
    <w:rsid w:val="001F35E7"/>
    <w:pPr>
      <w:autoSpaceDN/>
      <w:textAlignment w:val="auto"/>
    </w:pPr>
    <w:rPr>
      <w:rFonts w:ascii="Verdana" w:eastAsiaTheme="minorHAnsi" w:hAnsi="Verdana" w:cstheme="minorBidi"/>
      <w:kern w:val="2"/>
      <w:sz w:val="18"/>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publicaties.mensenrechten.nl/publicatie/24d329a2-cdb0-4f6e-9429-fb7ef9cf5e38" TargetMode="External"/><Relationship Id="rId2" Type="http://schemas.openxmlformats.org/officeDocument/2006/relationships/hyperlink" Target="file:///H:\Downloads\Regeerprogramma.%20Uitwerking%20van%20het%20hoofdlijnenakkoord%20door%20het%20kabinet.pdf" TargetMode="External"/><Relationship Id="rId1" Type="http://schemas.openxmlformats.org/officeDocument/2006/relationships/hyperlink" Target="https://publicaties.mensenrechten.nl/publicatie/24d329a2-cdb0-4f6e-9429-fb7ef9cf5e38"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9970</ap:Words>
  <ap:Characters>54837</ap:Characters>
  <ap:DocSecurity>0</ap:DocSecurity>
  <ap:Lines>456</ap:Lines>
  <ap:Paragraphs>129</ap:Paragraphs>
  <ap:ScaleCrop>false</ap:ScaleCrop>
  <ap:LinksUpToDate>false</ap:LinksUpToDate>
  <ap:CharactersWithSpaces>64678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2026-10-12T12:40:00.0000000Z</dcterms:created>
  <dcterms:modified xsi:type="dcterms:W3CDTF">2026-10-12T12:54:00.0000000Z</dcterms:modified>
  <dc:description>------------------------</dc:description>
  <dc:subject/>
  <keywords/>
  <version/>
  <category/>
</coreProperties>
</file>