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5EA6C620" w14:textId="77777777">
        <w:tc>
          <w:tcPr>
            <w:tcW w:w="6379" w:type="dxa"/>
            <w:gridSpan w:val="2"/>
            <w:tcBorders>
              <w:top w:val="nil"/>
              <w:left w:val="nil"/>
              <w:bottom w:val="nil"/>
              <w:right w:val="nil"/>
            </w:tcBorders>
            <w:vAlign w:val="center"/>
          </w:tcPr>
          <w:p w:rsidR="004330ED" w:rsidP="00EA1CE4" w:rsidRDefault="004330ED" w14:paraId="59072F38"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03AB5349"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3A084F32" w14:textId="77777777">
        <w:trPr>
          <w:cantSplit/>
        </w:trPr>
        <w:tc>
          <w:tcPr>
            <w:tcW w:w="10348" w:type="dxa"/>
            <w:gridSpan w:val="3"/>
            <w:tcBorders>
              <w:top w:val="single" w:color="auto" w:sz="4" w:space="0"/>
              <w:left w:val="nil"/>
              <w:bottom w:val="nil"/>
              <w:right w:val="nil"/>
            </w:tcBorders>
          </w:tcPr>
          <w:p w:rsidR="004330ED" w:rsidP="004A1E29" w:rsidRDefault="004330ED" w14:paraId="3F0B92B7"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1AB5F2E6" w14:textId="77777777">
        <w:trPr>
          <w:cantSplit/>
        </w:trPr>
        <w:tc>
          <w:tcPr>
            <w:tcW w:w="10348" w:type="dxa"/>
            <w:gridSpan w:val="3"/>
            <w:tcBorders>
              <w:top w:val="nil"/>
              <w:left w:val="nil"/>
              <w:bottom w:val="nil"/>
              <w:right w:val="nil"/>
            </w:tcBorders>
          </w:tcPr>
          <w:p w:rsidR="004330ED" w:rsidP="00BF623B" w:rsidRDefault="004330ED" w14:paraId="6BD30D66" w14:textId="77777777">
            <w:pPr>
              <w:pStyle w:val="Amendement"/>
              <w:tabs>
                <w:tab w:val="clear" w:pos="3310"/>
                <w:tab w:val="clear" w:pos="3600"/>
              </w:tabs>
              <w:rPr>
                <w:rFonts w:ascii="Times New Roman" w:hAnsi="Times New Roman"/>
                <w:b w:val="0"/>
              </w:rPr>
            </w:pPr>
          </w:p>
        </w:tc>
      </w:tr>
      <w:tr w:rsidR="004330ED" w:rsidTr="00EA1CE4" w14:paraId="594800D9" w14:textId="77777777">
        <w:trPr>
          <w:cantSplit/>
        </w:trPr>
        <w:tc>
          <w:tcPr>
            <w:tcW w:w="10348" w:type="dxa"/>
            <w:gridSpan w:val="3"/>
            <w:tcBorders>
              <w:top w:val="nil"/>
              <w:left w:val="nil"/>
              <w:bottom w:val="single" w:color="auto" w:sz="4" w:space="0"/>
              <w:right w:val="nil"/>
            </w:tcBorders>
          </w:tcPr>
          <w:p w:rsidR="004330ED" w:rsidP="00BF623B" w:rsidRDefault="004330ED" w14:paraId="51342A4F" w14:textId="77777777">
            <w:pPr>
              <w:pStyle w:val="Amendement"/>
              <w:tabs>
                <w:tab w:val="clear" w:pos="3310"/>
                <w:tab w:val="clear" w:pos="3600"/>
              </w:tabs>
              <w:rPr>
                <w:rFonts w:ascii="Times New Roman" w:hAnsi="Times New Roman"/>
              </w:rPr>
            </w:pPr>
          </w:p>
        </w:tc>
      </w:tr>
      <w:tr w:rsidR="004330ED" w:rsidTr="00EA1CE4" w14:paraId="1FBE9F0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3A55711B"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7AE0DE57" w14:textId="77777777">
            <w:pPr>
              <w:suppressAutoHyphens/>
              <w:ind w:left="-70"/>
              <w:rPr>
                <w:b/>
              </w:rPr>
            </w:pPr>
          </w:p>
        </w:tc>
      </w:tr>
      <w:tr w:rsidR="003C21AC" w:rsidTr="00EA1CE4" w14:paraId="155D9F4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95015E" w14:paraId="6EE786EA" w14:textId="178809E8">
            <w:pPr>
              <w:pStyle w:val="Amendement"/>
              <w:tabs>
                <w:tab w:val="clear" w:pos="3310"/>
                <w:tab w:val="clear" w:pos="3600"/>
              </w:tabs>
              <w:rPr>
                <w:rFonts w:ascii="Times New Roman" w:hAnsi="Times New Roman"/>
              </w:rPr>
            </w:pPr>
            <w:r>
              <w:rPr>
                <w:rFonts w:ascii="Times New Roman" w:hAnsi="Times New Roman"/>
              </w:rPr>
              <w:t>36 918</w:t>
            </w:r>
          </w:p>
        </w:tc>
        <w:tc>
          <w:tcPr>
            <w:tcW w:w="7371" w:type="dxa"/>
            <w:gridSpan w:val="2"/>
          </w:tcPr>
          <w:p w:rsidRPr="0095015E" w:rsidR="003C21AC" w:rsidP="0095015E" w:rsidRDefault="0095015E" w14:paraId="432FA1C3" w14:textId="7069FD46">
            <w:pPr>
              <w:rPr>
                <w:b/>
                <w:bCs/>
                <w:szCs w:val="24"/>
              </w:rPr>
            </w:pPr>
            <w:r w:rsidRPr="0095015E">
              <w:rPr>
                <w:b/>
                <w:bCs/>
                <w:szCs w:val="24"/>
              </w:rPr>
              <w:t>Wijziging van de Tijdelijke wet bestuurlijke maatregelen terrorismebestrijding in verband met de permanentmaking van die wet en enkele andere wijzigingen</w:t>
            </w:r>
          </w:p>
        </w:tc>
      </w:tr>
      <w:tr w:rsidR="003C21AC" w:rsidTr="00EA1CE4" w14:paraId="1BAC242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43B3BCFC"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6165DBBF" w14:textId="77777777">
            <w:pPr>
              <w:pStyle w:val="Amendement"/>
              <w:tabs>
                <w:tab w:val="clear" w:pos="3310"/>
                <w:tab w:val="clear" w:pos="3600"/>
              </w:tabs>
              <w:ind w:left="-70"/>
              <w:rPr>
                <w:rFonts w:ascii="Times New Roman" w:hAnsi="Times New Roman"/>
              </w:rPr>
            </w:pPr>
          </w:p>
        </w:tc>
      </w:tr>
      <w:tr w:rsidR="003C21AC" w:rsidTr="00EA1CE4" w14:paraId="14F5905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35F49A81"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03D81DA2" w14:textId="77777777">
            <w:pPr>
              <w:pStyle w:val="Amendement"/>
              <w:tabs>
                <w:tab w:val="clear" w:pos="3310"/>
                <w:tab w:val="clear" w:pos="3600"/>
              </w:tabs>
              <w:ind w:left="-70"/>
              <w:rPr>
                <w:rFonts w:ascii="Times New Roman" w:hAnsi="Times New Roman"/>
              </w:rPr>
            </w:pPr>
          </w:p>
        </w:tc>
      </w:tr>
      <w:tr w:rsidR="003C21AC" w:rsidTr="00EA1CE4" w14:paraId="79ACEF8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2BB028B0" w14:textId="1EFF685E">
            <w:pPr>
              <w:pStyle w:val="Amendement"/>
              <w:tabs>
                <w:tab w:val="clear" w:pos="3310"/>
                <w:tab w:val="clear" w:pos="3600"/>
              </w:tabs>
              <w:rPr>
                <w:rFonts w:ascii="Times New Roman" w:hAnsi="Times New Roman"/>
              </w:rPr>
            </w:pPr>
            <w:r w:rsidRPr="00C035D4">
              <w:rPr>
                <w:rFonts w:ascii="Times New Roman" w:hAnsi="Times New Roman"/>
              </w:rPr>
              <w:t xml:space="preserve">Nr. </w:t>
            </w:r>
            <w:r w:rsidR="00951A45">
              <w:rPr>
                <w:rFonts w:ascii="Times New Roman" w:hAnsi="Times New Roman"/>
                <w:caps/>
              </w:rPr>
              <w:t>19</w:t>
            </w:r>
          </w:p>
        </w:tc>
        <w:tc>
          <w:tcPr>
            <w:tcW w:w="7371" w:type="dxa"/>
            <w:gridSpan w:val="2"/>
          </w:tcPr>
          <w:p w:rsidRPr="00C035D4" w:rsidR="003C21AC" w:rsidP="006E0971" w:rsidRDefault="003C21AC" w14:paraId="2015A6CE" w14:textId="2D73F60B">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95015E">
              <w:rPr>
                <w:rFonts w:ascii="Times New Roman" w:hAnsi="Times New Roman"/>
                <w:caps/>
              </w:rPr>
              <w:t>El abassi</w:t>
            </w:r>
          </w:p>
        </w:tc>
      </w:tr>
      <w:tr w:rsidR="003C21AC" w:rsidTr="00EA1CE4" w14:paraId="0542964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7A6DB47A"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5DB1B390" w14:textId="58E498E4">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951A45">
              <w:rPr>
                <w:rFonts w:ascii="Times New Roman" w:hAnsi="Times New Roman"/>
                <w:b w:val="0"/>
              </w:rPr>
              <w:t>12 oktober 2026</w:t>
            </w:r>
          </w:p>
        </w:tc>
      </w:tr>
      <w:tr w:rsidR="00B01BA6" w:rsidTr="00EA1CE4" w14:paraId="70E776F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668BB1AD"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182C272C" w14:textId="77777777">
            <w:pPr>
              <w:pStyle w:val="Amendement"/>
              <w:tabs>
                <w:tab w:val="clear" w:pos="3310"/>
                <w:tab w:val="clear" w:pos="3600"/>
              </w:tabs>
              <w:ind w:left="-70"/>
              <w:rPr>
                <w:rFonts w:ascii="Times New Roman" w:hAnsi="Times New Roman"/>
                <w:b w:val="0"/>
              </w:rPr>
            </w:pPr>
          </w:p>
        </w:tc>
      </w:tr>
      <w:tr w:rsidRPr="00EA69AC" w:rsidR="00B01BA6" w:rsidTr="00EA1CE4" w14:paraId="11FC92D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7ACC7DA1" w14:textId="77777777">
            <w:pPr>
              <w:ind w:firstLine="284"/>
            </w:pPr>
            <w:r w:rsidRPr="00EA69AC">
              <w:t>De ondergetekende stelt het volgende amendement voor:</w:t>
            </w:r>
          </w:p>
        </w:tc>
      </w:tr>
    </w:tbl>
    <w:p w:rsidRPr="00EA69AC" w:rsidR="004330ED" w:rsidP="00D774B3" w:rsidRDefault="004330ED" w14:paraId="2199CD46" w14:textId="77777777"/>
    <w:p w:rsidR="0095015E" w:rsidP="0095015E" w:rsidRDefault="0095015E" w14:paraId="4F15A509" w14:textId="77777777">
      <w:pPr>
        <w:ind w:firstLine="284"/>
      </w:pPr>
      <w:r>
        <w:t>In artikel I wordt na onderdeel A een onderdeel ingevoegd, luidende:</w:t>
      </w:r>
    </w:p>
    <w:p w:rsidR="0095015E" w:rsidP="0095015E" w:rsidRDefault="0095015E" w14:paraId="53755B13" w14:textId="77777777"/>
    <w:p w:rsidR="0095015E" w:rsidP="0095015E" w:rsidRDefault="0095015E" w14:paraId="0C692A1B" w14:textId="535DE05E">
      <w:r>
        <w:t>Aa</w:t>
      </w:r>
    </w:p>
    <w:p w:rsidR="0095015E" w:rsidP="0095015E" w:rsidRDefault="0095015E" w14:paraId="58765B56" w14:textId="77777777"/>
    <w:p w:rsidR="0095015E" w:rsidP="0095015E" w:rsidRDefault="0095015E" w14:paraId="39810D80" w14:textId="5833DB71">
      <w:pPr>
        <w:ind w:firstLine="284"/>
      </w:pPr>
      <w:r>
        <w:t>Aan artikel 2 wordt een lid toegevoegd, luidende:</w:t>
      </w:r>
    </w:p>
    <w:p w:rsidR="00EA1CE4" w:rsidP="0095015E" w:rsidRDefault="0095015E" w14:paraId="07F023D4" w14:textId="7145C346">
      <w:pPr>
        <w:ind w:firstLine="284"/>
      </w:pPr>
      <w:r>
        <w:t>3. De ideologische, godsdienstige, levensbeschouwelijke of politieke overtuiging van de betrokken</w:t>
      </w:r>
      <w:r w:rsidR="00321A45">
        <w:t xml:space="preserve"> persoon</w:t>
      </w:r>
      <w:r>
        <w:t xml:space="preserve"> wordt</w:t>
      </w:r>
      <w:r w:rsidR="00321A45">
        <w:t xml:space="preserve"> op zichzelf</w:t>
      </w:r>
      <w:r>
        <w:t xml:space="preserve"> niet aangemerkt als een gedraging als bedoeld in het eerste lid</w:t>
      </w:r>
      <w:r w:rsidR="00321A45">
        <w:t>, noch komt daaraan</w:t>
      </w:r>
      <w:r>
        <w:t xml:space="preserve"> bij de beoordeling van die gedragingen zelfstandige betekenis</w:t>
      </w:r>
      <w:r w:rsidR="00321A45">
        <w:t xml:space="preserve"> toe</w:t>
      </w:r>
      <w:r>
        <w:t>.</w:t>
      </w:r>
    </w:p>
    <w:p w:rsidR="0095015E" w:rsidP="00EA1CE4" w:rsidRDefault="0095015E" w14:paraId="0165E9DD" w14:textId="77777777">
      <w:pPr>
        <w:rPr>
          <w:b/>
        </w:rPr>
      </w:pPr>
    </w:p>
    <w:p w:rsidRPr="00EA69AC" w:rsidR="003C21AC" w:rsidP="00EA1CE4" w:rsidRDefault="003C21AC" w14:paraId="229B2048" w14:textId="4F9AD18D">
      <w:pPr>
        <w:rPr>
          <w:b/>
        </w:rPr>
      </w:pPr>
      <w:r w:rsidRPr="00EA69AC">
        <w:rPr>
          <w:b/>
        </w:rPr>
        <w:t>Toelichting</w:t>
      </w:r>
    </w:p>
    <w:p w:rsidRPr="00EA69AC" w:rsidR="003C21AC" w:rsidP="00BF623B" w:rsidRDefault="003C21AC" w14:paraId="343240B3" w14:textId="77777777"/>
    <w:p w:rsidR="0095015E" w:rsidP="0095015E" w:rsidRDefault="0095015E" w14:paraId="2216B07F" w14:textId="77777777">
      <w:r>
        <w:t xml:space="preserve">De toepassing van de </w:t>
      </w:r>
      <w:proofErr w:type="spellStart"/>
      <w:r>
        <w:t>Twbmt</w:t>
      </w:r>
      <w:proofErr w:type="spellEnd"/>
      <w:r>
        <w:t xml:space="preserve"> kan, afhankelijk van de aard van de maatregel en de omstandigheden van het concrete geval, raken aan verschillende grond- en mensenrechten. Het gaat onder meer om de vrijheid van meningsuiting, de vrijheid van godsdienst of levensovertuiging, het recht op vergadering en vereniging, het recht op privé- en familieleven en de bewegingsvrijheid. De regering erkent in de memorie van toelichting dat maatregelen op grond van de </w:t>
      </w:r>
      <w:proofErr w:type="spellStart"/>
      <w:r>
        <w:t>Twbmt</w:t>
      </w:r>
      <w:proofErr w:type="spellEnd"/>
      <w:r>
        <w:t xml:space="preserve"> een inmenging in meerdere van deze rechten kunnen vormen</w:t>
      </w:r>
    </w:p>
    <w:p w:rsidR="0095015E" w:rsidP="0095015E" w:rsidRDefault="0095015E" w14:paraId="5B7DCC94" w14:textId="0D202136">
      <w:r>
        <w:t xml:space="preserve">Daarbij is van belang dat voor toepassing van de </w:t>
      </w:r>
      <w:proofErr w:type="spellStart"/>
      <w:r>
        <w:t>Twbmt</w:t>
      </w:r>
      <w:proofErr w:type="spellEnd"/>
      <w:r>
        <w:t xml:space="preserve"> niet vereist is dat sprake is van een strafbaar feit. Ook niet-strafbare contacten, uitingen en gedragingen kunnen onderdeel vormen van het totaalbeeld op basis waarvan de Minister beoordeelt of een persoon in verband kan worden gebracht met terroristische activiteiten. De regering noemt daarbij bijvoorbeeld contacten met extremistische netwerken en bepaalde uitingen als omstandigheden die in de beoordeling kunnen worden betrokken. Daardoor kunnen ook gedragingen die tegelijkertijd een rechtmatige uitoefening van fundamentele rechten vormen, onderdeel worden van de beoordeling.</w:t>
      </w:r>
    </w:p>
    <w:p w:rsidR="0095015E" w:rsidP="0095015E" w:rsidRDefault="0095015E" w14:paraId="2D8DAFEF" w14:textId="77777777"/>
    <w:p w:rsidR="0095015E" w:rsidP="0095015E" w:rsidRDefault="0095015E" w14:paraId="041E3ECF" w14:textId="77777777">
      <w:r>
        <w:t>Daarom verduidelijkt dit amendement dat bij de toepassing van artikel 2 onderscheid moet worden gemaakt tussen enerzijds iemands ideologische, politieke, godsdienstige of levensbeschouwelijke overtuiging en anderzijds concrete gedragingen die in verband kunnen worden gebracht met terroristische activiteiten of de ondersteuning daarvan.</w:t>
      </w:r>
    </w:p>
    <w:p w:rsidR="0095015E" w:rsidP="0095015E" w:rsidRDefault="0095015E" w14:paraId="2433D7EC" w14:textId="77777777"/>
    <w:p w:rsidR="0095015E" w:rsidP="0095015E" w:rsidRDefault="0095015E" w14:paraId="175C340A" w14:textId="77777777">
      <w:r>
        <w:t xml:space="preserve">De </w:t>
      </w:r>
      <w:proofErr w:type="spellStart"/>
      <w:r>
        <w:t>Twbmt</w:t>
      </w:r>
      <w:proofErr w:type="spellEnd"/>
      <w:r>
        <w:t xml:space="preserve"> stelt gedragingen centraal. Ook de regering heeft bij de uitleg van de wet benadrukt dat niet bepalend is wie iemand is of welk gedachtegoed iemand heeft, maar welke gedragingen die persoon vertoont. Zoals eerder aangegeven is deze begrenzing thans niet uitdrukkelijk in de wettelijke tekst opgenomen. Om die reden voegt dit amendement dan ook een wettelijk relevantiecriterium toe aan deze wet. Op deze manier wordt voor eenieder duidelijk dat iemands overtuiging op zichzelf niet kan worden aangemerkt als de vereiste gedraging en evenmin zelfstandige bewijskracht heeft. Daarmee wordt tevens getracht tegemoet te komen aan de constatering van het WODC dat artikel 2 van de </w:t>
      </w:r>
      <w:proofErr w:type="spellStart"/>
      <w:r>
        <w:t>Twbmt</w:t>
      </w:r>
      <w:proofErr w:type="spellEnd"/>
      <w:r>
        <w:t xml:space="preserve"> veel open </w:t>
      </w:r>
      <w:r>
        <w:lastRenderedPageBreak/>
        <w:t xml:space="preserve">normen kent. </w:t>
      </w:r>
    </w:p>
    <w:p w:rsidR="0095015E" w:rsidP="0095015E" w:rsidRDefault="0095015E" w14:paraId="3E9BCA72" w14:textId="77777777"/>
    <w:p w:rsidR="005B1DCC" w:rsidP="0095015E" w:rsidRDefault="0095015E" w14:paraId="2FA5FFE7" w14:textId="474516E2">
      <w:r>
        <w:t>De indiener acht wettelijke vastlegging wenselijk nu het gaat om preventieve vrijheidsbeperkende bevoegdheden en de wettelijke toepassingscriteria open normen bevatten. Het amendement voorkomt daarbij niet dat uitingen of andere gedragingen in een concreet geval kunnen worden betrokken wanneer deze daadwerkelijk voldoen aan artikel 2. Het bepaalt uitsluitend dat de overtuiging die aan dergelijke gedragingen ten grondslag ligt niet op zichzelf als gedraging geldt en geen zelfstandige grond vormt voor de beoordeling.</w:t>
      </w:r>
    </w:p>
    <w:p w:rsidRPr="00EA69AC" w:rsidR="0095015E" w:rsidP="0095015E" w:rsidRDefault="0095015E" w14:paraId="498AB4C9" w14:textId="77777777"/>
    <w:p w:rsidRPr="00EA69AC" w:rsidR="00B4708A" w:rsidP="00EA1CE4" w:rsidRDefault="0095015E" w14:paraId="0E56FEAA" w14:textId="4AD4E81A">
      <w:r>
        <w:t>El Abassi</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3AF2D" w14:textId="77777777" w:rsidR="00CA5206" w:rsidRDefault="00CA5206">
      <w:pPr>
        <w:spacing w:line="20" w:lineRule="exact"/>
      </w:pPr>
    </w:p>
  </w:endnote>
  <w:endnote w:type="continuationSeparator" w:id="0">
    <w:p w14:paraId="79C4F661" w14:textId="77777777" w:rsidR="00CA5206" w:rsidRDefault="00CA5206">
      <w:pPr>
        <w:pStyle w:val="Amendement"/>
      </w:pPr>
      <w:r>
        <w:rPr>
          <w:b w:val="0"/>
        </w:rPr>
        <w:t xml:space="preserve"> </w:t>
      </w:r>
    </w:p>
  </w:endnote>
  <w:endnote w:type="continuationNotice" w:id="1">
    <w:p w14:paraId="15D2389A" w14:textId="77777777" w:rsidR="00CA5206" w:rsidRDefault="00CA5206">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91C04" w14:textId="77777777" w:rsidR="00CA5206" w:rsidRDefault="00CA5206">
      <w:pPr>
        <w:pStyle w:val="Amendement"/>
      </w:pPr>
      <w:r>
        <w:rPr>
          <w:b w:val="0"/>
        </w:rPr>
        <w:separator/>
      </w:r>
    </w:p>
  </w:footnote>
  <w:footnote w:type="continuationSeparator" w:id="0">
    <w:p w14:paraId="3BC7FB4E" w14:textId="77777777" w:rsidR="00CA5206" w:rsidRDefault="00CA52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15E"/>
    <w:rsid w:val="000062BC"/>
    <w:rsid w:val="00052244"/>
    <w:rsid w:val="0007471A"/>
    <w:rsid w:val="000D17BF"/>
    <w:rsid w:val="000F59AE"/>
    <w:rsid w:val="00157CAF"/>
    <w:rsid w:val="001656EE"/>
    <w:rsid w:val="0016653D"/>
    <w:rsid w:val="001D56AF"/>
    <w:rsid w:val="001E0E21"/>
    <w:rsid w:val="00212E0A"/>
    <w:rsid w:val="002153B0"/>
    <w:rsid w:val="0021777F"/>
    <w:rsid w:val="00241DD0"/>
    <w:rsid w:val="002A0713"/>
    <w:rsid w:val="00321A45"/>
    <w:rsid w:val="003C21AC"/>
    <w:rsid w:val="003C5218"/>
    <w:rsid w:val="003C7876"/>
    <w:rsid w:val="003E2308"/>
    <w:rsid w:val="003E2F98"/>
    <w:rsid w:val="00413B00"/>
    <w:rsid w:val="0042574B"/>
    <w:rsid w:val="004330ED"/>
    <w:rsid w:val="00481C91"/>
    <w:rsid w:val="004911E3"/>
    <w:rsid w:val="00497D57"/>
    <w:rsid w:val="004A1E29"/>
    <w:rsid w:val="004A7DD4"/>
    <w:rsid w:val="004B50D8"/>
    <w:rsid w:val="004B5B90"/>
    <w:rsid w:val="00501109"/>
    <w:rsid w:val="005703C9"/>
    <w:rsid w:val="00597703"/>
    <w:rsid w:val="005A6097"/>
    <w:rsid w:val="005B1DCC"/>
    <w:rsid w:val="005B7323"/>
    <w:rsid w:val="005C25B9"/>
    <w:rsid w:val="006267E6"/>
    <w:rsid w:val="006558D2"/>
    <w:rsid w:val="00672D25"/>
    <w:rsid w:val="006738BC"/>
    <w:rsid w:val="006D3E69"/>
    <w:rsid w:val="006E0971"/>
    <w:rsid w:val="007709F6"/>
    <w:rsid w:val="00783215"/>
    <w:rsid w:val="007965FC"/>
    <w:rsid w:val="007D2608"/>
    <w:rsid w:val="008164E5"/>
    <w:rsid w:val="00830081"/>
    <w:rsid w:val="008467D7"/>
    <w:rsid w:val="00852541"/>
    <w:rsid w:val="00865D47"/>
    <w:rsid w:val="0088452C"/>
    <w:rsid w:val="008D7DCB"/>
    <w:rsid w:val="009055DB"/>
    <w:rsid w:val="00905ECB"/>
    <w:rsid w:val="0095015E"/>
    <w:rsid w:val="00951A45"/>
    <w:rsid w:val="0096165D"/>
    <w:rsid w:val="00993E91"/>
    <w:rsid w:val="009A409F"/>
    <w:rsid w:val="009B5845"/>
    <w:rsid w:val="009C0C1F"/>
    <w:rsid w:val="00A10505"/>
    <w:rsid w:val="00A1288B"/>
    <w:rsid w:val="00A53203"/>
    <w:rsid w:val="00A772EB"/>
    <w:rsid w:val="00AE54F8"/>
    <w:rsid w:val="00B01BA6"/>
    <w:rsid w:val="00B4708A"/>
    <w:rsid w:val="00BF623B"/>
    <w:rsid w:val="00C035D4"/>
    <w:rsid w:val="00C679BF"/>
    <w:rsid w:val="00C81BBD"/>
    <w:rsid w:val="00CA5206"/>
    <w:rsid w:val="00CD3132"/>
    <w:rsid w:val="00CE27CD"/>
    <w:rsid w:val="00D134F3"/>
    <w:rsid w:val="00D47D01"/>
    <w:rsid w:val="00D774B3"/>
    <w:rsid w:val="00DD35A5"/>
    <w:rsid w:val="00DE2948"/>
    <w:rsid w:val="00DF68BE"/>
    <w:rsid w:val="00DF712A"/>
    <w:rsid w:val="00E25DF4"/>
    <w:rsid w:val="00E3485D"/>
    <w:rsid w:val="00E6619B"/>
    <w:rsid w:val="00E908D7"/>
    <w:rsid w:val="00EA1CE4"/>
    <w:rsid w:val="00EA69AC"/>
    <w:rsid w:val="00EB40A1"/>
    <w:rsid w:val="00EC3112"/>
    <w:rsid w:val="00EC77CB"/>
    <w:rsid w:val="00ED5E57"/>
    <w:rsid w:val="00EE1BD8"/>
    <w:rsid w:val="00FA3A35"/>
    <w:rsid w:val="00FA5BBE"/>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6FD197"/>
  <w15:docId w15:val="{43F0D55C-EF69-452E-9D6F-E6E299077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321A45"/>
    <w:rPr>
      <w:sz w:val="24"/>
    </w:rPr>
  </w:style>
  <w:style w:type="character" w:styleId="Verwijzingopmerking">
    <w:name w:val="annotation reference"/>
    <w:basedOn w:val="Standaardalinea-lettertype"/>
    <w:semiHidden/>
    <w:unhideWhenUsed/>
    <w:rsid w:val="00321A45"/>
    <w:rPr>
      <w:sz w:val="16"/>
      <w:szCs w:val="16"/>
    </w:rPr>
  </w:style>
  <w:style w:type="paragraph" w:styleId="Tekstopmerking">
    <w:name w:val="annotation text"/>
    <w:basedOn w:val="Standaard"/>
    <w:link w:val="TekstopmerkingChar"/>
    <w:unhideWhenUsed/>
    <w:rsid w:val="00321A45"/>
    <w:rPr>
      <w:sz w:val="20"/>
    </w:rPr>
  </w:style>
  <w:style w:type="character" w:customStyle="1" w:styleId="TekstopmerkingChar">
    <w:name w:val="Tekst opmerking Char"/>
    <w:basedOn w:val="Standaardalinea-lettertype"/>
    <w:link w:val="Tekstopmerking"/>
    <w:rsid w:val="00321A45"/>
  </w:style>
  <w:style w:type="paragraph" w:styleId="Onderwerpvanopmerking">
    <w:name w:val="annotation subject"/>
    <w:basedOn w:val="Tekstopmerking"/>
    <w:next w:val="Tekstopmerking"/>
    <w:link w:val="OnderwerpvanopmerkingChar"/>
    <w:semiHidden/>
    <w:unhideWhenUsed/>
    <w:rsid w:val="00321A45"/>
    <w:rPr>
      <w:b/>
      <w:bCs/>
    </w:rPr>
  </w:style>
  <w:style w:type="character" w:customStyle="1" w:styleId="OnderwerpvanopmerkingChar">
    <w:name w:val="Onderwerp van opmerking Char"/>
    <w:basedOn w:val="TekstopmerkingChar"/>
    <w:link w:val="Onderwerpvanopmerking"/>
    <w:semiHidden/>
    <w:rsid w:val="00321A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541</ap:Words>
  <ap:Characters>2977</ap:Characters>
  <ap:DocSecurity>4</ap:DocSecurity>
  <ap:Lines>24</ap:Lines>
  <ap:Paragraphs>7</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3511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2026-10-12T12:09:00.0000000Z</dcterms:created>
  <dcterms:modified xsi:type="dcterms:W3CDTF">2026-10-12T12:09:00.0000000Z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