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17637" w:rsidR="00DD1ADE" w:rsidP="00DD1ADE" w:rsidRDefault="00DD1ADE" w14:paraId="7130B328" w14:textId="2D738C10">
      <w:pPr>
        <w:rPr>
          <w:szCs w:val="18"/>
        </w:rPr>
      </w:pPr>
      <w:r w:rsidRPr="00A17637">
        <w:rPr>
          <w:szCs w:val="18"/>
        </w:rPr>
        <w:t xml:space="preserve">Geachte </w:t>
      </w:r>
      <w:r w:rsidR="00FE1AD4">
        <w:rPr>
          <w:szCs w:val="18"/>
        </w:rPr>
        <w:t>V</w:t>
      </w:r>
      <w:r w:rsidRPr="00A17637">
        <w:rPr>
          <w:szCs w:val="18"/>
        </w:rPr>
        <w:t>oorzitter,</w:t>
      </w:r>
    </w:p>
    <w:p w:rsidRPr="00A17637" w:rsidR="00DD1ADE" w:rsidP="00DD1ADE" w:rsidRDefault="00DD1ADE" w14:paraId="7455F1A6" w14:textId="77777777">
      <w:pPr>
        <w:shd w:val="clear" w:color="auto" w:fill="FFFFFF" w:themeFill="background1"/>
        <w:spacing w:before="161" w:after="161"/>
        <w:rPr>
          <w:rFonts w:eastAsiaTheme="minorEastAsia"/>
          <w:szCs w:val="18"/>
        </w:rPr>
      </w:pPr>
      <w:r w:rsidRPr="00A17637">
        <w:rPr>
          <w:rFonts w:eastAsiaTheme="minorEastAsia"/>
          <w:szCs w:val="18"/>
        </w:rPr>
        <w:t xml:space="preserve">Tijdens het commissiedebat “Energie voor huishoudens” </w:t>
      </w:r>
      <w:r w:rsidRPr="00A17637">
        <w:rPr>
          <w:szCs w:val="18"/>
        </w:rPr>
        <w:t xml:space="preserve">op 24 september </w:t>
      </w:r>
      <w:r w:rsidRPr="00A17637">
        <w:rPr>
          <w:rFonts w:eastAsiaTheme="minorEastAsia"/>
          <w:szCs w:val="18"/>
        </w:rPr>
        <w:t>heb ik toegezegd aan het lid Jumelet (CDA) om schriftelijk in te gaan op diverse beleidsopties om de energierekening voor huishoudens te verlagen. Dit is in opvolging van het eerste deel van de beantwoording</w:t>
      </w:r>
      <w:r w:rsidRPr="00A17637">
        <w:rPr>
          <w:rStyle w:val="Voetnootmarkering"/>
          <w:szCs w:val="18"/>
        </w:rPr>
        <w:footnoteReference w:id="1"/>
      </w:r>
      <w:r w:rsidRPr="00A17637">
        <w:rPr>
          <w:rFonts w:eastAsiaTheme="minorEastAsia"/>
          <w:szCs w:val="18"/>
        </w:rPr>
        <w:t xml:space="preserve"> van de motie van de leden Jumelet en Van den Berg</w:t>
      </w:r>
      <w:r w:rsidRPr="00A17637">
        <w:rPr>
          <w:szCs w:val="18"/>
        </w:rPr>
        <w:t xml:space="preserve"> </w:t>
      </w:r>
      <w:r w:rsidRPr="00A17637">
        <w:rPr>
          <w:rFonts w:eastAsia="Aptos" w:cs="Aptos"/>
          <w:szCs w:val="18"/>
        </w:rPr>
        <w:t>over een analyse van de cumulatieve effecten van klimaat- en energiemaatregelen op de energierekening.</w:t>
      </w:r>
      <w:r w:rsidRPr="00A17637">
        <w:rPr>
          <w:rStyle w:val="Voetnootmarkering"/>
          <w:rFonts w:eastAsia="Aptos" w:cs="Aptos"/>
          <w:szCs w:val="18"/>
        </w:rPr>
        <w:footnoteReference w:id="2"/>
      </w:r>
      <w:r w:rsidRPr="00A17637">
        <w:rPr>
          <w:rFonts w:eastAsiaTheme="minorEastAsia"/>
          <w:szCs w:val="18"/>
        </w:rPr>
        <w:t xml:space="preserve"> Met deze brief geef ik mede namens de staatssecretaris van Financiën invulling aan deze toezegging</w:t>
      </w:r>
      <w:r>
        <w:rPr>
          <w:rFonts w:eastAsiaTheme="minorEastAsia"/>
          <w:szCs w:val="18"/>
        </w:rPr>
        <w:t xml:space="preserve"> </w:t>
      </w:r>
      <w:r w:rsidRPr="00A17637">
        <w:rPr>
          <w:rFonts w:eastAsiaTheme="minorEastAsia"/>
          <w:szCs w:val="18"/>
        </w:rPr>
        <w:t>en aan het eerste deel van de motie van het lid Oosterhout om voor de behandeling van het Belastingplan 2027 in de Kamer een inventarisatie te sturen van mogelijke maatregelen om energierekening voor huishoudens per 2027 (structureel) te verlagen.</w:t>
      </w:r>
      <w:r w:rsidRPr="00A17637">
        <w:rPr>
          <w:rStyle w:val="Voetnootmarkering"/>
          <w:rFonts w:eastAsiaTheme="minorEastAsia"/>
          <w:szCs w:val="18"/>
        </w:rPr>
        <w:footnoteReference w:id="3"/>
      </w:r>
    </w:p>
    <w:p w:rsidR="00DD1ADE" w:rsidP="00DD1ADE" w:rsidRDefault="00DD1ADE" w14:paraId="202471B5" w14:textId="77777777">
      <w:pPr>
        <w:rPr>
          <w:szCs w:val="18"/>
        </w:rPr>
      </w:pPr>
      <w:r w:rsidRPr="00A17637">
        <w:rPr>
          <w:szCs w:val="18"/>
        </w:rPr>
        <w:t xml:space="preserve">Voor ik informatie geef over de mogelijke maatregelen, sta ik stil bij de meest recente marktontwikkelingen en de gevolgen hiervan voor de hoogte van de energierekening voor huishoudens. </w:t>
      </w:r>
    </w:p>
    <w:p w:rsidRPr="00A17637" w:rsidR="00DD1ADE" w:rsidP="00DD1ADE" w:rsidRDefault="00DD1ADE" w14:paraId="312ADEBB" w14:textId="77777777">
      <w:pPr>
        <w:rPr>
          <w:szCs w:val="18"/>
        </w:rPr>
      </w:pPr>
    </w:p>
    <w:p w:rsidRPr="00A17637" w:rsidR="00DD1ADE" w:rsidP="00DD1ADE" w:rsidRDefault="00DD1ADE" w14:paraId="54AF8BB1" w14:textId="77777777">
      <w:pPr>
        <w:rPr>
          <w:b/>
          <w:bCs/>
          <w:szCs w:val="18"/>
        </w:rPr>
      </w:pPr>
      <w:r w:rsidRPr="00A17637">
        <w:rPr>
          <w:b/>
          <w:bCs/>
          <w:szCs w:val="18"/>
        </w:rPr>
        <w:t>Huidige stand van zaken energiemarkt</w:t>
      </w:r>
    </w:p>
    <w:p w:rsidR="00DD1ADE" w:rsidP="00DD1ADE" w:rsidRDefault="00DD1ADE" w14:paraId="6D8EE462" w14:textId="77777777">
      <w:pPr>
        <w:rPr>
          <w:szCs w:val="18"/>
        </w:rPr>
      </w:pPr>
      <w:r w:rsidRPr="00A17637">
        <w:rPr>
          <w:szCs w:val="18"/>
        </w:rPr>
        <w:t xml:space="preserve">De prijzen voor gas en elektriciteit stijgen als gevolg van de geopolitieke ontwikkelingen. Hoewel de marktprijzen sinds begin maart flinke schommelingen vertonen, is de trend dat sinds deze zomer de prijzen voor gas op de groothandelsmarkt </w:t>
      </w:r>
      <w:r>
        <w:rPr>
          <w:szCs w:val="18"/>
        </w:rPr>
        <w:t>flink omhoog gegaan zijn</w:t>
      </w:r>
      <w:r w:rsidRPr="00A17637">
        <w:rPr>
          <w:szCs w:val="18"/>
        </w:rPr>
        <w:t>.</w:t>
      </w:r>
    </w:p>
    <w:p w:rsidRPr="00A17637" w:rsidR="00DD1ADE" w:rsidP="00DD1ADE" w:rsidRDefault="00DD1ADE" w14:paraId="1DDC70B3" w14:textId="77777777">
      <w:pPr>
        <w:rPr>
          <w:szCs w:val="18"/>
        </w:rPr>
      </w:pPr>
    </w:p>
    <w:p w:rsidR="00DD1ADE" w:rsidP="00DD1ADE" w:rsidRDefault="00DD1ADE" w14:paraId="2CDC487D" w14:textId="77777777">
      <w:pPr>
        <w:rPr>
          <w:szCs w:val="18"/>
        </w:rPr>
      </w:pPr>
      <w:bookmarkStart w:name="OLE_LINK7" w:id="1"/>
      <w:r w:rsidRPr="00A17637">
        <w:rPr>
          <w:szCs w:val="18"/>
        </w:rPr>
        <w:t xml:space="preserve">Als gevolg hiervan liggen de consumententarieven voor gas en elektriciteit voor nieuw </w:t>
      </w:r>
      <w:r>
        <w:rPr>
          <w:szCs w:val="18"/>
        </w:rPr>
        <w:t xml:space="preserve">1-jarig </w:t>
      </w:r>
      <w:r w:rsidRPr="00A17637">
        <w:rPr>
          <w:szCs w:val="18"/>
        </w:rPr>
        <w:t>vast contract op ongeveer 1,7</w:t>
      </w:r>
      <w:r>
        <w:rPr>
          <w:szCs w:val="18"/>
        </w:rPr>
        <w:t>0</w:t>
      </w:r>
      <w:r w:rsidRPr="00A17637">
        <w:rPr>
          <w:szCs w:val="18"/>
        </w:rPr>
        <w:t xml:space="preserve"> euro per m3 en 0,3</w:t>
      </w:r>
      <w:r>
        <w:rPr>
          <w:szCs w:val="18"/>
        </w:rPr>
        <w:t>1</w:t>
      </w:r>
      <w:r w:rsidRPr="00A17637">
        <w:rPr>
          <w:szCs w:val="18"/>
        </w:rPr>
        <w:t xml:space="preserve"> euro per kWh.</w:t>
      </w:r>
      <w:r w:rsidRPr="00A17637">
        <w:rPr>
          <w:rStyle w:val="Voetnootmarkering"/>
          <w:szCs w:val="18"/>
        </w:rPr>
        <w:footnoteReference w:id="4"/>
      </w:r>
      <w:r w:rsidRPr="00A17637">
        <w:rPr>
          <w:szCs w:val="18"/>
        </w:rPr>
        <w:t xml:space="preserve"> Een huishouden met een CV-ketel en een gemiddeld verbruik dat vandaag een nieuw contract afsluit, is daardoor </w:t>
      </w:r>
      <w:r>
        <w:rPr>
          <w:szCs w:val="18"/>
        </w:rPr>
        <w:t xml:space="preserve">bij ongewijzigd verbruik </w:t>
      </w:r>
      <w:r w:rsidRPr="00A17637">
        <w:rPr>
          <w:szCs w:val="18"/>
        </w:rPr>
        <w:t xml:space="preserve">bijna 60 euro per maand duurder uit dan een huishouden dat op 1 maart een nieuw contract heeft </w:t>
      </w:r>
      <w:r w:rsidRPr="00A17637">
        <w:rPr>
          <w:szCs w:val="18"/>
        </w:rPr>
        <w:lastRenderedPageBreak/>
        <w:t>afgesloten.</w:t>
      </w:r>
      <w:r w:rsidRPr="00A17637">
        <w:rPr>
          <w:rStyle w:val="Voetnootmarkering"/>
          <w:szCs w:val="18"/>
        </w:rPr>
        <w:footnoteReference w:id="5"/>
      </w:r>
      <w:r w:rsidRPr="00A17637">
        <w:rPr>
          <w:szCs w:val="18"/>
        </w:rPr>
        <w:t xml:space="preserve"> Tegelijkertijd hebben de meeste Nederlandse huishoudens nog een lopend vast contract. Veel van hen worden daarom nog niet geconfronteerd met nieuwe tarieven. Gemiddeld betaalt een Nederlands huishouden met een CV-ketel daardoor op dit moment </w:t>
      </w:r>
      <w:r>
        <w:rPr>
          <w:szCs w:val="18"/>
        </w:rPr>
        <w:t>ongeveer dan 7 tot 8</w:t>
      </w:r>
      <w:r w:rsidRPr="00A17637">
        <w:rPr>
          <w:szCs w:val="18"/>
        </w:rPr>
        <w:t xml:space="preserve">  euro</w:t>
      </w:r>
      <w:r w:rsidRPr="00A17637">
        <w:rPr>
          <w:rStyle w:val="Voetnootmarkering"/>
          <w:szCs w:val="18"/>
        </w:rPr>
        <w:footnoteReference w:id="6"/>
      </w:r>
      <w:r w:rsidRPr="00A17637">
        <w:rPr>
          <w:szCs w:val="18"/>
        </w:rPr>
        <w:t xml:space="preserve"> meer op </w:t>
      </w:r>
      <w:r>
        <w:rPr>
          <w:szCs w:val="18"/>
        </w:rPr>
        <w:t>maand</w:t>
      </w:r>
      <w:r w:rsidRPr="00A17637">
        <w:rPr>
          <w:szCs w:val="18"/>
        </w:rPr>
        <w:t xml:space="preserve">basis, dan voor het uitbreken van het conflict. </w:t>
      </w:r>
      <w:bookmarkStart w:name="OLE_LINK9" w:id="2"/>
      <w:bookmarkEnd w:id="1"/>
      <w:r w:rsidRPr="00A17637">
        <w:rPr>
          <w:szCs w:val="18"/>
        </w:rPr>
        <w:t xml:space="preserve">Uit de beschikbare cijfers van de sector blijkt dat in de periode sinds maart 2026 zowel het saldo </w:t>
      </w:r>
      <w:r>
        <w:rPr>
          <w:szCs w:val="18"/>
        </w:rPr>
        <w:t xml:space="preserve">van </w:t>
      </w:r>
      <w:r w:rsidRPr="00A17637">
        <w:rPr>
          <w:szCs w:val="18"/>
        </w:rPr>
        <w:t>openstaande betalingsachterstanden als het aantal verzonden aanmaningen stabiel is gebleven. Dit bevestigt dat het een tijd duurt voordat hogere prijzen doorwerken in een hogere rekening en vervolgens tot achterstanden bij het betalen daarvan.</w:t>
      </w:r>
      <w:r>
        <w:rPr>
          <w:szCs w:val="18"/>
        </w:rPr>
        <w:t xml:space="preserve"> Anderzijds toont dit het belang aan om vinger aan de pols te blijven houden, ook wanneer de prijzen weer dalen.</w:t>
      </w:r>
    </w:p>
    <w:p w:rsidRPr="00A17637" w:rsidR="00DD1ADE" w:rsidP="00DD1ADE" w:rsidRDefault="00DD1ADE" w14:paraId="19D5A580" w14:textId="77777777">
      <w:pPr>
        <w:rPr>
          <w:szCs w:val="18"/>
        </w:rPr>
      </w:pPr>
    </w:p>
    <w:p w:rsidR="00DD1ADE" w:rsidP="00DD1ADE" w:rsidRDefault="00DD1ADE" w14:paraId="343ADAEB" w14:textId="776AFF30">
      <w:pPr>
        <w:rPr>
          <w:rFonts w:eastAsiaTheme="minorEastAsia"/>
          <w:szCs w:val="18"/>
        </w:rPr>
      </w:pPr>
      <w:r w:rsidRPr="00A17637">
        <w:rPr>
          <w:szCs w:val="18"/>
        </w:rPr>
        <w:t>Dit voorjaar heeft het Kabinet een brede verkenning</w:t>
      </w:r>
      <w:r w:rsidRPr="00A17637">
        <w:rPr>
          <w:rStyle w:val="Voetnootmarkering"/>
          <w:szCs w:val="18"/>
        </w:rPr>
        <w:footnoteReference w:id="7"/>
      </w:r>
      <w:r w:rsidRPr="00A17637">
        <w:rPr>
          <w:szCs w:val="18"/>
        </w:rPr>
        <w:t xml:space="preserve"> uitgevoerd naar maatregelen die genomen kunnen worden om de economische gevolgen van het conflict voor burgers te beperken. In bijlage </w:t>
      </w:r>
      <w:r>
        <w:rPr>
          <w:szCs w:val="18"/>
        </w:rPr>
        <w:t xml:space="preserve">1 </w:t>
      </w:r>
      <w:r w:rsidRPr="00A17637">
        <w:rPr>
          <w:szCs w:val="18"/>
        </w:rPr>
        <w:t xml:space="preserve">van deze brief heb ik de tabel "inventarisatie instrumentarium energieschok" nogmaals bijgevoegd, met de kanttekening dat informatie over o.a. de invoeringstermijn en budgettaire impact </w:t>
      </w:r>
      <w:r>
        <w:rPr>
          <w:szCs w:val="18"/>
        </w:rPr>
        <w:t>niet geactualiseerd is</w:t>
      </w:r>
      <w:r w:rsidRPr="00A17637">
        <w:rPr>
          <w:szCs w:val="18"/>
        </w:rPr>
        <w:t>. Deze informatie is dus niet opnieuw bijgewerkt.</w:t>
      </w:r>
      <w:r w:rsidRPr="00A17637">
        <w:rPr>
          <w:rStyle w:val="Voetnootmarkering"/>
          <w:szCs w:val="18"/>
        </w:rPr>
        <w:footnoteReference w:id="8"/>
      </w:r>
      <w:r w:rsidRPr="00A17637">
        <w:rPr>
          <w:szCs w:val="18"/>
        </w:rPr>
        <w:t xml:space="preserve"> </w:t>
      </w:r>
      <w:r w:rsidRPr="00A17637">
        <w:rPr>
          <w:rFonts w:eastAsiaTheme="minorEastAsia"/>
          <w:szCs w:val="18"/>
        </w:rPr>
        <w:t xml:space="preserve">De inventarisatie betreft een groslijst aan maatregelen aangeleverd door de verschillende departementen. Ik zal daarom hieronder aangeven welke maatregelen uit de bijgevoegde tabel, specifiek invloed hebben op de energierekening bij mensen thuis, conform mijn toezegging. </w:t>
      </w:r>
      <w:bookmarkStart w:name="OLE_LINK10" w:id="4"/>
      <w:r w:rsidRPr="00A17637">
        <w:rPr>
          <w:rFonts w:eastAsiaTheme="minorEastAsia"/>
          <w:szCs w:val="18"/>
        </w:rPr>
        <w:t>Hierbij vind ik het goed om mee te geven dat als onderdeel van de</w:t>
      </w:r>
      <w:r>
        <w:rPr>
          <w:rFonts w:eastAsiaTheme="minorEastAsia"/>
          <w:szCs w:val="18"/>
        </w:rPr>
        <w:t>ze brede</w:t>
      </w:r>
      <w:r w:rsidRPr="00A17637">
        <w:rPr>
          <w:rFonts w:eastAsiaTheme="minorEastAsia"/>
          <w:szCs w:val="18"/>
        </w:rPr>
        <w:t xml:space="preserve"> inventarisatie</w:t>
      </w:r>
      <w:r>
        <w:rPr>
          <w:rFonts w:eastAsiaTheme="minorEastAsia"/>
          <w:szCs w:val="18"/>
        </w:rPr>
        <w:t>, destijds door de Kamer verzocht,</w:t>
      </w:r>
      <w:r w:rsidR="00834DA4">
        <w:rPr>
          <w:rFonts w:eastAsiaTheme="minorEastAsia"/>
          <w:szCs w:val="18"/>
        </w:rPr>
        <w:t xml:space="preserve"> </w:t>
      </w:r>
      <w:r w:rsidRPr="00A17637">
        <w:rPr>
          <w:rFonts w:eastAsiaTheme="minorEastAsia"/>
          <w:szCs w:val="18"/>
        </w:rPr>
        <w:t>ook maatregelen zijn opgenomen die onuitvoerbaar</w:t>
      </w:r>
      <w:r>
        <w:rPr>
          <w:rFonts w:eastAsiaTheme="minorEastAsia"/>
          <w:szCs w:val="18"/>
        </w:rPr>
        <w:t>, ongewenst</w:t>
      </w:r>
      <w:r w:rsidRPr="00A17637">
        <w:rPr>
          <w:rFonts w:eastAsiaTheme="minorEastAsia"/>
          <w:szCs w:val="18"/>
        </w:rPr>
        <w:t xml:space="preserve"> </w:t>
      </w:r>
      <w:r>
        <w:rPr>
          <w:rFonts w:eastAsiaTheme="minorEastAsia"/>
          <w:szCs w:val="18"/>
        </w:rPr>
        <w:t>en/</w:t>
      </w:r>
      <w:r w:rsidRPr="00A17637">
        <w:rPr>
          <w:rFonts w:eastAsiaTheme="minorEastAsia"/>
          <w:szCs w:val="18"/>
        </w:rPr>
        <w:t>of ongericht zijn. Daarbij zijn de genoemde bedragen in de tabel in veel gevallen eerste inschattingen om een indicatie te geven van het benodigde budget.</w:t>
      </w:r>
      <w:bookmarkEnd w:id="4"/>
      <w:r w:rsidRPr="00A17637">
        <w:rPr>
          <w:rFonts w:eastAsiaTheme="minorEastAsia"/>
          <w:szCs w:val="18"/>
        </w:rPr>
        <w:t xml:space="preserve"> </w:t>
      </w:r>
      <w:bookmarkEnd w:id="2"/>
    </w:p>
    <w:p w:rsidRPr="00A17637" w:rsidR="00DD1ADE" w:rsidP="00DD1ADE" w:rsidRDefault="00DD1ADE" w14:paraId="50ED44C8" w14:textId="77777777">
      <w:pPr>
        <w:rPr>
          <w:rFonts w:eastAsiaTheme="minorEastAsia"/>
          <w:szCs w:val="18"/>
        </w:rPr>
      </w:pPr>
    </w:p>
    <w:p w:rsidRPr="00A17637" w:rsidR="00DD1ADE" w:rsidP="00DD1ADE" w:rsidRDefault="00DD1ADE" w14:paraId="39749D93" w14:textId="77777777">
      <w:pPr>
        <w:pStyle w:val="Lijstalinea"/>
        <w:numPr>
          <w:ilvl w:val="0"/>
          <w:numId w:val="22"/>
        </w:numPr>
        <w:spacing w:after="0"/>
        <w:rPr>
          <w:rFonts w:ascii="Verdana" w:hAnsi="Verdana"/>
          <w:sz w:val="18"/>
          <w:szCs w:val="18"/>
        </w:rPr>
      </w:pPr>
      <w:r w:rsidRPr="00A17637">
        <w:rPr>
          <w:rFonts w:ascii="Verdana" w:hAnsi="Verdana" w:eastAsia="Aptos" w:cs="Arial"/>
          <w:color w:val="000000" w:themeColor="text1"/>
          <w:sz w:val="18"/>
          <w:szCs w:val="18"/>
          <w:u w:val="single"/>
        </w:rPr>
        <w:t>Koopkracht:</w:t>
      </w:r>
      <w:r w:rsidRPr="00A17637">
        <w:rPr>
          <w:rFonts w:ascii="Verdana" w:hAnsi="Verdana" w:eastAsia="Aptos" w:cs="Arial"/>
          <w:color w:val="000000" w:themeColor="text1"/>
          <w:sz w:val="18"/>
          <w:szCs w:val="18"/>
        </w:rPr>
        <w:t xml:space="preserve"> </w:t>
      </w:r>
    </w:p>
    <w:p w:rsidRPr="00A17637" w:rsidR="00DD1ADE" w:rsidP="00DD1ADE" w:rsidRDefault="00DD1ADE" w14:paraId="49CDDFFA"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 xml:space="preserve">10. Openstellen Noodfonds Energie, </w:t>
      </w:r>
    </w:p>
    <w:p w:rsidRPr="00A17637" w:rsidR="00DD1ADE" w:rsidP="00DD1ADE" w:rsidRDefault="00DD1ADE" w14:paraId="7A164FE9"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 xml:space="preserve">11. Herintroduceren gemeentelijke energietoeslag (ET), </w:t>
      </w:r>
    </w:p>
    <w:p w:rsidRPr="00A17637" w:rsidR="00DD1ADE" w:rsidP="00DD1ADE" w:rsidRDefault="00DD1ADE" w14:paraId="45049288" w14:textId="77777777">
      <w:pPr>
        <w:pStyle w:val="Lijstalinea"/>
        <w:ind w:left="360"/>
        <w:rPr>
          <w:rFonts w:ascii="Verdana" w:hAnsi="Verdana"/>
          <w:sz w:val="18"/>
          <w:szCs w:val="18"/>
        </w:rPr>
      </w:pPr>
      <w:r w:rsidRPr="00A17637">
        <w:rPr>
          <w:rFonts w:ascii="Verdana" w:hAnsi="Verdana" w:eastAsia="Aptos" w:cs="Arial"/>
          <w:color w:val="000000" w:themeColor="text1"/>
          <w:sz w:val="18"/>
          <w:szCs w:val="18"/>
        </w:rPr>
        <w:t>14. Verlagen/differentiëren huurprijzen energielabels corporaties.</w:t>
      </w:r>
    </w:p>
    <w:p w:rsidRPr="00A17637" w:rsidR="00DD1ADE" w:rsidP="00DD1ADE" w:rsidRDefault="00DD1ADE" w14:paraId="5B765308" w14:textId="77777777">
      <w:pPr>
        <w:pStyle w:val="Lijstalinea"/>
        <w:numPr>
          <w:ilvl w:val="0"/>
          <w:numId w:val="18"/>
        </w:numPr>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u w:val="single"/>
        </w:rPr>
        <w:t xml:space="preserve">Energierekening: </w:t>
      </w:r>
    </w:p>
    <w:p w:rsidRPr="00A17637" w:rsidR="00DD1ADE" w:rsidP="00DD1ADE" w:rsidRDefault="00DD1ADE" w14:paraId="655C3BC3"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 xml:space="preserve">19. Verlagen energiebelasting elektriciteit schijf 1 en 2, </w:t>
      </w:r>
    </w:p>
    <w:p w:rsidRPr="00A17637" w:rsidR="00DD1ADE" w:rsidP="00DD1ADE" w:rsidRDefault="00DD1ADE" w14:paraId="1E6D8A39"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 xml:space="preserve">20. Verlagen energiebelasting aardgas schijf 1 en 2, </w:t>
      </w:r>
    </w:p>
    <w:p w:rsidRPr="00A17637" w:rsidR="00DD1ADE" w:rsidP="00DD1ADE" w:rsidRDefault="00DD1ADE" w14:paraId="6B5C7323"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21. Verlaging btw op energie van 21% naar 9%,</w:t>
      </w:r>
    </w:p>
    <w:p w:rsidRPr="00A17637" w:rsidR="00DD1ADE" w:rsidP="00DD1ADE" w:rsidRDefault="00DD1ADE" w14:paraId="54B9FC07"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 xml:space="preserve">22. Verhogen belastingvermindering energiebelasting, </w:t>
      </w:r>
    </w:p>
    <w:p w:rsidRPr="00A17637" w:rsidR="00DD1ADE" w:rsidP="00DD1ADE" w:rsidRDefault="00DD1ADE" w14:paraId="7E066B2F"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 xml:space="preserve">23. Niet invoeren heffing leveringszekerheid, </w:t>
      </w:r>
    </w:p>
    <w:p w:rsidRPr="00A17637" w:rsidR="00DD1ADE" w:rsidP="00DD1ADE" w:rsidRDefault="00DD1ADE" w14:paraId="574AF7B0"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 xml:space="preserve">24. Instellen Prijsplafond Energie, </w:t>
      </w:r>
    </w:p>
    <w:p w:rsidRPr="00A17637" w:rsidR="00DD1ADE" w:rsidP="00DD1ADE" w:rsidRDefault="00DD1ADE" w14:paraId="720D0076"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25. Sociaal tarief</w:t>
      </w:r>
      <w:r>
        <w:rPr>
          <w:rFonts w:ascii="Verdana" w:hAnsi="Verdana" w:eastAsia="Aptos" w:cs="Arial"/>
          <w:color w:val="000000" w:themeColor="text1"/>
          <w:sz w:val="18"/>
          <w:szCs w:val="18"/>
        </w:rPr>
        <w:t>.</w:t>
      </w:r>
    </w:p>
    <w:p w:rsidRPr="00A17637" w:rsidR="00DD1ADE" w:rsidP="00DD1ADE" w:rsidRDefault="00DD1ADE" w14:paraId="77D7B3C9" w14:textId="77777777">
      <w:pPr>
        <w:pStyle w:val="Lijstalinea"/>
        <w:numPr>
          <w:ilvl w:val="0"/>
          <w:numId w:val="19"/>
        </w:numPr>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u w:val="single"/>
        </w:rPr>
        <w:t xml:space="preserve">Caribisch Nederland: </w:t>
      </w:r>
    </w:p>
    <w:p w:rsidRPr="00A17637" w:rsidR="00DD1ADE" w:rsidP="00DD1ADE" w:rsidRDefault="00DD1ADE" w14:paraId="29192F37"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42. Verhogen jaarlijks totaalbedrag per huishouden voor de energietoelage,</w:t>
      </w:r>
    </w:p>
    <w:p w:rsidRPr="00A17637" w:rsidR="00DD1ADE" w:rsidP="00DD1ADE" w:rsidRDefault="00DD1ADE" w14:paraId="46351AEF"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lastRenderedPageBreak/>
        <w:t>43. Uitbreiden doelgroep energietoelage tot X% boven sociaal minimum,</w:t>
      </w:r>
    </w:p>
    <w:p w:rsidRPr="00A17637" w:rsidR="00DD1ADE" w:rsidP="00DD1ADE" w:rsidRDefault="00DD1ADE" w14:paraId="7E572760" w14:textId="77777777">
      <w:pPr>
        <w:pStyle w:val="Lijstalinea"/>
        <w:ind w:left="360"/>
        <w:rPr>
          <w:rFonts w:ascii="Verdana" w:hAnsi="Verdana" w:eastAsia="Aptos" w:cs="Arial"/>
          <w:color w:val="000000" w:themeColor="text1"/>
          <w:sz w:val="18"/>
          <w:szCs w:val="18"/>
        </w:rPr>
      </w:pPr>
      <w:r w:rsidRPr="00A17637">
        <w:rPr>
          <w:rFonts w:ascii="Verdana" w:hAnsi="Verdana" w:eastAsia="Aptos" w:cs="Arial"/>
          <w:color w:val="000000" w:themeColor="text1"/>
          <w:sz w:val="18"/>
          <w:szCs w:val="18"/>
        </w:rPr>
        <w:t>44. Verder verlagen van variabele elektratarieven of vastrechtkosten.</w:t>
      </w:r>
    </w:p>
    <w:p w:rsidRPr="00A17637" w:rsidR="00DD1ADE" w:rsidP="00DD1ADE" w:rsidRDefault="00DD1ADE" w14:paraId="708E84EF" w14:textId="77777777">
      <w:pPr>
        <w:pStyle w:val="Lijstalinea"/>
        <w:numPr>
          <w:ilvl w:val="0"/>
          <w:numId w:val="20"/>
        </w:numPr>
        <w:rPr>
          <w:rFonts w:ascii="Verdana" w:hAnsi="Verdana"/>
          <w:sz w:val="18"/>
          <w:szCs w:val="18"/>
        </w:rPr>
      </w:pPr>
      <w:r w:rsidRPr="00A17637">
        <w:rPr>
          <w:rFonts w:ascii="Verdana" w:hAnsi="Verdana" w:eastAsia="Aptos" w:cs="Arial"/>
          <w:color w:val="000000" w:themeColor="text1"/>
          <w:sz w:val="18"/>
          <w:szCs w:val="18"/>
          <w:u w:val="single"/>
        </w:rPr>
        <w:t xml:space="preserve">Gebouwde omgeving: </w:t>
      </w:r>
    </w:p>
    <w:p w:rsidRPr="00A17637" w:rsidR="00DD1ADE" w:rsidP="00DD1ADE" w:rsidRDefault="00DD1ADE" w14:paraId="268EB6CB" w14:textId="77777777">
      <w:pPr>
        <w:pStyle w:val="Lijstalinea"/>
        <w:ind w:left="360"/>
        <w:rPr>
          <w:rFonts w:ascii="Verdana" w:hAnsi="Verdana"/>
          <w:sz w:val="18"/>
          <w:szCs w:val="18"/>
        </w:rPr>
      </w:pPr>
      <w:r w:rsidRPr="00A17637">
        <w:rPr>
          <w:rFonts w:ascii="Verdana" w:hAnsi="Verdana" w:eastAsia="Aptos" w:cs="Arial"/>
          <w:color w:val="000000" w:themeColor="text1"/>
          <w:sz w:val="18"/>
          <w:szCs w:val="18"/>
        </w:rPr>
        <w:t>1. Aanvullen Nationaal Warm</w:t>
      </w:r>
      <w:r w:rsidRPr="00A17637">
        <w:rPr>
          <w:rFonts w:ascii="Verdana" w:hAnsi="Verdana"/>
          <w:sz w:val="18"/>
          <w:szCs w:val="18"/>
        </w:rPr>
        <w:t xml:space="preserve">tefonds, </w:t>
      </w:r>
    </w:p>
    <w:p w:rsidRPr="00A17637" w:rsidR="00DD1ADE" w:rsidP="00DD1ADE" w:rsidRDefault="00DD1ADE" w14:paraId="4C0747DC" w14:textId="77777777">
      <w:pPr>
        <w:pStyle w:val="Lijstalinea"/>
        <w:ind w:left="360"/>
        <w:rPr>
          <w:rFonts w:ascii="Verdana" w:hAnsi="Verdana"/>
          <w:sz w:val="18"/>
          <w:szCs w:val="18"/>
        </w:rPr>
      </w:pPr>
      <w:r w:rsidRPr="00A17637">
        <w:rPr>
          <w:rFonts w:ascii="Verdana" w:hAnsi="Verdana"/>
          <w:sz w:val="18"/>
          <w:szCs w:val="18"/>
        </w:rPr>
        <w:t xml:space="preserve">2. Isolatieversneller, </w:t>
      </w:r>
    </w:p>
    <w:p w:rsidRPr="00A17637" w:rsidR="00DD1ADE" w:rsidP="00DD1ADE" w:rsidRDefault="00DD1ADE" w14:paraId="4E5CB304" w14:textId="77777777">
      <w:pPr>
        <w:pStyle w:val="Lijstalinea"/>
        <w:ind w:left="360"/>
        <w:rPr>
          <w:rFonts w:ascii="Verdana" w:hAnsi="Verdana"/>
          <w:sz w:val="18"/>
          <w:szCs w:val="18"/>
        </w:rPr>
      </w:pPr>
      <w:r w:rsidRPr="00A17637">
        <w:rPr>
          <w:rFonts w:ascii="Verdana" w:hAnsi="Verdana"/>
          <w:sz w:val="18"/>
          <w:szCs w:val="18"/>
        </w:rPr>
        <w:t xml:space="preserve">3. Verhoging ISDE, </w:t>
      </w:r>
    </w:p>
    <w:p w:rsidRPr="00A17637" w:rsidR="00DD1ADE" w:rsidP="00DD1ADE" w:rsidRDefault="00DD1ADE" w14:paraId="554C701A" w14:textId="77777777">
      <w:pPr>
        <w:pStyle w:val="Lijstalinea"/>
        <w:ind w:left="360"/>
        <w:rPr>
          <w:rFonts w:ascii="Verdana" w:hAnsi="Verdana"/>
          <w:sz w:val="18"/>
          <w:szCs w:val="18"/>
        </w:rPr>
      </w:pPr>
      <w:r w:rsidRPr="00A17637">
        <w:rPr>
          <w:rFonts w:ascii="Verdana" w:hAnsi="Verdana"/>
          <w:sz w:val="18"/>
          <w:szCs w:val="18"/>
        </w:rPr>
        <w:t xml:space="preserve">4. Aanvullen SVVE, </w:t>
      </w:r>
    </w:p>
    <w:p w:rsidRPr="00A17637" w:rsidR="00DD1ADE" w:rsidP="00DD1ADE" w:rsidRDefault="00DD1ADE" w14:paraId="70757281" w14:textId="77777777">
      <w:pPr>
        <w:pStyle w:val="Lijstalinea"/>
        <w:ind w:left="360"/>
        <w:rPr>
          <w:rFonts w:ascii="Verdana" w:hAnsi="Verdana"/>
          <w:sz w:val="18"/>
          <w:szCs w:val="18"/>
        </w:rPr>
      </w:pPr>
      <w:r w:rsidRPr="00A17637">
        <w:rPr>
          <w:rFonts w:ascii="Verdana" w:hAnsi="Verdana"/>
          <w:sz w:val="18"/>
          <w:szCs w:val="18"/>
        </w:rPr>
        <w:t xml:space="preserve">5. Isolatiesubsidie voor woningcorporatie, </w:t>
      </w:r>
    </w:p>
    <w:p w:rsidRPr="00A17637" w:rsidR="00DD1ADE" w:rsidP="00DD1ADE" w:rsidRDefault="00DD1ADE" w14:paraId="64B6AFA1" w14:textId="77777777">
      <w:pPr>
        <w:pStyle w:val="Lijstalinea"/>
        <w:ind w:left="360"/>
        <w:rPr>
          <w:rFonts w:ascii="Verdana" w:hAnsi="Verdana"/>
          <w:sz w:val="18"/>
          <w:szCs w:val="18"/>
        </w:rPr>
      </w:pPr>
      <w:r w:rsidRPr="00A17637">
        <w:rPr>
          <w:rFonts w:ascii="Verdana" w:hAnsi="Verdana"/>
          <w:sz w:val="18"/>
          <w:szCs w:val="18"/>
        </w:rPr>
        <w:t>7. Verhogen SPUK Aanpak energiearmoede voor energiecoaches en –fixers,</w:t>
      </w:r>
    </w:p>
    <w:p w:rsidRPr="00A17637" w:rsidR="00DD1ADE" w:rsidP="00DD1ADE" w:rsidRDefault="00DD1ADE" w14:paraId="4F7C9B90" w14:textId="77777777">
      <w:pPr>
        <w:pStyle w:val="Lijstalinea"/>
        <w:ind w:left="360"/>
        <w:rPr>
          <w:rFonts w:ascii="Verdana" w:hAnsi="Verdana"/>
          <w:sz w:val="18"/>
          <w:szCs w:val="18"/>
        </w:rPr>
      </w:pPr>
      <w:r w:rsidRPr="00A17637">
        <w:rPr>
          <w:rFonts w:ascii="Verdana" w:hAnsi="Verdana"/>
          <w:sz w:val="18"/>
          <w:szCs w:val="18"/>
        </w:rPr>
        <w:t xml:space="preserve">8. Energiehuis Nationale ondersteuning, </w:t>
      </w:r>
    </w:p>
    <w:p w:rsidRPr="00A17637" w:rsidR="00DD1ADE" w:rsidP="00DD1ADE" w:rsidRDefault="00DD1ADE" w14:paraId="7A68C89D" w14:textId="77777777">
      <w:pPr>
        <w:pStyle w:val="Lijstalinea"/>
        <w:ind w:left="360"/>
        <w:rPr>
          <w:rFonts w:ascii="Verdana" w:hAnsi="Verdana"/>
          <w:sz w:val="18"/>
          <w:szCs w:val="18"/>
        </w:rPr>
      </w:pPr>
      <w:r w:rsidRPr="00A17637">
        <w:rPr>
          <w:rFonts w:ascii="Verdana" w:hAnsi="Verdana"/>
          <w:sz w:val="18"/>
          <w:szCs w:val="18"/>
        </w:rPr>
        <w:t xml:space="preserve">9. Additionele middelen NPLV, </w:t>
      </w:r>
    </w:p>
    <w:p w:rsidRPr="00A17637" w:rsidR="00DD1ADE" w:rsidP="00DD1ADE" w:rsidRDefault="00DD1ADE" w14:paraId="20E51F0E" w14:textId="77777777">
      <w:pPr>
        <w:pStyle w:val="Lijstalinea"/>
        <w:ind w:left="360"/>
        <w:rPr>
          <w:rFonts w:ascii="Verdana" w:hAnsi="Verdana"/>
          <w:sz w:val="18"/>
          <w:szCs w:val="18"/>
        </w:rPr>
      </w:pPr>
      <w:r w:rsidRPr="00A17637">
        <w:rPr>
          <w:rFonts w:ascii="Verdana" w:hAnsi="Verdana"/>
          <w:sz w:val="18"/>
          <w:szCs w:val="18"/>
        </w:rPr>
        <w:t xml:space="preserve">10. Normering en stimulering warmtepomp/energielabel verhuurder/eigenaar, </w:t>
      </w:r>
    </w:p>
    <w:p w:rsidRPr="00A17637" w:rsidR="00DD1ADE" w:rsidP="00DD1ADE" w:rsidRDefault="00DD1ADE" w14:paraId="10E524D8" w14:textId="77777777">
      <w:pPr>
        <w:pStyle w:val="Lijstalinea"/>
        <w:ind w:left="360"/>
        <w:rPr>
          <w:rFonts w:ascii="Verdana" w:hAnsi="Verdana"/>
          <w:sz w:val="18"/>
          <w:szCs w:val="18"/>
        </w:rPr>
      </w:pPr>
      <w:r w:rsidRPr="00A17637">
        <w:rPr>
          <w:rFonts w:ascii="Verdana" w:hAnsi="Verdana"/>
          <w:sz w:val="18"/>
          <w:szCs w:val="18"/>
        </w:rPr>
        <w:t xml:space="preserve">11. Normering energielabel eigenaar danwel verhuurder, </w:t>
      </w:r>
    </w:p>
    <w:p w:rsidRPr="00A17637" w:rsidR="00DD1ADE" w:rsidP="00DD1ADE" w:rsidRDefault="00DD1ADE" w14:paraId="41C33442" w14:textId="77777777">
      <w:pPr>
        <w:pStyle w:val="Lijstalinea"/>
        <w:ind w:left="360"/>
        <w:rPr>
          <w:rFonts w:ascii="Verdana" w:hAnsi="Verdana"/>
          <w:sz w:val="18"/>
          <w:szCs w:val="18"/>
        </w:rPr>
      </w:pPr>
      <w:r w:rsidRPr="00A17637">
        <w:rPr>
          <w:rFonts w:ascii="Verdana" w:hAnsi="Verdana"/>
          <w:sz w:val="18"/>
          <w:szCs w:val="18"/>
        </w:rPr>
        <w:t>12. Impuls warmtenetten.</w:t>
      </w:r>
    </w:p>
    <w:p w:rsidRPr="00A17637" w:rsidR="00DD1ADE" w:rsidP="00DD1ADE" w:rsidRDefault="00DD1ADE" w14:paraId="78B88DE2" w14:textId="77777777">
      <w:pPr>
        <w:pStyle w:val="Lijstalinea"/>
        <w:numPr>
          <w:ilvl w:val="0"/>
          <w:numId w:val="21"/>
        </w:numPr>
        <w:rPr>
          <w:rFonts w:ascii="Verdana" w:hAnsi="Verdana"/>
          <w:sz w:val="18"/>
          <w:szCs w:val="18"/>
        </w:rPr>
      </w:pPr>
      <w:r w:rsidRPr="00A17637">
        <w:rPr>
          <w:rFonts w:ascii="Verdana" w:hAnsi="Verdana"/>
          <w:sz w:val="18"/>
          <w:szCs w:val="18"/>
          <w:u w:val="single"/>
        </w:rPr>
        <w:t xml:space="preserve">Energiesysteem: </w:t>
      </w:r>
    </w:p>
    <w:p w:rsidRPr="00A17637" w:rsidR="00DD1ADE" w:rsidP="00DD1ADE" w:rsidRDefault="00DD1ADE" w14:paraId="5B2802FF" w14:textId="77777777">
      <w:pPr>
        <w:pStyle w:val="Lijstalinea"/>
        <w:ind w:left="360"/>
        <w:rPr>
          <w:rFonts w:ascii="Verdana" w:hAnsi="Verdana"/>
          <w:sz w:val="18"/>
          <w:szCs w:val="18"/>
        </w:rPr>
      </w:pPr>
      <w:r w:rsidRPr="00A17637">
        <w:rPr>
          <w:rFonts w:ascii="Verdana" w:hAnsi="Verdana"/>
          <w:sz w:val="18"/>
          <w:szCs w:val="18"/>
        </w:rPr>
        <w:t>14. Versnellen van verduurzamingsmaatregelen op Sint-Eustatius en Saba.</w:t>
      </w:r>
    </w:p>
    <w:p w:rsidR="00DD1ADE" w:rsidP="00DD1ADE" w:rsidRDefault="00DD1ADE" w14:paraId="2907E00F" w14:textId="63196855">
      <w:pPr>
        <w:rPr>
          <w:szCs w:val="18"/>
        </w:rPr>
      </w:pPr>
      <w:r w:rsidRPr="00A17637">
        <w:rPr>
          <w:szCs w:val="18"/>
        </w:rPr>
        <w:t>Het kabinet heeft in het voorjaar de keuze gemaakt voor een evenwichtig pakket aan gerichte maatregelen om de gestegen kosten voor huishoudens en bedrijven op te vangen</w:t>
      </w:r>
      <w:r>
        <w:rPr>
          <w:szCs w:val="18"/>
        </w:rPr>
        <w:t xml:space="preserve"> en de omschakeling naar duurzame energie te bevorderen</w:t>
      </w:r>
      <w:r w:rsidRPr="00A17637">
        <w:rPr>
          <w:szCs w:val="18"/>
        </w:rPr>
        <w:t xml:space="preserve">. </w:t>
      </w:r>
      <w:r>
        <w:rPr>
          <w:szCs w:val="18"/>
        </w:rPr>
        <w:t>Deze maatregelen zijn opgenomen in bijlage 2 bij deze brief</w:t>
      </w:r>
      <w:r w:rsidR="00834DA4">
        <w:rPr>
          <w:szCs w:val="18"/>
        </w:rPr>
        <w:t>. Dit betreft een geactualiseerde versie van het stuk</w:t>
      </w:r>
      <w:r>
        <w:rPr>
          <w:szCs w:val="18"/>
        </w:rPr>
        <w:t xml:space="preserve"> zoals </w:t>
      </w:r>
      <w:r w:rsidR="00834DA4">
        <w:rPr>
          <w:szCs w:val="18"/>
        </w:rPr>
        <w:t xml:space="preserve">dat </w:t>
      </w:r>
      <w:r>
        <w:rPr>
          <w:szCs w:val="18"/>
        </w:rPr>
        <w:t>op 22 mei jl. met Uw Kamer gedeeld</w:t>
      </w:r>
      <w:r w:rsidR="00834DA4">
        <w:rPr>
          <w:szCs w:val="18"/>
        </w:rPr>
        <w:t xml:space="preserve"> is.</w:t>
      </w:r>
      <w:r>
        <w:rPr>
          <w:rStyle w:val="Voetnootmarkering"/>
          <w:szCs w:val="18"/>
        </w:rPr>
        <w:footnoteReference w:id="9"/>
      </w:r>
    </w:p>
    <w:p w:rsidR="00DD1ADE" w:rsidP="00DD1ADE" w:rsidRDefault="00DD1ADE" w14:paraId="2E2B56BF" w14:textId="77777777">
      <w:pPr>
        <w:rPr>
          <w:szCs w:val="18"/>
        </w:rPr>
      </w:pPr>
    </w:p>
    <w:p w:rsidR="00DD1ADE" w:rsidP="00DD1ADE" w:rsidRDefault="00DD1ADE" w14:paraId="4FABB92C" w14:textId="77777777">
      <w:pPr>
        <w:rPr>
          <w:szCs w:val="18"/>
        </w:rPr>
      </w:pPr>
      <w:r w:rsidRPr="00A17637">
        <w:rPr>
          <w:szCs w:val="18"/>
        </w:rPr>
        <w:t xml:space="preserve">Bij de overweging om extra maatregelen te treffen om de energierekening voor huishoudens te verlichten, vindt het kabinet het belangrijk om te wegen hoe middelen zo doelmatig mogelijk kunnen worden besteed. </w:t>
      </w:r>
    </w:p>
    <w:p w:rsidR="00DD1ADE" w:rsidP="00DD1ADE" w:rsidRDefault="00DD1ADE" w14:paraId="09EBBA62" w14:textId="77777777">
      <w:pPr>
        <w:rPr>
          <w:szCs w:val="18"/>
        </w:rPr>
      </w:pPr>
    </w:p>
    <w:p w:rsidR="00DD1ADE" w:rsidP="00DD1ADE" w:rsidRDefault="00DD1ADE" w14:paraId="3359FC92" w14:textId="77777777">
      <w:pPr>
        <w:rPr>
          <w:szCs w:val="18"/>
        </w:rPr>
      </w:pPr>
      <w:r w:rsidRPr="00A17637">
        <w:rPr>
          <w:szCs w:val="18"/>
        </w:rPr>
        <w:t xml:space="preserve">De gestegen marktprijzen raken niet ieder huishouden even hard. Dit komt </w:t>
      </w:r>
      <w:r>
        <w:rPr>
          <w:szCs w:val="18"/>
        </w:rPr>
        <w:t>in de eerste plaats door verschillen in inkomen, draagkracht en samenstelling van een huishouden. Daarnaast verschillen huishoudens in welk energiecontract, type woning en type verwarmingsinstallatie zij hebben. Al d</w:t>
      </w:r>
      <w:r w:rsidRPr="00A17637">
        <w:rPr>
          <w:szCs w:val="18"/>
        </w:rPr>
        <w:t xml:space="preserve">eze componenten </w:t>
      </w:r>
      <w:r>
        <w:rPr>
          <w:szCs w:val="18"/>
        </w:rPr>
        <w:t xml:space="preserve">samen </w:t>
      </w:r>
      <w:r w:rsidRPr="00A17637">
        <w:rPr>
          <w:szCs w:val="18"/>
        </w:rPr>
        <w:t>bepalen uiteindelijk of de energierekening betaalbaar is voor huishoudens.</w:t>
      </w:r>
    </w:p>
    <w:p w:rsidRPr="00A17637" w:rsidR="00DD1ADE" w:rsidP="00DD1ADE" w:rsidRDefault="00DD1ADE" w14:paraId="1E3B4502" w14:textId="77777777">
      <w:pPr>
        <w:rPr>
          <w:szCs w:val="18"/>
        </w:rPr>
      </w:pPr>
    </w:p>
    <w:p w:rsidRPr="00A17637" w:rsidR="00DD1ADE" w:rsidP="00DD1ADE" w:rsidRDefault="00DD1ADE" w14:paraId="62D31AA4" w14:textId="77777777">
      <w:pPr>
        <w:pStyle w:val="Lijstalinea"/>
        <w:numPr>
          <w:ilvl w:val="0"/>
          <w:numId w:val="16"/>
        </w:numPr>
        <w:rPr>
          <w:rFonts w:ascii="Verdana" w:hAnsi="Verdana"/>
          <w:sz w:val="18"/>
          <w:szCs w:val="18"/>
        </w:rPr>
      </w:pPr>
      <w:r w:rsidRPr="00A17637">
        <w:rPr>
          <w:rFonts w:ascii="Verdana" w:hAnsi="Verdana"/>
          <w:sz w:val="18"/>
          <w:szCs w:val="18"/>
        </w:rPr>
        <w:t>Door de verschillen in contractvorm worden huishoudens anders geraakt door de prijsstijging. Op 1 augustus had 54% van de huishoudens een vast contract.</w:t>
      </w:r>
      <w:r w:rsidRPr="00A17637">
        <w:rPr>
          <w:rStyle w:val="Voetnootmarkering"/>
          <w:rFonts w:ascii="Verdana" w:hAnsi="Verdana" w:eastAsia="Aptos" w:cs="Aptos"/>
          <w:sz w:val="18"/>
          <w:szCs w:val="18"/>
        </w:rPr>
        <w:footnoteReference w:id="10"/>
      </w:r>
      <w:r w:rsidRPr="00A17637">
        <w:rPr>
          <w:rFonts w:ascii="Verdana" w:hAnsi="Verdana"/>
          <w:sz w:val="18"/>
          <w:szCs w:val="18"/>
        </w:rPr>
        <w:t xml:space="preserve"> Zij zijn beschermd tegen prijsstijgingen tot het moment dat het contract afloopt. Bij huishoudens met een variabel en dynamisch contract zijn de gestegen marktprijzen al wel doorberekend in de tarieven. Hier staat tegenover dat zij in periodes met een lagere prijs sneller voordeel hebben van de navenante daling. </w:t>
      </w:r>
    </w:p>
    <w:p w:rsidRPr="00A17637" w:rsidR="00DD1ADE" w:rsidP="00DD1ADE" w:rsidRDefault="00DD1ADE" w14:paraId="57B1F944" w14:textId="77777777">
      <w:pPr>
        <w:pStyle w:val="Lijstalinea"/>
        <w:numPr>
          <w:ilvl w:val="0"/>
          <w:numId w:val="16"/>
        </w:numPr>
        <w:rPr>
          <w:rFonts w:ascii="Verdana" w:hAnsi="Verdana" w:eastAsia="Aptos" w:cs="Aptos"/>
          <w:sz w:val="18"/>
          <w:szCs w:val="18"/>
        </w:rPr>
      </w:pPr>
      <w:r w:rsidRPr="00A17637">
        <w:rPr>
          <w:rFonts w:ascii="Verdana" w:hAnsi="Verdana" w:eastAsia="Aptos" w:cs="Aptos"/>
          <w:sz w:val="18"/>
          <w:szCs w:val="18"/>
        </w:rPr>
        <w:t>Huishoudens verschillen in huishoudsamenstelling en het energieverbruik door woningkenmerken. Op dit moment zijn er 1,5 miljoen huishoudens met geen tot weinig gasverbruik</w:t>
      </w:r>
      <w:r>
        <w:rPr>
          <w:rFonts w:ascii="Verdana" w:hAnsi="Verdana" w:eastAsia="Aptos" w:cs="Aptos"/>
          <w:sz w:val="18"/>
          <w:szCs w:val="18"/>
        </w:rPr>
        <w:t>,</w:t>
      </w:r>
      <w:r w:rsidRPr="00A17637">
        <w:rPr>
          <w:rStyle w:val="Voetnootmarkering"/>
          <w:rFonts w:ascii="Verdana" w:hAnsi="Verdana" w:eastAsia="Aptos" w:cs="Aptos"/>
          <w:sz w:val="18"/>
          <w:szCs w:val="18"/>
        </w:rPr>
        <w:footnoteReference w:id="11"/>
      </w:r>
      <w:r w:rsidRPr="00A17637">
        <w:rPr>
          <w:rFonts w:ascii="Verdana" w:hAnsi="Verdana" w:eastAsia="Aptos" w:cs="Aptos"/>
          <w:sz w:val="18"/>
          <w:szCs w:val="18"/>
        </w:rPr>
        <w:t xml:space="preserve"> omdat zij verwarmen door een hybride </w:t>
      </w:r>
      <w:r w:rsidRPr="00A17637">
        <w:rPr>
          <w:rFonts w:ascii="Verdana" w:hAnsi="Verdana" w:eastAsia="Aptos" w:cs="Aptos"/>
          <w:sz w:val="18"/>
          <w:szCs w:val="18"/>
        </w:rPr>
        <w:lastRenderedPageBreak/>
        <w:t xml:space="preserve">of volledig elektrische warmtepomp. Daarom worden zij relatief minder of niet geraakt door de huidige stijging van de gasprijzen. Generieke compensatie zou ook bij deze huishoudens terecht komen. </w:t>
      </w:r>
    </w:p>
    <w:p w:rsidRPr="00A17637" w:rsidR="00DD1ADE" w:rsidP="00DD1ADE" w:rsidRDefault="00DD1ADE" w14:paraId="61B490EC" w14:textId="77777777">
      <w:pPr>
        <w:pStyle w:val="Lijstalinea"/>
        <w:numPr>
          <w:ilvl w:val="0"/>
          <w:numId w:val="16"/>
        </w:numPr>
        <w:rPr>
          <w:rFonts w:ascii="Verdana" w:hAnsi="Verdana"/>
          <w:sz w:val="18"/>
          <w:szCs w:val="18"/>
        </w:rPr>
      </w:pPr>
      <w:r w:rsidRPr="00A17637">
        <w:rPr>
          <w:rFonts w:ascii="Verdana" w:hAnsi="Verdana"/>
          <w:sz w:val="18"/>
          <w:szCs w:val="18"/>
        </w:rPr>
        <w:t>Diverse publicaties</w:t>
      </w:r>
      <w:r w:rsidRPr="00A17637">
        <w:rPr>
          <w:rStyle w:val="Voetnootmarkering"/>
          <w:rFonts w:ascii="Verdana" w:hAnsi="Verdana"/>
          <w:sz w:val="18"/>
          <w:szCs w:val="18"/>
        </w:rPr>
        <w:footnoteReference w:id="12"/>
      </w:r>
      <w:r w:rsidRPr="00A17637">
        <w:rPr>
          <w:rFonts w:ascii="Verdana" w:hAnsi="Verdana"/>
          <w:sz w:val="18"/>
          <w:szCs w:val="18"/>
        </w:rPr>
        <w:t xml:space="preserve"> tonen aan dat de energiequote, waarmee de betaalbaarheid van energie wordt uitgedrukt, voor een grote groep huishoudens nog altijd relatief </w:t>
      </w:r>
      <w:r>
        <w:rPr>
          <w:rFonts w:ascii="Verdana" w:hAnsi="Verdana"/>
          <w:sz w:val="18"/>
          <w:szCs w:val="18"/>
        </w:rPr>
        <w:t>gunstig</w:t>
      </w:r>
      <w:r w:rsidRPr="00A17637">
        <w:rPr>
          <w:rFonts w:ascii="Verdana" w:hAnsi="Verdana"/>
          <w:sz w:val="18"/>
          <w:szCs w:val="18"/>
        </w:rPr>
        <w:t xml:space="preserve"> </w:t>
      </w:r>
      <w:r>
        <w:rPr>
          <w:rFonts w:ascii="Verdana" w:hAnsi="Verdana"/>
          <w:sz w:val="18"/>
          <w:szCs w:val="18"/>
        </w:rPr>
        <w:t>is</w:t>
      </w:r>
      <w:r w:rsidRPr="00A17637">
        <w:rPr>
          <w:rFonts w:ascii="Verdana" w:hAnsi="Verdana"/>
          <w:sz w:val="18"/>
          <w:szCs w:val="18"/>
        </w:rPr>
        <w:t xml:space="preserve">. Ondanks de stijgende energieprijzen is de energierekening voor hen nog steeds betaalbaar. </w:t>
      </w:r>
      <w:r>
        <w:rPr>
          <w:rFonts w:ascii="Verdana" w:hAnsi="Verdana"/>
          <w:sz w:val="18"/>
          <w:szCs w:val="18"/>
        </w:rPr>
        <w:t>Maar er zijn belangrijke verschillen: D</w:t>
      </w:r>
      <w:r w:rsidRPr="00A17637">
        <w:rPr>
          <w:rFonts w:ascii="Verdana" w:hAnsi="Verdana"/>
          <w:sz w:val="18"/>
          <w:szCs w:val="18"/>
        </w:rPr>
        <w:t xml:space="preserve">e groep </w:t>
      </w:r>
      <w:r>
        <w:rPr>
          <w:rFonts w:ascii="Verdana" w:hAnsi="Verdana"/>
          <w:sz w:val="18"/>
          <w:szCs w:val="18"/>
        </w:rPr>
        <w:t xml:space="preserve">van circa 500.000 </w:t>
      </w:r>
      <w:r w:rsidRPr="00A17637">
        <w:rPr>
          <w:rFonts w:ascii="Verdana" w:hAnsi="Verdana"/>
          <w:sz w:val="18"/>
          <w:szCs w:val="18"/>
        </w:rPr>
        <w:t xml:space="preserve">huishoudens in energiearmoede en de groep </w:t>
      </w:r>
      <w:r>
        <w:rPr>
          <w:rFonts w:ascii="Verdana" w:hAnsi="Verdana"/>
          <w:sz w:val="18"/>
          <w:szCs w:val="18"/>
        </w:rPr>
        <w:t xml:space="preserve">van circa 1 miljoen huishoudens </w:t>
      </w:r>
      <w:r w:rsidRPr="00A17637">
        <w:rPr>
          <w:rFonts w:ascii="Verdana" w:hAnsi="Verdana"/>
          <w:sz w:val="18"/>
          <w:szCs w:val="18"/>
        </w:rPr>
        <w:t>die risico loopt om in energiearmoede te belanden, is een substantieel hoger deel van het inkomen kwijt aan energie. Samen zijn dit ongeveer 1,5 miljoen huishoudens</w:t>
      </w:r>
      <w:r>
        <w:rPr>
          <w:rFonts w:ascii="Verdana" w:hAnsi="Verdana"/>
          <w:sz w:val="18"/>
          <w:szCs w:val="18"/>
        </w:rPr>
        <w:t xml:space="preserve">. </w:t>
      </w:r>
      <w:r w:rsidRPr="00A17637">
        <w:rPr>
          <w:rFonts w:ascii="Verdana" w:hAnsi="Verdana"/>
          <w:sz w:val="18"/>
          <w:szCs w:val="18"/>
        </w:rPr>
        <w:t xml:space="preserve">Een deel van de huishoudens in deze groep leeft in ‘verborgen energiearmoede’, zij zetten de verwarming uit om op energiekosten te besparen, </w:t>
      </w:r>
      <w:r>
        <w:rPr>
          <w:rFonts w:ascii="Verdana" w:hAnsi="Verdana"/>
          <w:sz w:val="18"/>
          <w:szCs w:val="18"/>
        </w:rPr>
        <w:t xml:space="preserve">maar zijn daarom ook moeilijker te bereiken bij compensatie voor hun energieverbruik. </w:t>
      </w:r>
      <w:r w:rsidRPr="00A17637">
        <w:rPr>
          <w:rFonts w:ascii="Verdana" w:hAnsi="Verdana"/>
          <w:sz w:val="18"/>
          <w:szCs w:val="18"/>
        </w:rPr>
        <w:t xml:space="preserve">Bovendien </w:t>
      </w:r>
      <w:r>
        <w:rPr>
          <w:rFonts w:ascii="Verdana" w:hAnsi="Verdana"/>
          <w:sz w:val="18"/>
          <w:szCs w:val="18"/>
        </w:rPr>
        <w:t>ishet</w:t>
      </w:r>
      <w:r w:rsidRPr="00A17637">
        <w:rPr>
          <w:rFonts w:ascii="Verdana" w:hAnsi="Verdana"/>
          <w:sz w:val="18"/>
          <w:szCs w:val="18"/>
        </w:rPr>
        <w:t xml:space="preserve"> belangrijk </w:t>
      </w:r>
      <w:r>
        <w:rPr>
          <w:rFonts w:ascii="Verdana" w:hAnsi="Verdana"/>
          <w:sz w:val="18"/>
          <w:szCs w:val="18"/>
        </w:rPr>
        <w:t>om mee te wegen of een</w:t>
      </w:r>
      <w:r w:rsidRPr="00A17637">
        <w:rPr>
          <w:rFonts w:ascii="Verdana" w:hAnsi="Verdana"/>
          <w:sz w:val="18"/>
          <w:szCs w:val="18"/>
        </w:rPr>
        <w:t xml:space="preserve"> huishouden </w:t>
      </w:r>
      <w:r>
        <w:rPr>
          <w:rFonts w:ascii="Verdana" w:hAnsi="Verdana"/>
          <w:sz w:val="18"/>
          <w:szCs w:val="18"/>
        </w:rPr>
        <w:t>zelf</w:t>
      </w:r>
      <w:r w:rsidRPr="00A17637">
        <w:rPr>
          <w:rFonts w:ascii="Verdana" w:hAnsi="Verdana"/>
          <w:sz w:val="18"/>
          <w:szCs w:val="18"/>
        </w:rPr>
        <w:t xml:space="preserve"> beschik</w:t>
      </w:r>
      <w:r>
        <w:rPr>
          <w:rFonts w:ascii="Verdana" w:hAnsi="Verdana"/>
          <w:sz w:val="18"/>
          <w:szCs w:val="18"/>
        </w:rPr>
        <w:t>t</w:t>
      </w:r>
      <w:r w:rsidRPr="00A17637">
        <w:rPr>
          <w:rFonts w:ascii="Verdana" w:hAnsi="Verdana"/>
          <w:sz w:val="18"/>
          <w:szCs w:val="18"/>
        </w:rPr>
        <w:t xml:space="preserve">over de middelen om verduurzamen en </w:t>
      </w:r>
      <w:r>
        <w:rPr>
          <w:rFonts w:ascii="Verdana" w:hAnsi="Verdana"/>
          <w:sz w:val="18"/>
          <w:szCs w:val="18"/>
        </w:rPr>
        <w:t>of dat iemand</w:t>
      </w:r>
      <w:r w:rsidRPr="00A17637">
        <w:rPr>
          <w:rFonts w:ascii="Verdana" w:hAnsi="Verdana"/>
          <w:sz w:val="18"/>
          <w:szCs w:val="18"/>
        </w:rPr>
        <w:t xml:space="preserve"> </w:t>
      </w:r>
      <w:r>
        <w:rPr>
          <w:rFonts w:ascii="Verdana" w:hAnsi="Verdana"/>
          <w:sz w:val="18"/>
          <w:szCs w:val="18"/>
        </w:rPr>
        <w:t>deze middelen niet heeft</w:t>
      </w:r>
      <w:r w:rsidRPr="00A17637">
        <w:rPr>
          <w:rFonts w:ascii="Verdana" w:hAnsi="Verdana"/>
          <w:sz w:val="18"/>
          <w:szCs w:val="18"/>
        </w:rPr>
        <w:t xml:space="preserve"> en/of afhankelijk zijn van een verhuurder.</w:t>
      </w:r>
    </w:p>
    <w:p w:rsidRPr="00A17637" w:rsidR="00DD1ADE" w:rsidP="00DD1ADE" w:rsidRDefault="00DD1ADE" w14:paraId="6728AB2A" w14:textId="77777777">
      <w:pPr>
        <w:rPr>
          <w:szCs w:val="18"/>
        </w:rPr>
      </w:pPr>
      <w:r w:rsidRPr="00A17637">
        <w:rPr>
          <w:szCs w:val="18"/>
        </w:rPr>
        <w:t xml:space="preserve">Bovenstaande factoren laten het belang zien van een gerichte aanpak. Op die manier </w:t>
      </w:r>
      <w:r>
        <w:rPr>
          <w:szCs w:val="18"/>
        </w:rPr>
        <w:t>komen</w:t>
      </w:r>
      <w:r w:rsidRPr="00A17637">
        <w:rPr>
          <w:szCs w:val="18"/>
        </w:rPr>
        <w:t xml:space="preserve"> middelen terecht bij de groepen die dit het hardst nodig hebben. </w:t>
      </w:r>
    </w:p>
    <w:p w:rsidRPr="00A17637" w:rsidR="00DD1ADE" w:rsidP="00DD1ADE" w:rsidRDefault="00DD1ADE" w14:paraId="1E3B46A6" w14:textId="77777777">
      <w:pPr>
        <w:rPr>
          <w:rFonts w:eastAsiaTheme="minorEastAsia"/>
          <w:b/>
          <w:bCs/>
          <w:szCs w:val="18"/>
        </w:rPr>
      </w:pPr>
    </w:p>
    <w:p w:rsidRPr="00A17637" w:rsidR="00DD1ADE" w:rsidP="00DD1ADE" w:rsidRDefault="00DD1ADE" w14:paraId="6312005B" w14:textId="77777777">
      <w:pPr>
        <w:rPr>
          <w:rFonts w:eastAsiaTheme="minorEastAsia"/>
          <w:b/>
          <w:bCs/>
          <w:szCs w:val="18"/>
        </w:rPr>
      </w:pPr>
      <w:r w:rsidRPr="00A17637">
        <w:rPr>
          <w:rFonts w:eastAsiaTheme="minorEastAsia"/>
          <w:b/>
          <w:bCs/>
          <w:szCs w:val="18"/>
        </w:rPr>
        <w:t>Bereik van de gerichte extra energiemaatregelen genomen in het voorjaar</w:t>
      </w:r>
    </w:p>
    <w:p w:rsidR="00DD1ADE" w:rsidP="00DD1ADE" w:rsidRDefault="00DD1ADE" w14:paraId="44A489C9" w14:textId="77777777">
      <w:pPr>
        <w:rPr>
          <w:rFonts w:eastAsiaTheme="minorEastAsia"/>
          <w:szCs w:val="18"/>
        </w:rPr>
      </w:pPr>
      <w:r w:rsidRPr="00A17637">
        <w:rPr>
          <w:rFonts w:eastAsiaTheme="minorEastAsia"/>
          <w:szCs w:val="18"/>
        </w:rPr>
        <w:t>In beantwoording van de schriftelijke vragen op de suppletoire begroting 2026 van KGG heb ik een overzicht gedeeld van de (voorlopige) resultaten</w:t>
      </w:r>
      <w:r>
        <w:rPr>
          <w:rFonts w:eastAsiaTheme="minorEastAsia"/>
          <w:szCs w:val="18"/>
        </w:rPr>
        <w:t xml:space="preserve"> en het bereik</w:t>
      </w:r>
      <w:r w:rsidRPr="00A17637">
        <w:rPr>
          <w:rFonts w:eastAsiaTheme="minorEastAsia"/>
          <w:szCs w:val="18"/>
        </w:rPr>
        <w:t xml:space="preserve"> van </w:t>
      </w:r>
      <w:r>
        <w:rPr>
          <w:rFonts w:eastAsiaTheme="minorEastAsia"/>
          <w:szCs w:val="18"/>
        </w:rPr>
        <w:t xml:space="preserve">een aantal </w:t>
      </w:r>
      <w:r w:rsidRPr="00A17637">
        <w:rPr>
          <w:rFonts w:eastAsiaTheme="minorEastAsia"/>
          <w:szCs w:val="18"/>
        </w:rPr>
        <w:t xml:space="preserve">in het voorjaar aangekondigde extra maatregelen die invloed hebben op het energieverbruik of de hoogte van de energierekening. Conform mijn toezegging aan het lid Vermeer (BBB) deel ik hierbij </w:t>
      </w:r>
      <w:r>
        <w:rPr>
          <w:rFonts w:eastAsiaTheme="minorEastAsia"/>
          <w:szCs w:val="18"/>
        </w:rPr>
        <w:t>nogmaals deze gegevens:</w:t>
      </w:r>
    </w:p>
    <w:p w:rsidRPr="00A17637" w:rsidR="00DD1ADE" w:rsidP="00DD1ADE" w:rsidRDefault="00DD1ADE" w14:paraId="7746BEFB" w14:textId="77777777">
      <w:pPr>
        <w:rPr>
          <w:szCs w:val="18"/>
        </w:rPr>
      </w:pPr>
    </w:p>
    <w:p w:rsidRPr="00A17637" w:rsidR="00DD1ADE" w:rsidP="00DD1ADE" w:rsidRDefault="00DD1ADE" w14:paraId="701990A7" w14:textId="77777777">
      <w:pPr>
        <w:pStyle w:val="Lijstalinea"/>
        <w:numPr>
          <w:ilvl w:val="0"/>
          <w:numId w:val="17"/>
        </w:numPr>
        <w:spacing w:after="0"/>
        <w:rPr>
          <w:rFonts w:ascii="Verdana" w:hAnsi="Verdana" w:eastAsiaTheme="minorEastAsia"/>
          <w:sz w:val="18"/>
          <w:szCs w:val="18"/>
        </w:rPr>
      </w:pPr>
      <w:r w:rsidRPr="00A17637">
        <w:rPr>
          <w:rFonts w:ascii="Verdana" w:hAnsi="Verdana" w:eastAsiaTheme="minorEastAsia"/>
          <w:sz w:val="18"/>
          <w:szCs w:val="18"/>
        </w:rPr>
        <w:t>Het Warmtefonds heeft 22.090 leningen in totaal verstrekt in 2026. Dat is 6.000 meer dan in dezelfde periode in 2025. Gemiddeld genomen wordt er na de inzet van de maatregelen 31% op het energieverbruik in de woning bespaard.</w:t>
      </w:r>
      <w:r w:rsidRPr="00A17637">
        <w:rPr>
          <w:rStyle w:val="Voetnootmarkering"/>
          <w:rFonts w:ascii="Verdana" w:hAnsi="Verdana" w:eastAsiaTheme="minorEastAsia"/>
          <w:sz w:val="18"/>
          <w:szCs w:val="18"/>
        </w:rPr>
        <w:footnoteReference w:id="13"/>
      </w:r>
    </w:p>
    <w:p w:rsidRPr="00A17637" w:rsidR="00DD1ADE" w:rsidP="00DD1ADE" w:rsidRDefault="00DD1ADE" w14:paraId="1FCF3F0C" w14:textId="77777777">
      <w:pPr>
        <w:pStyle w:val="Lijstalinea"/>
        <w:numPr>
          <w:ilvl w:val="0"/>
          <w:numId w:val="17"/>
        </w:numPr>
        <w:spacing w:after="0"/>
        <w:rPr>
          <w:rFonts w:ascii="Verdana" w:hAnsi="Verdana" w:eastAsiaTheme="minorEastAsia"/>
          <w:sz w:val="18"/>
          <w:szCs w:val="18"/>
        </w:rPr>
      </w:pPr>
      <w:r w:rsidRPr="00A17637">
        <w:rPr>
          <w:rFonts w:ascii="Verdana" w:hAnsi="Verdana" w:eastAsiaTheme="minorEastAsia"/>
          <w:sz w:val="18"/>
          <w:szCs w:val="18"/>
        </w:rPr>
        <w:t>Voor ‘Energiefixers’ is € 80 mln gereserveerd voor 2026 en 2027. Aanvullend is er € 15 mln beschikbaar gesteld voor de NPLV-gebieden. Samen kan dit ruim 350.000 veelal kwetsbare huishoudens ondersteunen bij het besparen op hun verbruik. € 55 mln hiervan is beschikt via de SPUK Aanpak Energiearmoede en € 40 mln is in 2027 gereserveerd voor cofinanciering voor het onderdeel Energiehuis-Energiehulp van het Sociaal Klimaatplan.</w:t>
      </w:r>
    </w:p>
    <w:p w:rsidRPr="00A17637" w:rsidR="00DD1ADE" w:rsidP="00DD1ADE" w:rsidRDefault="00DD1ADE" w14:paraId="6CB263E2" w14:textId="77777777">
      <w:pPr>
        <w:pStyle w:val="Lijstalinea"/>
        <w:numPr>
          <w:ilvl w:val="0"/>
          <w:numId w:val="17"/>
        </w:numPr>
        <w:spacing w:after="0"/>
        <w:rPr>
          <w:rFonts w:ascii="Verdana" w:hAnsi="Verdana" w:eastAsiaTheme="minorEastAsia"/>
          <w:sz w:val="18"/>
          <w:szCs w:val="18"/>
        </w:rPr>
      </w:pPr>
      <w:r w:rsidRPr="00A17637">
        <w:rPr>
          <w:rFonts w:ascii="Verdana" w:hAnsi="Verdana" w:eastAsiaTheme="minorEastAsia"/>
          <w:sz w:val="18"/>
          <w:szCs w:val="18"/>
        </w:rPr>
        <w:lastRenderedPageBreak/>
        <w:t>Met de € 25 mln extra SVVE-budget kunnen naar verwachting bijna 10.000 woningen die vallen binnen een VVE extra verduurzaamd worden. Het gaat gemiddeld om 2.600 euro per aanvraag.</w:t>
      </w:r>
    </w:p>
    <w:p w:rsidRPr="00A17637" w:rsidR="00DD1ADE" w:rsidP="00DD1ADE" w:rsidRDefault="00DD1ADE" w14:paraId="12AEBB9B" w14:textId="77777777">
      <w:pPr>
        <w:pStyle w:val="Lijstalinea"/>
        <w:numPr>
          <w:ilvl w:val="0"/>
          <w:numId w:val="17"/>
        </w:numPr>
        <w:spacing w:after="0"/>
        <w:rPr>
          <w:rFonts w:ascii="Verdana" w:hAnsi="Verdana" w:eastAsiaTheme="minorEastAsia"/>
          <w:sz w:val="18"/>
          <w:szCs w:val="18"/>
        </w:rPr>
      </w:pPr>
      <w:r w:rsidRPr="00A17637">
        <w:rPr>
          <w:rFonts w:ascii="Verdana" w:hAnsi="Verdana" w:eastAsiaTheme="minorEastAsia"/>
          <w:sz w:val="18"/>
          <w:szCs w:val="18"/>
        </w:rPr>
        <w:t>Met de inzet van € 193 mln in het Noodfonds Energie zullen naar verwachting 500.000 huishoudens met een laag inkomen en een hoge energierekening worden ondersteund. Het Noodfonds Energie zal begin 2027 openen.</w:t>
      </w:r>
    </w:p>
    <w:p w:rsidRPr="00A17637" w:rsidR="00DD1ADE" w:rsidP="00DD1ADE" w:rsidRDefault="00DD1ADE" w14:paraId="545FEF5E" w14:textId="77777777">
      <w:pPr>
        <w:pStyle w:val="Lijstalinea"/>
        <w:numPr>
          <w:ilvl w:val="0"/>
          <w:numId w:val="17"/>
        </w:numPr>
        <w:spacing w:after="0"/>
        <w:rPr>
          <w:rFonts w:ascii="Verdana" w:hAnsi="Verdana" w:eastAsiaTheme="minorEastAsia"/>
          <w:sz w:val="18"/>
          <w:szCs w:val="18"/>
        </w:rPr>
      </w:pPr>
      <w:r w:rsidRPr="00A17637">
        <w:rPr>
          <w:rFonts w:ascii="Verdana" w:hAnsi="Verdana" w:eastAsiaTheme="minorEastAsia"/>
          <w:sz w:val="18"/>
          <w:szCs w:val="18"/>
        </w:rPr>
        <w:t>Met de uitbreiding van energietoelage in Caribisch Nederland kunnen huishoudens met een inkomen tot 130% van de armoedegrens extra worden ondersteund om voor de gevolgen van de stijgende energieprijzen te compenseren. Volgens de meest recente gegevens van het CBS (jaar 2024) vallen ruim vierduizend huishoudens in deze groep.</w:t>
      </w:r>
    </w:p>
    <w:p w:rsidRPr="00A17637" w:rsidR="00DD1ADE" w:rsidP="00DD1ADE" w:rsidRDefault="00DD1ADE" w14:paraId="7F6EBC9D" w14:textId="77777777">
      <w:pPr>
        <w:spacing w:line="240" w:lineRule="auto"/>
        <w:rPr>
          <w:szCs w:val="18"/>
        </w:rPr>
      </w:pPr>
    </w:p>
    <w:p w:rsidRPr="00A17637" w:rsidR="00DD1ADE" w:rsidP="00DD1ADE" w:rsidRDefault="00DD1ADE" w14:paraId="5646E093" w14:textId="77777777">
      <w:pPr>
        <w:rPr>
          <w:szCs w:val="18"/>
        </w:rPr>
      </w:pPr>
    </w:p>
    <w:p w:rsidRPr="00A17637" w:rsidR="00DD1ADE" w:rsidP="00DD1ADE" w:rsidRDefault="00DD1ADE" w14:paraId="782245E2" w14:textId="77777777">
      <w:pPr>
        <w:pStyle w:val="Normaalweb"/>
        <w:spacing w:before="0" w:beforeAutospacing="0" w:after="0" w:afterAutospacing="0"/>
        <w:rPr>
          <w:rFonts w:ascii="Verdana" w:hAnsi="Verdana"/>
          <w:sz w:val="18"/>
          <w:szCs w:val="18"/>
        </w:rPr>
      </w:pPr>
    </w:p>
    <w:p w:rsidRPr="00A17637" w:rsidR="00DD1ADE" w:rsidP="00DD1ADE" w:rsidRDefault="00DD1ADE" w14:paraId="55DFF12D" w14:textId="77777777">
      <w:pPr>
        <w:pStyle w:val="Normaalweb"/>
        <w:spacing w:before="0" w:beforeAutospacing="0" w:after="0" w:afterAutospacing="0"/>
        <w:rPr>
          <w:rFonts w:ascii="Verdana" w:hAnsi="Verdana"/>
          <w:sz w:val="18"/>
          <w:szCs w:val="18"/>
        </w:rPr>
      </w:pPr>
    </w:p>
    <w:p w:rsidRPr="00A17637" w:rsidR="00DD1ADE" w:rsidP="00DD1ADE" w:rsidRDefault="00DD1ADE" w14:paraId="0B3431C7" w14:textId="77777777">
      <w:pPr>
        <w:pStyle w:val="Normaalweb"/>
        <w:spacing w:before="0" w:beforeAutospacing="0" w:after="0" w:afterAutospacing="0"/>
        <w:rPr>
          <w:rFonts w:ascii="Verdana" w:hAnsi="Verdana"/>
          <w:sz w:val="18"/>
          <w:szCs w:val="18"/>
        </w:rPr>
      </w:pPr>
    </w:p>
    <w:p w:rsidRPr="00A17637" w:rsidR="00DD1ADE" w:rsidP="00DD1ADE" w:rsidRDefault="00DD1ADE" w14:paraId="6C665E61" w14:textId="77777777">
      <w:pPr>
        <w:pStyle w:val="Normaalweb"/>
        <w:spacing w:before="0" w:beforeAutospacing="0" w:after="0" w:afterAutospacing="0"/>
        <w:rPr>
          <w:rFonts w:ascii="Verdana" w:hAnsi="Verdana"/>
          <w:sz w:val="18"/>
          <w:szCs w:val="18"/>
        </w:rPr>
      </w:pPr>
      <w:r w:rsidRPr="00A17637">
        <w:rPr>
          <w:rFonts w:ascii="Verdana" w:hAnsi="Verdana"/>
          <w:sz w:val="18"/>
          <w:szCs w:val="18"/>
        </w:rPr>
        <w:t>Stientje van Veldhoven-van der Meer</w:t>
      </w:r>
    </w:p>
    <w:p w:rsidRPr="00A17637" w:rsidR="00DD1ADE" w:rsidP="00DD1ADE" w:rsidRDefault="00DD1ADE" w14:paraId="2E3FAD32" w14:textId="77777777">
      <w:pPr>
        <w:pStyle w:val="Normaalweb"/>
        <w:spacing w:before="0" w:beforeAutospacing="0" w:after="0" w:afterAutospacing="0"/>
        <w:rPr>
          <w:rFonts w:ascii="Verdana" w:hAnsi="Verdana"/>
          <w:sz w:val="18"/>
          <w:szCs w:val="18"/>
        </w:rPr>
      </w:pPr>
      <w:r w:rsidRPr="00A17637">
        <w:rPr>
          <w:rFonts w:ascii="Verdana" w:hAnsi="Verdana"/>
          <w:sz w:val="18"/>
          <w:szCs w:val="18"/>
        </w:rPr>
        <w:t>Minister van Klimaat en Groene Groei</w:t>
      </w:r>
    </w:p>
    <w:p w:rsidRPr="00080CDD" w:rsidR="00DD1ADE" w:rsidP="00DD1ADE" w:rsidRDefault="00DD1ADE" w14:paraId="5BE417AD" w14:textId="77777777"/>
    <w:p w:rsidRPr="00DD1ADE" w:rsidR="00BD2D73" w:rsidP="00DD1ADE" w:rsidRDefault="00BD2D73" w14:paraId="4DBBA188" w14:textId="77777777"/>
    <w:sectPr w:rsidRPr="00DD1ADE"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B3360" w14:textId="77777777" w:rsidR="00864EB6" w:rsidRDefault="00864EB6">
      <w:r>
        <w:separator/>
      </w:r>
    </w:p>
    <w:p w14:paraId="132EC9F0" w14:textId="77777777" w:rsidR="00864EB6" w:rsidRDefault="00864EB6"/>
  </w:endnote>
  <w:endnote w:type="continuationSeparator" w:id="0">
    <w:p w14:paraId="456D6739" w14:textId="77777777" w:rsidR="00864EB6" w:rsidRDefault="00864EB6">
      <w:r>
        <w:continuationSeparator/>
      </w:r>
    </w:p>
    <w:p w14:paraId="111DDACA" w14:textId="77777777" w:rsidR="00864EB6" w:rsidRDefault="00864E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47E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A3D52" w14:paraId="498B9CF0" w14:textId="77777777" w:rsidTr="00CA6A25">
      <w:trPr>
        <w:trHeight w:hRule="exact" w:val="240"/>
      </w:trPr>
      <w:tc>
        <w:tcPr>
          <w:tcW w:w="7601" w:type="dxa"/>
        </w:tcPr>
        <w:p w14:paraId="091ED2D9" w14:textId="77777777" w:rsidR="00527BD4" w:rsidRDefault="00527BD4" w:rsidP="003F1F6B">
          <w:pPr>
            <w:pStyle w:val="Huisstijl-Rubricering"/>
          </w:pPr>
        </w:p>
      </w:tc>
      <w:tc>
        <w:tcPr>
          <w:tcW w:w="2156" w:type="dxa"/>
        </w:tcPr>
        <w:p w14:paraId="7E8B8574" w14:textId="57F3DC0E" w:rsidR="00527BD4" w:rsidRPr="00645414" w:rsidRDefault="00864EB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70383C">
            <w:t>5</w:t>
          </w:r>
          <w:r w:rsidR="004425CC">
            <w:fldChar w:fldCharType="end"/>
          </w:r>
        </w:p>
      </w:tc>
    </w:tr>
  </w:tbl>
  <w:p w14:paraId="0C108F5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A3D52" w14:paraId="228A73EF" w14:textId="77777777" w:rsidTr="00CA6A25">
      <w:trPr>
        <w:trHeight w:hRule="exact" w:val="240"/>
      </w:trPr>
      <w:tc>
        <w:tcPr>
          <w:tcW w:w="7601" w:type="dxa"/>
        </w:tcPr>
        <w:p w14:paraId="60BBAEC6" w14:textId="77777777" w:rsidR="00527BD4" w:rsidRDefault="00527BD4" w:rsidP="008C356D">
          <w:pPr>
            <w:pStyle w:val="Huisstijl-Rubricering"/>
          </w:pPr>
        </w:p>
      </w:tc>
      <w:tc>
        <w:tcPr>
          <w:tcW w:w="2170" w:type="dxa"/>
        </w:tcPr>
        <w:p w14:paraId="1B2CD8EB" w14:textId="77053054" w:rsidR="00527BD4" w:rsidRPr="00ED539E" w:rsidRDefault="00864EB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70383C">
            <w:t>5</w:t>
          </w:r>
          <w:r w:rsidR="00A13FBD">
            <w:fldChar w:fldCharType="end"/>
          </w:r>
        </w:p>
      </w:tc>
    </w:tr>
  </w:tbl>
  <w:p w14:paraId="348E5305" w14:textId="77777777" w:rsidR="00527BD4" w:rsidRPr="00BC3B53" w:rsidRDefault="00527BD4" w:rsidP="008C356D">
    <w:pPr>
      <w:pStyle w:val="Voettekst"/>
      <w:spacing w:line="240" w:lineRule="auto"/>
      <w:rPr>
        <w:sz w:val="2"/>
        <w:szCs w:val="2"/>
      </w:rPr>
    </w:pPr>
  </w:p>
  <w:p w14:paraId="5313AD5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A3271" w14:textId="77777777" w:rsidR="00864EB6" w:rsidRDefault="00864EB6">
      <w:r>
        <w:separator/>
      </w:r>
    </w:p>
    <w:p w14:paraId="464DF776" w14:textId="77777777" w:rsidR="00864EB6" w:rsidRDefault="00864EB6"/>
  </w:footnote>
  <w:footnote w:type="continuationSeparator" w:id="0">
    <w:p w14:paraId="083DD139" w14:textId="77777777" w:rsidR="00864EB6" w:rsidRDefault="00864EB6">
      <w:r>
        <w:continuationSeparator/>
      </w:r>
    </w:p>
    <w:p w14:paraId="4690366C" w14:textId="77777777" w:rsidR="00864EB6" w:rsidRDefault="00864EB6"/>
  </w:footnote>
  <w:footnote w:id="1">
    <w:p w14:paraId="586D30BF" w14:textId="77777777" w:rsidR="00DD1ADE" w:rsidRPr="00292097" w:rsidRDefault="00DD1ADE" w:rsidP="00DD1ADE">
      <w:pPr>
        <w:pStyle w:val="Voetnoottekst"/>
      </w:pPr>
      <w:r w:rsidRPr="3F35351F">
        <w:rPr>
          <w:rStyle w:val="Voetnootmarkering"/>
        </w:rPr>
        <w:footnoteRef/>
      </w:r>
      <w:r>
        <w:rPr>
          <w:color w:val="132439"/>
        </w:rPr>
        <w:t xml:space="preserve"> </w:t>
      </w:r>
      <w:bookmarkStart w:id="0" w:name="OLE_LINK12"/>
      <w:r>
        <w:t>Kamerstukken</w:t>
      </w:r>
      <w:r w:rsidRPr="00292097">
        <w:t xml:space="preserve"> </w:t>
      </w:r>
      <w:r>
        <w:t xml:space="preserve">II 2026/27, </w:t>
      </w:r>
      <w:r w:rsidRPr="00292097">
        <w:rPr>
          <w:color w:val="132439"/>
        </w:rPr>
        <w:t>29</w:t>
      </w:r>
      <w:r>
        <w:rPr>
          <w:color w:val="132439"/>
        </w:rPr>
        <w:t xml:space="preserve"> </w:t>
      </w:r>
      <w:r w:rsidRPr="00292097">
        <w:rPr>
          <w:color w:val="132439"/>
        </w:rPr>
        <w:t>023</w:t>
      </w:r>
      <w:r>
        <w:rPr>
          <w:color w:val="132439"/>
        </w:rPr>
        <w:t xml:space="preserve">, nr. </w:t>
      </w:r>
      <w:r w:rsidRPr="00292097">
        <w:rPr>
          <w:color w:val="132439"/>
        </w:rPr>
        <w:t>728</w:t>
      </w:r>
      <w:bookmarkEnd w:id="0"/>
      <w:r>
        <w:rPr>
          <w:color w:val="132439"/>
        </w:rPr>
        <w:t>.</w:t>
      </w:r>
    </w:p>
  </w:footnote>
  <w:footnote w:id="2">
    <w:p w14:paraId="6FF3F49D" w14:textId="77777777" w:rsidR="00DD1ADE" w:rsidRPr="00292097" w:rsidRDefault="00DD1ADE" w:rsidP="00DD1ADE">
      <w:pPr>
        <w:pStyle w:val="Voetnoottekst"/>
      </w:pPr>
      <w:r w:rsidRPr="00292097">
        <w:rPr>
          <w:rStyle w:val="Voetnootmarkering"/>
        </w:rPr>
        <w:footnoteRef/>
      </w:r>
      <w:r w:rsidRPr="00292097">
        <w:t xml:space="preserve"> </w:t>
      </w:r>
      <w:r>
        <w:t>Kamerstukken II 2026/27</w:t>
      </w:r>
      <w:r w:rsidRPr="00292097">
        <w:t xml:space="preserve"> </w:t>
      </w:r>
      <w:r w:rsidRPr="00292097">
        <w:rPr>
          <w:color w:val="132439"/>
        </w:rPr>
        <w:t>29</w:t>
      </w:r>
      <w:r>
        <w:rPr>
          <w:color w:val="132439"/>
        </w:rPr>
        <w:t xml:space="preserve"> </w:t>
      </w:r>
      <w:r w:rsidRPr="00292097">
        <w:rPr>
          <w:color w:val="132439"/>
        </w:rPr>
        <w:t>023</w:t>
      </w:r>
      <w:r>
        <w:rPr>
          <w:color w:val="132439"/>
        </w:rPr>
        <w:t xml:space="preserve">, nr. </w:t>
      </w:r>
      <w:r w:rsidRPr="00292097">
        <w:rPr>
          <w:color w:val="132439"/>
        </w:rPr>
        <w:t>704</w:t>
      </w:r>
      <w:r>
        <w:rPr>
          <w:color w:val="132439"/>
        </w:rPr>
        <w:t>.</w:t>
      </w:r>
    </w:p>
  </w:footnote>
  <w:footnote w:id="3">
    <w:p w14:paraId="7CFC1415" w14:textId="77777777" w:rsidR="00DD1ADE" w:rsidRDefault="00DD1ADE" w:rsidP="00DD1ADE">
      <w:pPr>
        <w:pStyle w:val="Voetnoottekst"/>
      </w:pPr>
      <w:r>
        <w:rPr>
          <w:rStyle w:val="Voetnootmarkering"/>
        </w:rPr>
        <w:footnoteRef/>
      </w:r>
      <w:r>
        <w:t xml:space="preserve"> Kamerstukken II 2026/27, 36 947, nr. 46.</w:t>
      </w:r>
    </w:p>
  </w:footnote>
  <w:footnote w:id="4">
    <w:p w14:paraId="6D9B5CF1" w14:textId="77777777" w:rsidR="00DD1ADE" w:rsidRPr="00292097" w:rsidRDefault="00DD1ADE" w:rsidP="00DD1ADE">
      <w:pPr>
        <w:pStyle w:val="Voetnoottekst"/>
      </w:pPr>
      <w:r w:rsidRPr="00292097">
        <w:rPr>
          <w:rStyle w:val="Voetnootmarkering"/>
        </w:rPr>
        <w:footnoteRef/>
      </w:r>
      <w:r w:rsidRPr="00292097">
        <w:t xml:space="preserve"> Aanbod bij </w:t>
      </w:r>
      <w:r>
        <w:t xml:space="preserve">diverse </w:t>
      </w:r>
      <w:r w:rsidRPr="00292097">
        <w:t>prijsvergelijkers op maandag 5 oktober 2026</w:t>
      </w:r>
      <w:r>
        <w:t>.</w:t>
      </w:r>
    </w:p>
  </w:footnote>
  <w:footnote w:id="5">
    <w:p w14:paraId="7C49785E" w14:textId="77777777" w:rsidR="00DD1ADE" w:rsidRDefault="00DD1ADE" w:rsidP="00DD1ADE">
      <w:pPr>
        <w:pStyle w:val="Voetnoottekst"/>
      </w:pPr>
      <w:r>
        <w:rPr>
          <w:rStyle w:val="Voetnootmarkering"/>
        </w:rPr>
        <w:footnoteRef/>
      </w:r>
      <w:r>
        <w:t xml:space="preserve"> Op basis van verbruik: TNO 2026, Prognose energierekening en gemiddelde tarieven nieuwe aangeboden contracten bij meerdere prijsvergelijkers: 1.135 m3 * 1,70 vs. 1,24 + 2,709 kWh * 0,31 vs. 0,24.</w:t>
      </w:r>
    </w:p>
  </w:footnote>
  <w:footnote w:id="6">
    <w:p w14:paraId="299BA0DE" w14:textId="77777777" w:rsidR="00DD1ADE" w:rsidRDefault="00DD1ADE" w:rsidP="00DD1ADE">
      <w:pPr>
        <w:pStyle w:val="Voetnoottekst"/>
      </w:pPr>
      <w:r>
        <w:rPr>
          <w:rStyle w:val="Voetnootmarkering"/>
        </w:rPr>
        <w:footnoteRef/>
      </w:r>
      <w:r>
        <w:t xml:space="preserve"> CBS: Gemiddelde leveringstarieven voor consumenten.</w:t>
      </w:r>
    </w:p>
  </w:footnote>
  <w:footnote w:id="7">
    <w:p w14:paraId="52771BB8" w14:textId="77777777" w:rsidR="00DD1ADE" w:rsidRPr="00F06EBB" w:rsidRDefault="00DD1ADE" w:rsidP="00DD1ADE">
      <w:pPr>
        <w:pStyle w:val="Voetnoottekst"/>
      </w:pPr>
      <w:r w:rsidRPr="00292097">
        <w:rPr>
          <w:rStyle w:val="Voetnootmarkering"/>
        </w:rPr>
        <w:footnoteRef/>
      </w:r>
      <w:r w:rsidRPr="00292097">
        <w:t xml:space="preserve"> </w:t>
      </w:r>
      <w:bookmarkStart w:id="3" w:name="OLE_LINK14"/>
      <w:r>
        <w:t xml:space="preserve">Kamerstukken II 2025/26, </w:t>
      </w:r>
      <w:r w:rsidRPr="00292097">
        <w:rPr>
          <w:color w:val="132439"/>
        </w:rPr>
        <w:t>36</w:t>
      </w:r>
      <w:r>
        <w:rPr>
          <w:color w:val="132439"/>
        </w:rPr>
        <w:t xml:space="preserve"> </w:t>
      </w:r>
      <w:r w:rsidRPr="00292097">
        <w:rPr>
          <w:color w:val="132439"/>
        </w:rPr>
        <w:t>933</w:t>
      </w:r>
      <w:r>
        <w:rPr>
          <w:color w:val="132439"/>
        </w:rPr>
        <w:t>, nr. 1</w:t>
      </w:r>
      <w:bookmarkEnd w:id="3"/>
      <w:r>
        <w:rPr>
          <w:color w:val="132439"/>
        </w:rPr>
        <w:t>.</w:t>
      </w:r>
    </w:p>
  </w:footnote>
  <w:footnote w:id="8">
    <w:p w14:paraId="3E6F4F17" w14:textId="77777777" w:rsidR="00DD1ADE" w:rsidRDefault="00DD1ADE" w:rsidP="00DD1ADE">
      <w:pPr>
        <w:pStyle w:val="Voetnoottekst"/>
      </w:pPr>
      <w:r>
        <w:rPr>
          <w:rStyle w:val="Voetnootmarkering"/>
        </w:rPr>
        <w:footnoteRef/>
      </w:r>
      <w:r>
        <w:t xml:space="preserve"> In de fiscale sleuteltabel (</w:t>
      </w:r>
      <w:hyperlink r:id="rId1" w:history="1">
        <w:r w:rsidRPr="007467AB">
          <w:rPr>
            <w:rStyle w:val="Hyperlink"/>
          </w:rPr>
          <w:t>Fiscale sleuteltabel 2027 | Rijksoverheid.nl</w:t>
        </w:r>
      </w:hyperlink>
      <w:r>
        <w:t>) zijn actuele inschattingen voor fiscale maatregelen te vinden.</w:t>
      </w:r>
    </w:p>
  </w:footnote>
  <w:footnote w:id="9">
    <w:p w14:paraId="4F39F8C0" w14:textId="77777777" w:rsidR="00DD1ADE" w:rsidRDefault="00DD1ADE" w:rsidP="00DD1ADE">
      <w:pPr>
        <w:pStyle w:val="Voetnoottekst"/>
      </w:pPr>
      <w:r>
        <w:rPr>
          <w:rStyle w:val="Voetnootmarkering"/>
        </w:rPr>
        <w:footnoteRef/>
      </w:r>
      <w:r>
        <w:t xml:space="preserve"> Kamerstukken II 2025/26, </w:t>
      </w:r>
      <w:r w:rsidRPr="007A4F18">
        <w:t>36933</w:t>
      </w:r>
      <w:r>
        <w:t xml:space="preserve">, nr. </w:t>
      </w:r>
      <w:r w:rsidRPr="007A4F18">
        <w:t>38</w:t>
      </w:r>
      <w:r>
        <w:t>.</w:t>
      </w:r>
    </w:p>
  </w:footnote>
  <w:footnote w:id="10">
    <w:p w14:paraId="7E08BDF4" w14:textId="77777777" w:rsidR="00DD1ADE" w:rsidRDefault="00DD1ADE" w:rsidP="00DD1ADE">
      <w:pPr>
        <w:pStyle w:val="Voetnoottekst"/>
      </w:pPr>
      <w:r w:rsidRPr="3F35351F">
        <w:rPr>
          <w:rStyle w:val="Voetnootmarkering"/>
        </w:rPr>
        <w:footnoteRef/>
      </w:r>
      <w:r>
        <w:t xml:space="preserve"> ACM, ‘Monitor Consumentenmarkt Energie’, </w:t>
      </w:r>
      <w:hyperlink r:id="rId2" w:anchor="1">
        <w:r w:rsidRPr="3F35351F">
          <w:rPr>
            <w:rStyle w:val="Hyperlink"/>
          </w:rPr>
          <w:t>Monitor Consumentenmarkt Energie</w:t>
        </w:r>
      </w:hyperlink>
      <w:r>
        <w:t>.</w:t>
      </w:r>
    </w:p>
  </w:footnote>
  <w:footnote w:id="11">
    <w:p w14:paraId="306C4289" w14:textId="77777777" w:rsidR="00DD1ADE" w:rsidRDefault="00DD1ADE" w:rsidP="00DD1ADE">
      <w:pPr>
        <w:pStyle w:val="Voetnoottekst"/>
      </w:pPr>
      <w:r>
        <w:rPr>
          <w:rStyle w:val="Voetnootmarkering"/>
        </w:rPr>
        <w:footnoteRef/>
      </w:r>
      <w:r>
        <w:t xml:space="preserve"> TNO 2026, ‘Prognose energierekening huishoudens 2026 – 2031’</w:t>
      </w:r>
      <w:r w:rsidRPr="009514F2">
        <w:rPr>
          <w:sz w:val="18"/>
          <w:szCs w:val="24"/>
        </w:rPr>
        <w:t xml:space="preserve"> </w:t>
      </w:r>
      <w:hyperlink r:id="rId3" w:history="1">
        <w:r w:rsidRPr="009514F2">
          <w:rPr>
            <w:rStyle w:val="Hyperlink"/>
          </w:rPr>
          <w:t>Open overheid</w:t>
        </w:r>
      </w:hyperlink>
      <w:r>
        <w:t>.</w:t>
      </w:r>
    </w:p>
  </w:footnote>
  <w:footnote w:id="12">
    <w:p w14:paraId="44415637" w14:textId="77777777" w:rsidR="00DD1ADE" w:rsidRDefault="00DD1ADE" w:rsidP="00DD1ADE">
      <w:pPr>
        <w:pStyle w:val="Voetnoottekst"/>
      </w:pPr>
      <w:r w:rsidRPr="3F35351F">
        <w:rPr>
          <w:rStyle w:val="Voetnootmarkering"/>
        </w:rPr>
        <w:footnoteRef/>
      </w:r>
      <w:r>
        <w:t xml:space="preserve"> </w:t>
      </w:r>
      <w:bookmarkStart w:id="5" w:name="OLE_LINK6"/>
      <w:r>
        <w:t>TNO 2026, ‘Prognose energierekening huishoudens 2026 – 2031’</w:t>
      </w:r>
      <w:r w:rsidRPr="009514F2">
        <w:rPr>
          <w:sz w:val="18"/>
          <w:szCs w:val="24"/>
        </w:rPr>
        <w:t xml:space="preserve"> </w:t>
      </w:r>
      <w:hyperlink r:id="rId4" w:history="1">
        <w:r w:rsidRPr="009514F2">
          <w:rPr>
            <w:rStyle w:val="Hyperlink"/>
          </w:rPr>
          <w:t>Open overheid</w:t>
        </w:r>
      </w:hyperlink>
      <w:r>
        <w:t xml:space="preserve"> en </w:t>
      </w:r>
      <w:bookmarkEnd w:id="5"/>
      <w:r>
        <w:t xml:space="preserve">TNO 2026, ‘Energiearmoede in Nederland 2019-2025’ </w:t>
      </w:r>
      <w:hyperlink r:id="rId5" w:history="1">
        <w:r w:rsidRPr="005076EA">
          <w:rPr>
            <w:rStyle w:val="Hyperlink"/>
          </w:rPr>
          <w:t>TNO-2026-17315.pdf</w:t>
        </w:r>
      </w:hyperlink>
      <w:r>
        <w:t>.</w:t>
      </w:r>
    </w:p>
  </w:footnote>
  <w:footnote w:id="13">
    <w:p w14:paraId="19954AA8" w14:textId="77777777" w:rsidR="00DD1ADE" w:rsidRDefault="00DD1ADE" w:rsidP="00DD1ADE">
      <w:pPr>
        <w:pStyle w:val="Voetnoottekst"/>
      </w:pPr>
      <w:r>
        <w:rPr>
          <w:rStyle w:val="Voetnootmarkering"/>
        </w:rPr>
        <w:footnoteRef/>
      </w:r>
      <w:r>
        <w:t xml:space="preserve"> Nationaal Warmtefonds, ‘Jaarverslag 2025’, </w:t>
      </w:r>
      <w:hyperlink r:id="rId6" w:history="1">
        <w:r w:rsidRPr="002246BC">
          <w:rPr>
            <w:rStyle w:val="Hyperlink"/>
          </w:rPr>
          <w:t>Warmtefonds jaarverslagen - Warmtefonds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A3D52" w14:paraId="788B5748" w14:textId="77777777" w:rsidTr="00A50CF6">
      <w:tc>
        <w:tcPr>
          <w:tcW w:w="2156" w:type="dxa"/>
        </w:tcPr>
        <w:p w14:paraId="25B70018" w14:textId="77777777" w:rsidR="00527BD4" w:rsidRPr="005819CE" w:rsidRDefault="00864EB6" w:rsidP="00A50CF6">
          <w:pPr>
            <w:pStyle w:val="Huisstijl-Adres"/>
            <w:rPr>
              <w:b/>
            </w:rPr>
          </w:pPr>
          <w:r>
            <w:rPr>
              <w:b/>
            </w:rPr>
            <w:t>Directoraat-generaal Klimaat en Energie</w:t>
          </w:r>
          <w:r w:rsidRPr="005819CE">
            <w:rPr>
              <w:b/>
            </w:rPr>
            <w:br/>
          </w:r>
        </w:p>
      </w:tc>
    </w:tr>
    <w:tr w:rsidR="000A3D52" w14:paraId="66778219" w14:textId="77777777" w:rsidTr="00A50CF6">
      <w:trPr>
        <w:trHeight w:hRule="exact" w:val="200"/>
      </w:trPr>
      <w:tc>
        <w:tcPr>
          <w:tcW w:w="2156" w:type="dxa"/>
        </w:tcPr>
        <w:p w14:paraId="14A058B3" w14:textId="77777777" w:rsidR="00527BD4" w:rsidRPr="005819CE" w:rsidRDefault="00527BD4" w:rsidP="00A50CF6"/>
      </w:tc>
    </w:tr>
    <w:tr w:rsidR="000A3D52" w14:paraId="1FF985DB" w14:textId="77777777" w:rsidTr="00502512">
      <w:trPr>
        <w:trHeight w:hRule="exact" w:val="774"/>
      </w:trPr>
      <w:tc>
        <w:tcPr>
          <w:tcW w:w="2156" w:type="dxa"/>
        </w:tcPr>
        <w:p w14:paraId="11C6E655" w14:textId="77777777" w:rsidR="00527BD4" w:rsidRDefault="00864EB6" w:rsidP="003A5290">
          <w:pPr>
            <w:pStyle w:val="Huisstijl-Kopje"/>
          </w:pPr>
          <w:r>
            <w:t>Ons kenmerk</w:t>
          </w:r>
        </w:p>
        <w:p w14:paraId="167EF7EA" w14:textId="77777777" w:rsidR="00527BD4" w:rsidRPr="005819CE" w:rsidRDefault="00864EB6" w:rsidP="004425CC">
          <w:pPr>
            <w:pStyle w:val="Huisstijl-Kopje"/>
          </w:pPr>
          <w:r>
            <w:rPr>
              <w:b w:val="0"/>
            </w:rPr>
            <w:t>KGG_DGKE</w:t>
          </w:r>
          <w:r w:rsidRPr="00502512">
            <w:rPr>
              <w:b w:val="0"/>
            </w:rPr>
            <w:t xml:space="preserve"> / </w:t>
          </w:r>
          <w:r>
            <w:rPr>
              <w:b w:val="0"/>
            </w:rPr>
            <w:t>108501847</w:t>
          </w:r>
        </w:p>
      </w:tc>
    </w:tr>
  </w:tbl>
  <w:p w14:paraId="4290DEBA" w14:textId="77777777" w:rsidR="00527BD4" w:rsidRDefault="00527BD4" w:rsidP="008C356D">
    <w:pPr>
      <w:pStyle w:val="Koptekst"/>
      <w:rPr>
        <w:rFonts w:cs="Verdana-Bold"/>
        <w:b/>
        <w:bCs/>
        <w:smallCaps/>
        <w:szCs w:val="18"/>
      </w:rPr>
    </w:pPr>
  </w:p>
  <w:p w14:paraId="4ABD59F0" w14:textId="77777777" w:rsidR="00527BD4" w:rsidRDefault="00527BD4" w:rsidP="008C356D"/>
  <w:p w14:paraId="5D303A41" w14:textId="77777777" w:rsidR="00527BD4" w:rsidRPr="00740712" w:rsidRDefault="00527BD4" w:rsidP="008C356D"/>
  <w:p w14:paraId="1E37C94D" w14:textId="77777777" w:rsidR="00527BD4" w:rsidRPr="00217880" w:rsidRDefault="00527BD4" w:rsidP="008C356D">
    <w:pPr>
      <w:spacing w:line="0" w:lineRule="atLeast"/>
      <w:rPr>
        <w:sz w:val="2"/>
        <w:szCs w:val="2"/>
      </w:rPr>
    </w:pPr>
  </w:p>
  <w:p w14:paraId="5D3241D9" w14:textId="77777777" w:rsidR="00527BD4" w:rsidRDefault="00527BD4" w:rsidP="004F44C2">
    <w:pPr>
      <w:pStyle w:val="Koptekst"/>
      <w:rPr>
        <w:rFonts w:cs="Verdana-Bold"/>
        <w:b/>
        <w:bCs/>
        <w:smallCaps/>
        <w:szCs w:val="18"/>
      </w:rPr>
    </w:pPr>
  </w:p>
  <w:p w14:paraId="6C15087B" w14:textId="77777777" w:rsidR="00527BD4" w:rsidRDefault="00527BD4" w:rsidP="004F44C2"/>
  <w:p w14:paraId="7DF3510A" w14:textId="77777777" w:rsidR="00527BD4" w:rsidRPr="00740712" w:rsidRDefault="00527BD4" w:rsidP="004F44C2"/>
  <w:p w14:paraId="7A78DE4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A3D52" w14:paraId="55F11316" w14:textId="77777777" w:rsidTr="00751A6A">
      <w:trPr>
        <w:trHeight w:val="2636"/>
      </w:trPr>
      <w:tc>
        <w:tcPr>
          <w:tcW w:w="737" w:type="dxa"/>
        </w:tcPr>
        <w:p w14:paraId="016ACFB2" w14:textId="77777777" w:rsidR="00527BD4" w:rsidRDefault="00527BD4" w:rsidP="00D0609E">
          <w:pPr>
            <w:framePr w:w="6340" w:h="2750" w:hRule="exact" w:hSpace="180" w:wrap="around" w:vAnchor="page" w:hAnchor="text" w:x="3873" w:y="-140"/>
            <w:spacing w:line="240" w:lineRule="auto"/>
          </w:pPr>
        </w:p>
      </w:tc>
      <w:tc>
        <w:tcPr>
          <w:tcW w:w="5156" w:type="dxa"/>
        </w:tcPr>
        <w:p w14:paraId="79AE9649" w14:textId="77777777" w:rsidR="00527BD4" w:rsidRDefault="00864EB6"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3BA26A91" wp14:editId="60DF22A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9C85852" w14:textId="77777777" w:rsidR="007269E3" w:rsidRDefault="007269E3" w:rsidP="00651CEE">
          <w:pPr>
            <w:framePr w:w="6340" w:h="2750" w:hRule="exact" w:hSpace="180" w:wrap="around" w:vAnchor="page" w:hAnchor="text" w:x="3873" w:y="-140"/>
            <w:spacing w:line="240" w:lineRule="auto"/>
          </w:pPr>
        </w:p>
      </w:tc>
    </w:tr>
  </w:tbl>
  <w:p w14:paraId="1C760FE8" w14:textId="77777777" w:rsidR="00527BD4" w:rsidRDefault="00527BD4" w:rsidP="00D0609E">
    <w:pPr>
      <w:framePr w:w="6340" w:h="2750" w:hRule="exact" w:hSpace="180" w:wrap="around" w:vAnchor="page" w:hAnchor="text" w:x="3873" w:y="-140"/>
    </w:pPr>
  </w:p>
  <w:p w14:paraId="784CF3B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A3D52" w14:paraId="79A55BF1" w14:textId="77777777" w:rsidTr="00A50CF6">
      <w:tc>
        <w:tcPr>
          <w:tcW w:w="2160" w:type="dxa"/>
        </w:tcPr>
        <w:p w14:paraId="3B2FD6A1" w14:textId="77777777" w:rsidR="00527BD4" w:rsidRPr="005819CE" w:rsidRDefault="00864EB6" w:rsidP="00A50CF6">
          <w:pPr>
            <w:pStyle w:val="Huisstijl-Adres"/>
            <w:rPr>
              <w:b/>
            </w:rPr>
          </w:pPr>
          <w:r>
            <w:rPr>
              <w:b/>
            </w:rPr>
            <w:t>Directoraat-generaal Klimaat en Energie</w:t>
          </w:r>
          <w:r w:rsidRPr="005819CE">
            <w:rPr>
              <w:b/>
            </w:rPr>
            <w:br/>
          </w:r>
        </w:p>
        <w:p w14:paraId="3549BC39" w14:textId="77777777" w:rsidR="00527BD4" w:rsidRPr="00BE5ED9" w:rsidRDefault="00864EB6" w:rsidP="00A50CF6">
          <w:pPr>
            <w:pStyle w:val="Huisstijl-Adres"/>
          </w:pPr>
          <w:r>
            <w:rPr>
              <w:b/>
            </w:rPr>
            <w:t>Bezoekadres</w:t>
          </w:r>
          <w:r>
            <w:rPr>
              <w:b/>
            </w:rPr>
            <w:br/>
          </w:r>
          <w:r>
            <w:t>Bezuidenhoutseweg 73</w:t>
          </w:r>
          <w:r w:rsidRPr="005819CE">
            <w:br/>
          </w:r>
          <w:r>
            <w:t>2594 AC Den Haag</w:t>
          </w:r>
        </w:p>
        <w:p w14:paraId="68C6B976" w14:textId="77777777" w:rsidR="00EF495B" w:rsidRDefault="00864EB6" w:rsidP="0098788A">
          <w:pPr>
            <w:pStyle w:val="Huisstijl-Adres"/>
          </w:pPr>
          <w:r>
            <w:rPr>
              <w:b/>
            </w:rPr>
            <w:t>Postadres</w:t>
          </w:r>
          <w:r>
            <w:rPr>
              <w:b/>
            </w:rPr>
            <w:br/>
          </w:r>
          <w:r>
            <w:t>Postbus 20401</w:t>
          </w:r>
          <w:r w:rsidRPr="005819CE">
            <w:br/>
            <w:t>2500 E</w:t>
          </w:r>
          <w:r>
            <w:t>K</w:t>
          </w:r>
          <w:r w:rsidRPr="005819CE">
            <w:t xml:space="preserve"> Den Haag</w:t>
          </w:r>
        </w:p>
        <w:p w14:paraId="2AC5CD25" w14:textId="77777777" w:rsidR="00EF495B" w:rsidRPr="005B3814" w:rsidRDefault="00864EB6" w:rsidP="0098788A">
          <w:pPr>
            <w:pStyle w:val="Huisstijl-Adres"/>
          </w:pPr>
          <w:r>
            <w:rPr>
              <w:b/>
            </w:rPr>
            <w:t>Overheidsidentificatienr</w:t>
          </w:r>
          <w:r>
            <w:rPr>
              <w:b/>
            </w:rPr>
            <w:br/>
          </w:r>
          <w:r w:rsidRPr="005B3814">
            <w:t>00000001003214369000</w:t>
          </w:r>
        </w:p>
        <w:p w14:paraId="27D6E1E8" w14:textId="43278CE2" w:rsidR="00527BD4" w:rsidRPr="000F3C8A" w:rsidRDefault="00864EB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0A3D52" w14:paraId="41168816" w14:textId="77777777" w:rsidTr="00A50CF6">
      <w:trPr>
        <w:trHeight w:hRule="exact" w:val="200"/>
      </w:trPr>
      <w:tc>
        <w:tcPr>
          <w:tcW w:w="2160" w:type="dxa"/>
        </w:tcPr>
        <w:p w14:paraId="57C52483" w14:textId="77777777" w:rsidR="00527BD4" w:rsidRPr="005819CE" w:rsidRDefault="00527BD4" w:rsidP="00A50CF6"/>
      </w:tc>
    </w:tr>
    <w:tr w:rsidR="000A3D52" w14:paraId="400CB0F7" w14:textId="77777777" w:rsidTr="00A50CF6">
      <w:tc>
        <w:tcPr>
          <w:tcW w:w="2160" w:type="dxa"/>
        </w:tcPr>
        <w:p w14:paraId="186F8D4F" w14:textId="77777777" w:rsidR="000C0163" w:rsidRPr="005819CE" w:rsidRDefault="00864EB6" w:rsidP="000C0163">
          <w:pPr>
            <w:pStyle w:val="Huisstijl-Kopje"/>
          </w:pPr>
          <w:r>
            <w:t>Ons kenmerk</w:t>
          </w:r>
          <w:r w:rsidRPr="005819CE">
            <w:t xml:space="preserve"> </w:t>
          </w:r>
        </w:p>
        <w:p w14:paraId="69C4DAD9" w14:textId="52C22325" w:rsidR="00527BD4" w:rsidRPr="005819CE" w:rsidRDefault="00864EB6" w:rsidP="000F3C8A">
          <w:pPr>
            <w:pStyle w:val="Huisstijl-Gegeven"/>
          </w:pPr>
          <w:r>
            <w:t>KGG_DGKE</w:t>
          </w:r>
          <w:r w:rsidR="00926AE2">
            <w:t xml:space="preserve"> / </w:t>
          </w:r>
          <w:r>
            <w:t>108501847</w:t>
          </w:r>
        </w:p>
      </w:tc>
    </w:tr>
  </w:tbl>
  <w:p w14:paraId="41EDD06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A3D52" w14:paraId="42B1765A" w14:textId="77777777" w:rsidTr="007610AA">
      <w:trPr>
        <w:trHeight w:val="400"/>
      </w:trPr>
      <w:tc>
        <w:tcPr>
          <w:tcW w:w="7520" w:type="dxa"/>
          <w:gridSpan w:val="2"/>
        </w:tcPr>
        <w:p w14:paraId="5B6166CC" w14:textId="77777777" w:rsidR="00527BD4" w:rsidRPr="00BC3B53" w:rsidRDefault="00864EB6" w:rsidP="00A50CF6">
          <w:pPr>
            <w:pStyle w:val="Huisstijl-Retouradres"/>
          </w:pPr>
          <w:r>
            <w:t>&gt; Retouradres Postbus 20401 2500 EK Den Haag</w:t>
          </w:r>
        </w:p>
      </w:tc>
    </w:tr>
    <w:tr w:rsidR="000A3D52" w14:paraId="484ED8EA" w14:textId="77777777" w:rsidTr="007610AA">
      <w:tc>
        <w:tcPr>
          <w:tcW w:w="7520" w:type="dxa"/>
          <w:gridSpan w:val="2"/>
        </w:tcPr>
        <w:p w14:paraId="2D163729" w14:textId="77777777" w:rsidR="00527BD4" w:rsidRPr="00983E8F" w:rsidRDefault="00527BD4" w:rsidP="00A50CF6">
          <w:pPr>
            <w:pStyle w:val="Huisstijl-Rubricering"/>
          </w:pPr>
        </w:p>
      </w:tc>
    </w:tr>
    <w:tr w:rsidR="000A3D52" w14:paraId="4D985990" w14:textId="77777777" w:rsidTr="007610AA">
      <w:trPr>
        <w:trHeight w:hRule="exact" w:val="2440"/>
      </w:trPr>
      <w:tc>
        <w:tcPr>
          <w:tcW w:w="7520" w:type="dxa"/>
          <w:gridSpan w:val="2"/>
        </w:tcPr>
        <w:p w14:paraId="0850025F" w14:textId="77777777" w:rsidR="000F3C8A" w:rsidRPr="00A34B39" w:rsidRDefault="000F3C8A" w:rsidP="00A34B39">
          <w:r w:rsidRPr="00A34B39">
            <w:t xml:space="preserve">De Voorzitter van de Tweede Kamer </w:t>
          </w:r>
        </w:p>
        <w:p w14:paraId="0077AABE" w14:textId="77777777" w:rsidR="000F3C8A" w:rsidRPr="00A34B39" w:rsidRDefault="000F3C8A" w:rsidP="00A34B39">
          <w:r w:rsidRPr="00A34B39">
            <w:t>der Staten-Generaal</w:t>
          </w:r>
        </w:p>
        <w:p w14:paraId="09DDDF4B" w14:textId="77777777" w:rsidR="000F3C8A" w:rsidRPr="00A34B39" w:rsidRDefault="000F3C8A" w:rsidP="00A34B39">
          <w:r w:rsidRPr="00A34B39">
            <w:t>Prinses Irenestraat 6</w:t>
          </w:r>
        </w:p>
        <w:p w14:paraId="1FCBF06E" w14:textId="77777777" w:rsidR="000F3C8A" w:rsidRPr="00A34B39" w:rsidRDefault="000F3C8A" w:rsidP="00A34B39">
          <w:r w:rsidRPr="00A34B39">
            <w:t>2595 BD  DEN HAAG</w:t>
          </w:r>
        </w:p>
        <w:p w14:paraId="7435C375" w14:textId="47685349" w:rsidR="000A3D52" w:rsidRDefault="000A3D52">
          <w:pPr>
            <w:pStyle w:val="Huisstijl-NAW"/>
          </w:pPr>
        </w:p>
      </w:tc>
    </w:tr>
    <w:tr w:rsidR="000A3D52" w14:paraId="5FA047D2" w14:textId="77777777" w:rsidTr="007610AA">
      <w:trPr>
        <w:trHeight w:hRule="exact" w:val="400"/>
      </w:trPr>
      <w:tc>
        <w:tcPr>
          <w:tcW w:w="7520" w:type="dxa"/>
          <w:gridSpan w:val="2"/>
        </w:tcPr>
        <w:p w14:paraId="68B0BF1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0A3D52" w14:paraId="719AE49C" w14:textId="77777777" w:rsidTr="007610AA">
      <w:trPr>
        <w:trHeight w:val="240"/>
      </w:trPr>
      <w:tc>
        <w:tcPr>
          <w:tcW w:w="900" w:type="dxa"/>
        </w:tcPr>
        <w:p w14:paraId="22F03B67" w14:textId="77777777" w:rsidR="00527BD4" w:rsidRPr="007709EF" w:rsidRDefault="00864EB6" w:rsidP="00A50CF6">
          <w:pPr>
            <w:rPr>
              <w:szCs w:val="18"/>
            </w:rPr>
          </w:pPr>
          <w:r>
            <w:rPr>
              <w:szCs w:val="18"/>
            </w:rPr>
            <w:t>Datum</w:t>
          </w:r>
        </w:p>
      </w:tc>
      <w:tc>
        <w:tcPr>
          <w:tcW w:w="6620" w:type="dxa"/>
        </w:tcPr>
        <w:p w14:paraId="75239869" w14:textId="68B3D9B8" w:rsidR="00527BD4" w:rsidRPr="007709EF" w:rsidRDefault="00FE1AD4" w:rsidP="00A50CF6">
          <w:r>
            <w:t>9 oktober 2026</w:t>
          </w:r>
        </w:p>
      </w:tc>
    </w:tr>
    <w:tr w:rsidR="000A3D52" w14:paraId="68240884" w14:textId="77777777" w:rsidTr="007610AA">
      <w:trPr>
        <w:trHeight w:val="240"/>
      </w:trPr>
      <w:tc>
        <w:tcPr>
          <w:tcW w:w="900" w:type="dxa"/>
        </w:tcPr>
        <w:p w14:paraId="5E41273C" w14:textId="77777777" w:rsidR="00527BD4" w:rsidRPr="007709EF" w:rsidRDefault="00864EB6" w:rsidP="00A50CF6">
          <w:pPr>
            <w:rPr>
              <w:szCs w:val="18"/>
            </w:rPr>
          </w:pPr>
          <w:r>
            <w:rPr>
              <w:szCs w:val="18"/>
            </w:rPr>
            <w:t>Betreft</w:t>
          </w:r>
        </w:p>
      </w:tc>
      <w:tc>
        <w:tcPr>
          <w:tcW w:w="6620" w:type="dxa"/>
        </w:tcPr>
        <w:p w14:paraId="048B1EAA" w14:textId="77777777" w:rsidR="00527BD4" w:rsidRPr="007709EF" w:rsidRDefault="00864EB6" w:rsidP="00A50CF6">
          <w:r>
            <w:t>Kamerbrief Inventarisatie knoppen om energierekening voor huishoudens te verlagen</w:t>
          </w:r>
        </w:p>
      </w:tc>
    </w:tr>
  </w:tbl>
  <w:p w14:paraId="4967A8F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5C0542D"/>
    <w:multiLevelType w:val="hybridMultilevel"/>
    <w:tmpl w:val="BFACD374"/>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27369218">
      <w:start w:val="1"/>
      <w:numFmt w:val="bullet"/>
      <w:pStyle w:val="Lijstopsomteken"/>
      <w:lvlText w:val="•"/>
      <w:lvlJc w:val="left"/>
      <w:pPr>
        <w:tabs>
          <w:tab w:val="num" w:pos="227"/>
        </w:tabs>
        <w:ind w:left="227" w:hanging="227"/>
      </w:pPr>
      <w:rPr>
        <w:rFonts w:ascii="Verdana" w:hAnsi="Verdana" w:hint="default"/>
        <w:sz w:val="18"/>
        <w:szCs w:val="18"/>
      </w:rPr>
    </w:lvl>
    <w:lvl w:ilvl="1" w:tplc="4CCCAEB4" w:tentative="1">
      <w:start w:val="1"/>
      <w:numFmt w:val="bullet"/>
      <w:lvlText w:val="o"/>
      <w:lvlJc w:val="left"/>
      <w:pPr>
        <w:tabs>
          <w:tab w:val="num" w:pos="1440"/>
        </w:tabs>
        <w:ind w:left="1440" w:hanging="360"/>
      </w:pPr>
      <w:rPr>
        <w:rFonts w:ascii="Courier New" w:hAnsi="Courier New" w:cs="Courier New" w:hint="default"/>
      </w:rPr>
    </w:lvl>
    <w:lvl w:ilvl="2" w:tplc="BE9A9C36" w:tentative="1">
      <w:start w:val="1"/>
      <w:numFmt w:val="bullet"/>
      <w:lvlText w:val=""/>
      <w:lvlJc w:val="left"/>
      <w:pPr>
        <w:tabs>
          <w:tab w:val="num" w:pos="2160"/>
        </w:tabs>
        <w:ind w:left="2160" w:hanging="360"/>
      </w:pPr>
      <w:rPr>
        <w:rFonts w:ascii="Wingdings" w:hAnsi="Wingdings" w:hint="default"/>
      </w:rPr>
    </w:lvl>
    <w:lvl w:ilvl="3" w:tplc="724E83FA" w:tentative="1">
      <w:start w:val="1"/>
      <w:numFmt w:val="bullet"/>
      <w:lvlText w:val=""/>
      <w:lvlJc w:val="left"/>
      <w:pPr>
        <w:tabs>
          <w:tab w:val="num" w:pos="2880"/>
        </w:tabs>
        <w:ind w:left="2880" w:hanging="360"/>
      </w:pPr>
      <w:rPr>
        <w:rFonts w:ascii="Symbol" w:hAnsi="Symbol" w:hint="default"/>
      </w:rPr>
    </w:lvl>
    <w:lvl w:ilvl="4" w:tplc="846A5AEE" w:tentative="1">
      <w:start w:val="1"/>
      <w:numFmt w:val="bullet"/>
      <w:lvlText w:val="o"/>
      <w:lvlJc w:val="left"/>
      <w:pPr>
        <w:tabs>
          <w:tab w:val="num" w:pos="3600"/>
        </w:tabs>
        <w:ind w:left="3600" w:hanging="360"/>
      </w:pPr>
      <w:rPr>
        <w:rFonts w:ascii="Courier New" w:hAnsi="Courier New" w:cs="Courier New" w:hint="default"/>
      </w:rPr>
    </w:lvl>
    <w:lvl w:ilvl="5" w:tplc="C33EC426" w:tentative="1">
      <w:start w:val="1"/>
      <w:numFmt w:val="bullet"/>
      <w:lvlText w:val=""/>
      <w:lvlJc w:val="left"/>
      <w:pPr>
        <w:tabs>
          <w:tab w:val="num" w:pos="4320"/>
        </w:tabs>
        <w:ind w:left="4320" w:hanging="360"/>
      </w:pPr>
      <w:rPr>
        <w:rFonts w:ascii="Wingdings" w:hAnsi="Wingdings" w:hint="default"/>
      </w:rPr>
    </w:lvl>
    <w:lvl w:ilvl="6" w:tplc="71CE523C" w:tentative="1">
      <w:start w:val="1"/>
      <w:numFmt w:val="bullet"/>
      <w:lvlText w:val=""/>
      <w:lvlJc w:val="left"/>
      <w:pPr>
        <w:tabs>
          <w:tab w:val="num" w:pos="5040"/>
        </w:tabs>
        <w:ind w:left="5040" w:hanging="360"/>
      </w:pPr>
      <w:rPr>
        <w:rFonts w:ascii="Symbol" w:hAnsi="Symbol" w:hint="default"/>
      </w:rPr>
    </w:lvl>
    <w:lvl w:ilvl="7" w:tplc="2A9C25CA" w:tentative="1">
      <w:start w:val="1"/>
      <w:numFmt w:val="bullet"/>
      <w:lvlText w:val="o"/>
      <w:lvlJc w:val="left"/>
      <w:pPr>
        <w:tabs>
          <w:tab w:val="num" w:pos="5760"/>
        </w:tabs>
        <w:ind w:left="5760" w:hanging="360"/>
      </w:pPr>
      <w:rPr>
        <w:rFonts w:ascii="Courier New" w:hAnsi="Courier New" w:cs="Courier New" w:hint="default"/>
      </w:rPr>
    </w:lvl>
    <w:lvl w:ilvl="8" w:tplc="437C723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C60DF7"/>
    <w:multiLevelType w:val="hybridMultilevel"/>
    <w:tmpl w:val="6D582FFE"/>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84066880">
      <w:start w:val="1"/>
      <w:numFmt w:val="bullet"/>
      <w:pStyle w:val="Lijstopsomteken2"/>
      <w:lvlText w:val="–"/>
      <w:lvlJc w:val="left"/>
      <w:pPr>
        <w:tabs>
          <w:tab w:val="num" w:pos="227"/>
        </w:tabs>
        <w:ind w:left="227" w:firstLine="0"/>
      </w:pPr>
      <w:rPr>
        <w:rFonts w:ascii="Verdana" w:hAnsi="Verdana" w:hint="default"/>
      </w:rPr>
    </w:lvl>
    <w:lvl w:ilvl="1" w:tplc="971EF200" w:tentative="1">
      <w:start w:val="1"/>
      <w:numFmt w:val="bullet"/>
      <w:lvlText w:val="o"/>
      <w:lvlJc w:val="left"/>
      <w:pPr>
        <w:tabs>
          <w:tab w:val="num" w:pos="1440"/>
        </w:tabs>
        <w:ind w:left="1440" w:hanging="360"/>
      </w:pPr>
      <w:rPr>
        <w:rFonts w:ascii="Courier New" w:hAnsi="Courier New" w:cs="Courier New" w:hint="default"/>
      </w:rPr>
    </w:lvl>
    <w:lvl w:ilvl="2" w:tplc="AB30EE00" w:tentative="1">
      <w:start w:val="1"/>
      <w:numFmt w:val="bullet"/>
      <w:lvlText w:val=""/>
      <w:lvlJc w:val="left"/>
      <w:pPr>
        <w:tabs>
          <w:tab w:val="num" w:pos="2160"/>
        </w:tabs>
        <w:ind w:left="2160" w:hanging="360"/>
      </w:pPr>
      <w:rPr>
        <w:rFonts w:ascii="Wingdings" w:hAnsi="Wingdings" w:hint="default"/>
      </w:rPr>
    </w:lvl>
    <w:lvl w:ilvl="3" w:tplc="339087D8" w:tentative="1">
      <w:start w:val="1"/>
      <w:numFmt w:val="bullet"/>
      <w:lvlText w:val=""/>
      <w:lvlJc w:val="left"/>
      <w:pPr>
        <w:tabs>
          <w:tab w:val="num" w:pos="2880"/>
        </w:tabs>
        <w:ind w:left="2880" w:hanging="360"/>
      </w:pPr>
      <w:rPr>
        <w:rFonts w:ascii="Symbol" w:hAnsi="Symbol" w:hint="default"/>
      </w:rPr>
    </w:lvl>
    <w:lvl w:ilvl="4" w:tplc="1132319E" w:tentative="1">
      <w:start w:val="1"/>
      <w:numFmt w:val="bullet"/>
      <w:lvlText w:val="o"/>
      <w:lvlJc w:val="left"/>
      <w:pPr>
        <w:tabs>
          <w:tab w:val="num" w:pos="3600"/>
        </w:tabs>
        <w:ind w:left="3600" w:hanging="360"/>
      </w:pPr>
      <w:rPr>
        <w:rFonts w:ascii="Courier New" w:hAnsi="Courier New" w:cs="Courier New" w:hint="default"/>
      </w:rPr>
    </w:lvl>
    <w:lvl w:ilvl="5" w:tplc="DB0621C2" w:tentative="1">
      <w:start w:val="1"/>
      <w:numFmt w:val="bullet"/>
      <w:lvlText w:val=""/>
      <w:lvlJc w:val="left"/>
      <w:pPr>
        <w:tabs>
          <w:tab w:val="num" w:pos="4320"/>
        </w:tabs>
        <w:ind w:left="4320" w:hanging="360"/>
      </w:pPr>
      <w:rPr>
        <w:rFonts w:ascii="Wingdings" w:hAnsi="Wingdings" w:hint="default"/>
      </w:rPr>
    </w:lvl>
    <w:lvl w:ilvl="6" w:tplc="7D96709A" w:tentative="1">
      <w:start w:val="1"/>
      <w:numFmt w:val="bullet"/>
      <w:lvlText w:val=""/>
      <w:lvlJc w:val="left"/>
      <w:pPr>
        <w:tabs>
          <w:tab w:val="num" w:pos="5040"/>
        </w:tabs>
        <w:ind w:left="5040" w:hanging="360"/>
      </w:pPr>
      <w:rPr>
        <w:rFonts w:ascii="Symbol" w:hAnsi="Symbol" w:hint="default"/>
      </w:rPr>
    </w:lvl>
    <w:lvl w:ilvl="7" w:tplc="4662A8EA" w:tentative="1">
      <w:start w:val="1"/>
      <w:numFmt w:val="bullet"/>
      <w:lvlText w:val="o"/>
      <w:lvlJc w:val="left"/>
      <w:pPr>
        <w:tabs>
          <w:tab w:val="num" w:pos="5760"/>
        </w:tabs>
        <w:ind w:left="5760" w:hanging="360"/>
      </w:pPr>
      <w:rPr>
        <w:rFonts w:ascii="Courier New" w:hAnsi="Courier New" w:cs="Courier New" w:hint="default"/>
      </w:rPr>
    </w:lvl>
    <w:lvl w:ilvl="8" w:tplc="8850FC9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914EC"/>
    <w:multiLevelType w:val="hybridMultilevel"/>
    <w:tmpl w:val="B0C62718"/>
    <w:lvl w:ilvl="0" w:tplc="23469436">
      <w:start w:val="1"/>
      <w:numFmt w:val="decimal"/>
      <w:lvlText w:val="%1."/>
      <w:lvlJc w:val="left"/>
      <w:pPr>
        <w:ind w:left="720" w:hanging="360"/>
      </w:pPr>
    </w:lvl>
    <w:lvl w:ilvl="1" w:tplc="450C3B98">
      <w:start w:val="1"/>
      <w:numFmt w:val="lowerLetter"/>
      <w:lvlText w:val="%2."/>
      <w:lvlJc w:val="left"/>
      <w:pPr>
        <w:ind w:left="1440" w:hanging="360"/>
      </w:pPr>
    </w:lvl>
    <w:lvl w:ilvl="2" w:tplc="A95EEEBC">
      <w:start w:val="1"/>
      <w:numFmt w:val="lowerRoman"/>
      <w:lvlText w:val="%3."/>
      <w:lvlJc w:val="right"/>
      <w:pPr>
        <w:ind w:left="2160" w:hanging="180"/>
      </w:pPr>
    </w:lvl>
    <w:lvl w:ilvl="3" w:tplc="6C402C28">
      <w:start w:val="1"/>
      <w:numFmt w:val="decimal"/>
      <w:lvlText w:val="%4."/>
      <w:lvlJc w:val="left"/>
      <w:pPr>
        <w:ind w:left="2880" w:hanging="360"/>
      </w:pPr>
    </w:lvl>
    <w:lvl w:ilvl="4" w:tplc="69AC4986">
      <w:start w:val="1"/>
      <w:numFmt w:val="lowerLetter"/>
      <w:lvlText w:val="%5."/>
      <w:lvlJc w:val="left"/>
      <w:pPr>
        <w:ind w:left="3600" w:hanging="360"/>
      </w:pPr>
    </w:lvl>
    <w:lvl w:ilvl="5" w:tplc="EA72984E">
      <w:start w:val="1"/>
      <w:numFmt w:val="lowerRoman"/>
      <w:lvlText w:val="%6."/>
      <w:lvlJc w:val="right"/>
      <w:pPr>
        <w:ind w:left="4320" w:hanging="180"/>
      </w:pPr>
    </w:lvl>
    <w:lvl w:ilvl="6" w:tplc="69E0365A">
      <w:start w:val="1"/>
      <w:numFmt w:val="decimal"/>
      <w:lvlText w:val="%7."/>
      <w:lvlJc w:val="left"/>
      <w:pPr>
        <w:ind w:left="5040" w:hanging="360"/>
      </w:pPr>
    </w:lvl>
    <w:lvl w:ilvl="7" w:tplc="6338F610">
      <w:start w:val="1"/>
      <w:numFmt w:val="lowerLetter"/>
      <w:lvlText w:val="%8."/>
      <w:lvlJc w:val="left"/>
      <w:pPr>
        <w:ind w:left="5760" w:hanging="360"/>
      </w:pPr>
    </w:lvl>
    <w:lvl w:ilvl="8" w:tplc="7C822D0E">
      <w:start w:val="1"/>
      <w:numFmt w:val="lowerRoman"/>
      <w:lvlText w:val="%9."/>
      <w:lvlJc w:val="right"/>
      <w:pPr>
        <w:ind w:left="6480" w:hanging="180"/>
      </w:pPr>
    </w:lvl>
  </w:abstractNum>
  <w:abstractNum w:abstractNumId="16" w15:restartNumberingAfterBreak="0">
    <w:nsid w:val="2C186220"/>
    <w:multiLevelType w:val="hybridMultilevel"/>
    <w:tmpl w:val="65CE29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759A469"/>
    <w:multiLevelType w:val="hybridMultilevel"/>
    <w:tmpl w:val="D1543416"/>
    <w:lvl w:ilvl="0" w:tplc="BF022BA4">
      <w:start w:val="1"/>
      <w:numFmt w:val="bullet"/>
      <w:lvlText w:val=""/>
      <w:lvlJc w:val="left"/>
      <w:pPr>
        <w:ind w:left="720" w:hanging="360"/>
      </w:pPr>
      <w:rPr>
        <w:rFonts w:ascii="Symbol" w:hAnsi="Symbol" w:hint="default"/>
      </w:rPr>
    </w:lvl>
    <w:lvl w:ilvl="1" w:tplc="BE30B60A">
      <w:start w:val="1"/>
      <w:numFmt w:val="bullet"/>
      <w:lvlText w:val="o"/>
      <w:lvlJc w:val="left"/>
      <w:pPr>
        <w:ind w:left="1440" w:hanging="360"/>
      </w:pPr>
      <w:rPr>
        <w:rFonts w:ascii="Courier New" w:hAnsi="Courier New" w:hint="default"/>
      </w:rPr>
    </w:lvl>
    <w:lvl w:ilvl="2" w:tplc="3A646FEC">
      <w:start w:val="1"/>
      <w:numFmt w:val="bullet"/>
      <w:lvlText w:val=""/>
      <w:lvlJc w:val="left"/>
      <w:pPr>
        <w:ind w:left="2160" w:hanging="360"/>
      </w:pPr>
      <w:rPr>
        <w:rFonts w:ascii="Wingdings" w:hAnsi="Wingdings" w:hint="default"/>
      </w:rPr>
    </w:lvl>
    <w:lvl w:ilvl="3" w:tplc="416EABCE">
      <w:start w:val="1"/>
      <w:numFmt w:val="bullet"/>
      <w:lvlText w:val=""/>
      <w:lvlJc w:val="left"/>
      <w:pPr>
        <w:ind w:left="2880" w:hanging="360"/>
      </w:pPr>
      <w:rPr>
        <w:rFonts w:ascii="Symbol" w:hAnsi="Symbol" w:hint="default"/>
      </w:rPr>
    </w:lvl>
    <w:lvl w:ilvl="4" w:tplc="6E3A2ABE">
      <w:start w:val="1"/>
      <w:numFmt w:val="bullet"/>
      <w:lvlText w:val="o"/>
      <w:lvlJc w:val="left"/>
      <w:pPr>
        <w:ind w:left="3600" w:hanging="360"/>
      </w:pPr>
      <w:rPr>
        <w:rFonts w:ascii="Courier New" w:hAnsi="Courier New" w:hint="default"/>
      </w:rPr>
    </w:lvl>
    <w:lvl w:ilvl="5" w:tplc="31B4230C">
      <w:start w:val="1"/>
      <w:numFmt w:val="bullet"/>
      <w:lvlText w:val=""/>
      <w:lvlJc w:val="left"/>
      <w:pPr>
        <w:ind w:left="4320" w:hanging="360"/>
      </w:pPr>
      <w:rPr>
        <w:rFonts w:ascii="Wingdings" w:hAnsi="Wingdings" w:hint="default"/>
      </w:rPr>
    </w:lvl>
    <w:lvl w:ilvl="6" w:tplc="097E8532">
      <w:start w:val="1"/>
      <w:numFmt w:val="bullet"/>
      <w:lvlText w:val=""/>
      <w:lvlJc w:val="left"/>
      <w:pPr>
        <w:ind w:left="5040" w:hanging="360"/>
      </w:pPr>
      <w:rPr>
        <w:rFonts w:ascii="Symbol" w:hAnsi="Symbol" w:hint="default"/>
      </w:rPr>
    </w:lvl>
    <w:lvl w:ilvl="7" w:tplc="3DA2DE2E">
      <w:start w:val="1"/>
      <w:numFmt w:val="bullet"/>
      <w:lvlText w:val="o"/>
      <w:lvlJc w:val="left"/>
      <w:pPr>
        <w:ind w:left="5760" w:hanging="360"/>
      </w:pPr>
      <w:rPr>
        <w:rFonts w:ascii="Courier New" w:hAnsi="Courier New" w:hint="default"/>
      </w:rPr>
    </w:lvl>
    <w:lvl w:ilvl="8" w:tplc="1A5220C4">
      <w:start w:val="1"/>
      <w:numFmt w:val="bullet"/>
      <w:lvlText w:val=""/>
      <w:lvlJc w:val="left"/>
      <w:pPr>
        <w:ind w:left="6480" w:hanging="360"/>
      </w:pPr>
      <w:rPr>
        <w:rFonts w:ascii="Wingdings" w:hAnsi="Wingdings" w:hint="default"/>
      </w:rPr>
    </w:lvl>
  </w:abstractNum>
  <w:abstractNum w:abstractNumId="18" w15:restartNumberingAfterBreak="0">
    <w:nsid w:val="3ECA02A2"/>
    <w:multiLevelType w:val="hybridMultilevel"/>
    <w:tmpl w:val="E21CE00A"/>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9"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D31FC9"/>
    <w:multiLevelType w:val="hybridMultilevel"/>
    <w:tmpl w:val="78C6E5D0"/>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1" w15:restartNumberingAfterBreak="0">
    <w:nsid w:val="7E48AAC4"/>
    <w:multiLevelType w:val="hybridMultilevel"/>
    <w:tmpl w:val="D280FF6A"/>
    <w:lvl w:ilvl="0" w:tplc="487C5418">
      <w:start w:val="2"/>
      <w:numFmt w:val="decimal"/>
      <w:lvlText w:val="%1."/>
      <w:lvlJc w:val="left"/>
      <w:pPr>
        <w:ind w:left="720" w:hanging="360"/>
      </w:pPr>
    </w:lvl>
    <w:lvl w:ilvl="1" w:tplc="8F042CA2">
      <w:start w:val="1"/>
      <w:numFmt w:val="lowerLetter"/>
      <w:lvlText w:val="%2."/>
      <w:lvlJc w:val="left"/>
      <w:pPr>
        <w:ind w:left="1440" w:hanging="360"/>
      </w:pPr>
    </w:lvl>
    <w:lvl w:ilvl="2" w:tplc="CA162EC2">
      <w:start w:val="1"/>
      <w:numFmt w:val="lowerRoman"/>
      <w:lvlText w:val="%3."/>
      <w:lvlJc w:val="right"/>
      <w:pPr>
        <w:ind w:left="2160" w:hanging="180"/>
      </w:pPr>
    </w:lvl>
    <w:lvl w:ilvl="3" w:tplc="3F8C2C0E">
      <w:start w:val="1"/>
      <w:numFmt w:val="decimal"/>
      <w:lvlText w:val="%4."/>
      <w:lvlJc w:val="left"/>
      <w:pPr>
        <w:ind w:left="2880" w:hanging="360"/>
      </w:pPr>
    </w:lvl>
    <w:lvl w:ilvl="4" w:tplc="89FE7CF2">
      <w:start w:val="1"/>
      <w:numFmt w:val="lowerLetter"/>
      <w:lvlText w:val="%5."/>
      <w:lvlJc w:val="left"/>
      <w:pPr>
        <w:ind w:left="3600" w:hanging="360"/>
      </w:pPr>
    </w:lvl>
    <w:lvl w:ilvl="5" w:tplc="B8623F08">
      <w:start w:val="1"/>
      <w:numFmt w:val="lowerRoman"/>
      <w:lvlText w:val="%6."/>
      <w:lvlJc w:val="right"/>
      <w:pPr>
        <w:ind w:left="4320" w:hanging="180"/>
      </w:pPr>
    </w:lvl>
    <w:lvl w:ilvl="6" w:tplc="8C32CD0E">
      <w:start w:val="1"/>
      <w:numFmt w:val="decimal"/>
      <w:lvlText w:val="%7."/>
      <w:lvlJc w:val="left"/>
      <w:pPr>
        <w:ind w:left="5040" w:hanging="360"/>
      </w:pPr>
    </w:lvl>
    <w:lvl w:ilvl="7" w:tplc="08D8B168">
      <w:start w:val="1"/>
      <w:numFmt w:val="lowerLetter"/>
      <w:lvlText w:val="%8."/>
      <w:lvlJc w:val="left"/>
      <w:pPr>
        <w:ind w:left="5760" w:hanging="360"/>
      </w:pPr>
    </w:lvl>
    <w:lvl w:ilvl="8" w:tplc="75DCF15E">
      <w:start w:val="1"/>
      <w:numFmt w:val="lowerRoman"/>
      <w:lvlText w:val="%9."/>
      <w:lvlJc w:val="right"/>
      <w:pPr>
        <w:ind w:left="6480" w:hanging="180"/>
      </w:pPr>
    </w:lvl>
  </w:abstractNum>
  <w:num w:numId="1" w16cid:durableId="1633706570">
    <w:abstractNumId w:val="11"/>
  </w:num>
  <w:num w:numId="2" w16cid:durableId="39979133">
    <w:abstractNumId w:val="7"/>
  </w:num>
  <w:num w:numId="3" w16cid:durableId="2123180733">
    <w:abstractNumId w:val="6"/>
  </w:num>
  <w:num w:numId="4" w16cid:durableId="1404330095">
    <w:abstractNumId w:val="5"/>
  </w:num>
  <w:num w:numId="5" w16cid:durableId="903952828">
    <w:abstractNumId w:val="4"/>
  </w:num>
  <w:num w:numId="6" w16cid:durableId="1664118764">
    <w:abstractNumId w:val="8"/>
  </w:num>
  <w:num w:numId="7" w16cid:durableId="1049914581">
    <w:abstractNumId w:val="3"/>
  </w:num>
  <w:num w:numId="8" w16cid:durableId="1655601579">
    <w:abstractNumId w:val="2"/>
  </w:num>
  <w:num w:numId="9" w16cid:durableId="519441177">
    <w:abstractNumId w:val="1"/>
  </w:num>
  <w:num w:numId="10" w16cid:durableId="1680086208">
    <w:abstractNumId w:val="0"/>
  </w:num>
  <w:num w:numId="11" w16cid:durableId="386497084">
    <w:abstractNumId w:val="10"/>
  </w:num>
  <w:num w:numId="12" w16cid:durableId="343820827">
    <w:abstractNumId w:val="13"/>
  </w:num>
  <w:num w:numId="13" w16cid:durableId="782455034">
    <w:abstractNumId w:val="19"/>
  </w:num>
  <w:num w:numId="14" w16cid:durableId="708147969">
    <w:abstractNumId w:val="14"/>
  </w:num>
  <w:num w:numId="15" w16cid:durableId="1141657617">
    <w:abstractNumId w:val="21"/>
  </w:num>
  <w:num w:numId="16" w16cid:durableId="492794237">
    <w:abstractNumId w:val="15"/>
  </w:num>
  <w:num w:numId="17" w16cid:durableId="794442907">
    <w:abstractNumId w:val="17"/>
  </w:num>
  <w:num w:numId="18" w16cid:durableId="993991734">
    <w:abstractNumId w:val="18"/>
  </w:num>
  <w:num w:numId="19" w16cid:durableId="2115588193">
    <w:abstractNumId w:val="9"/>
  </w:num>
  <w:num w:numId="20" w16cid:durableId="182868338">
    <w:abstractNumId w:val="20"/>
  </w:num>
  <w:num w:numId="21" w16cid:durableId="1869904228">
    <w:abstractNumId w:val="12"/>
  </w:num>
  <w:num w:numId="22" w16cid:durableId="1725790410">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80CDD"/>
    <w:rsid w:val="00081B4B"/>
    <w:rsid w:val="00092799"/>
    <w:rsid w:val="00092C5F"/>
    <w:rsid w:val="00096680"/>
    <w:rsid w:val="000A0F36"/>
    <w:rsid w:val="000A174A"/>
    <w:rsid w:val="000A3D52"/>
    <w:rsid w:val="000A3E0A"/>
    <w:rsid w:val="000A65AC"/>
    <w:rsid w:val="000A6B2C"/>
    <w:rsid w:val="000A7159"/>
    <w:rsid w:val="000B7281"/>
    <w:rsid w:val="000B7FAB"/>
    <w:rsid w:val="000C0163"/>
    <w:rsid w:val="000C1BA1"/>
    <w:rsid w:val="000C3EA9"/>
    <w:rsid w:val="000D0225"/>
    <w:rsid w:val="000E7895"/>
    <w:rsid w:val="000F161D"/>
    <w:rsid w:val="000F3C8A"/>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4CC0"/>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8E8"/>
    <w:rsid w:val="002F7ABD"/>
    <w:rsid w:val="00312597"/>
    <w:rsid w:val="00327BA5"/>
    <w:rsid w:val="0033326F"/>
    <w:rsid w:val="00334154"/>
    <w:rsid w:val="003350D8"/>
    <w:rsid w:val="003372C4"/>
    <w:rsid w:val="00337D16"/>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6FB0"/>
    <w:rsid w:val="004F42FF"/>
    <w:rsid w:val="004F44C2"/>
    <w:rsid w:val="00502512"/>
    <w:rsid w:val="00503FD2"/>
    <w:rsid w:val="00505262"/>
    <w:rsid w:val="00516022"/>
    <w:rsid w:val="00521CEE"/>
    <w:rsid w:val="00522D6C"/>
    <w:rsid w:val="00527BD4"/>
    <w:rsid w:val="005330E6"/>
    <w:rsid w:val="00537095"/>
    <w:rsid w:val="005403C8"/>
    <w:rsid w:val="005429DC"/>
    <w:rsid w:val="00544BC8"/>
    <w:rsid w:val="005565F9"/>
    <w:rsid w:val="00564644"/>
    <w:rsid w:val="00573041"/>
    <w:rsid w:val="00575B80"/>
    <w:rsid w:val="0057620F"/>
    <w:rsid w:val="005819CE"/>
    <w:rsid w:val="0058298D"/>
    <w:rsid w:val="00584C1A"/>
    <w:rsid w:val="00593C2B"/>
    <w:rsid w:val="00595231"/>
    <w:rsid w:val="00596166"/>
    <w:rsid w:val="00597F64"/>
    <w:rsid w:val="005A207F"/>
    <w:rsid w:val="005A2F35"/>
    <w:rsid w:val="005A7CCC"/>
    <w:rsid w:val="005B3814"/>
    <w:rsid w:val="005B43FD"/>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459E2"/>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383C"/>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77734"/>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3B81"/>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4DA4"/>
    <w:rsid w:val="00836ACA"/>
    <w:rsid w:val="00842CD8"/>
    <w:rsid w:val="008431FA"/>
    <w:rsid w:val="00847444"/>
    <w:rsid w:val="008517C6"/>
    <w:rsid w:val="008547BA"/>
    <w:rsid w:val="008553C7"/>
    <w:rsid w:val="00857FEB"/>
    <w:rsid w:val="008601AF"/>
    <w:rsid w:val="008624E1"/>
    <w:rsid w:val="00864EB6"/>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C620D"/>
    <w:rsid w:val="008D43B5"/>
    <w:rsid w:val="008E0B3F"/>
    <w:rsid w:val="008E49AD"/>
    <w:rsid w:val="008E698E"/>
    <w:rsid w:val="008F2584"/>
    <w:rsid w:val="008F3246"/>
    <w:rsid w:val="008F3C1B"/>
    <w:rsid w:val="008F508C"/>
    <w:rsid w:val="00901BE9"/>
    <w:rsid w:val="0090271B"/>
    <w:rsid w:val="00906C2E"/>
    <w:rsid w:val="00910642"/>
    <w:rsid w:val="00910DDF"/>
    <w:rsid w:val="00911C38"/>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17637"/>
    <w:rsid w:val="00A21E76"/>
    <w:rsid w:val="00A23BC8"/>
    <w:rsid w:val="00A245F8"/>
    <w:rsid w:val="00A30E68"/>
    <w:rsid w:val="00A31933"/>
    <w:rsid w:val="00A329D2"/>
    <w:rsid w:val="00A34AA0"/>
    <w:rsid w:val="00A3715C"/>
    <w:rsid w:val="00A413B4"/>
    <w:rsid w:val="00A41A81"/>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D416F"/>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619A7"/>
    <w:rsid w:val="00C6274F"/>
    <w:rsid w:val="00C73D5F"/>
    <w:rsid w:val="00C82AFE"/>
    <w:rsid w:val="00C83DBC"/>
    <w:rsid w:val="00C97C80"/>
    <w:rsid w:val="00CA1960"/>
    <w:rsid w:val="00CA47D3"/>
    <w:rsid w:val="00CA58B7"/>
    <w:rsid w:val="00CA6533"/>
    <w:rsid w:val="00CA6A25"/>
    <w:rsid w:val="00CA6A3F"/>
    <w:rsid w:val="00CA7C99"/>
    <w:rsid w:val="00CB0A71"/>
    <w:rsid w:val="00CB5E49"/>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3B52"/>
    <w:rsid w:val="00D264D6"/>
    <w:rsid w:val="00D3000B"/>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ADE"/>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2EFB"/>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3D4D"/>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0E47"/>
    <w:rsid w:val="00F21BEF"/>
    <w:rsid w:val="00F2315B"/>
    <w:rsid w:val="00F334B6"/>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87D02"/>
    <w:rsid w:val="00F93F9E"/>
    <w:rsid w:val="00FA2CD7"/>
    <w:rsid w:val="00FA3C5D"/>
    <w:rsid w:val="00FB06ED"/>
    <w:rsid w:val="00FC2311"/>
    <w:rsid w:val="00FC3165"/>
    <w:rsid w:val="00FC36AB"/>
    <w:rsid w:val="00FC4300"/>
    <w:rsid w:val="00FC7F66"/>
    <w:rsid w:val="00FD5776"/>
    <w:rsid w:val="00FE1AD4"/>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7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character" w:styleId="Voetnootmarkering">
    <w:name w:val="footnote reference"/>
    <w:basedOn w:val="Standaardalinea-lettertype"/>
    <w:uiPriority w:val="99"/>
    <w:semiHidden/>
    <w:unhideWhenUsed/>
    <w:rsid w:val="00A17637"/>
    <w:rPr>
      <w:vertAlign w:val="superscript"/>
    </w:rPr>
  </w:style>
  <w:style w:type="paragraph" w:styleId="Lijstalinea">
    <w:name w:val="List Paragraph"/>
    <w:uiPriority w:val="34"/>
    <w:qFormat/>
    <w:rsid w:val="00A17637"/>
    <w:pPr>
      <w:spacing w:after="160" w:line="279" w:lineRule="auto"/>
      <w:ind w:left="720"/>
      <w:contextualSpacing/>
    </w:pPr>
    <w:rPr>
      <w:rFonts w:asciiTheme="minorHAnsi" w:eastAsiaTheme="minorHAnsi" w:hAnsiTheme="minorHAnsi" w:cstheme="minorBidi"/>
      <w:sz w:val="24"/>
      <w:szCs w:val="24"/>
      <w:lang w:val="nl-NL"/>
    </w:rPr>
  </w:style>
  <w:style w:type="paragraph" w:styleId="Revisie">
    <w:name w:val="Revision"/>
    <w:hidden/>
    <w:uiPriority w:val="99"/>
    <w:semiHidden/>
    <w:rsid w:val="00234CC0"/>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open.overheid.nl/details/a23071ba-774e-49f1-adb8-db3d5833d2f5" TargetMode="External"/><Relationship Id="rId2" Type="http://schemas.openxmlformats.org/officeDocument/2006/relationships/hyperlink" Target="https://public.tableau.com/views/MonitorConsumentenmarktEnergie/Prijstrends?%3Alanguage=en-US&amp;publish-yes&amp;%3Asid=&amp;%3Adisplay_count=viz_share_link&amp;publish=yes&amp;%3AshowVizHome=no" TargetMode="External"/><Relationship Id="rId1" Type="http://schemas.openxmlformats.org/officeDocument/2006/relationships/hyperlink" Target="https://www.rijksoverheid.nl/documenten/2026/09/15/fiscale-sleuteltabel-2027" TargetMode="External"/><Relationship Id="rId6" Type="http://schemas.openxmlformats.org/officeDocument/2006/relationships/hyperlink" Target="https://www.warmtefonds.nl/jaarverslagen" TargetMode="External"/><Relationship Id="rId5" Type="http://schemas.openxmlformats.org/officeDocument/2006/relationships/hyperlink" Target="https://publications.tno.nl/publication/34646409/PF0NqPYN/TNO-2026-17315.pdf" TargetMode="External"/><Relationship Id="rId4" Type="http://schemas.openxmlformats.org/officeDocument/2006/relationships/hyperlink" Target="https://open.overheid.nl/details/a23071ba-774e-49f1-adb8-db3d5833d2f5"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5</ap:Pages>
  <ap:Words>1503</ap:Words>
  <ap:Characters>8270</ap:Characters>
  <ap:DocSecurity>0</ap:DocSecurity>
  <ap:Lines>68</ap:Lines>
  <ap:Paragraphs>19</ap:Paragraphs>
  <ap:ScaleCrop>false</ap:ScaleCrop>
  <ap:LinksUpToDate>false</ap:LinksUpToDate>
  <ap:CharactersWithSpaces>9754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2026-10-09T14:37:00.0000000Z</dcterms:created>
  <dcterms:modified xsi:type="dcterms:W3CDTF">2026-10-09T14:37:00.0000000Z</dcterms:modified>
  <dc:description>------------------------</dc:description>
  <dc:subject/>
  <keywords/>
  <version/>
  <category/>
</coreProperties>
</file>