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87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4394"/>
        <w:gridCol w:w="4395"/>
      </w:tblGrid>
      <w:tr w:rsidR="00771D5E" w:rsidTr="006A3EF8" w14:paraId="06118B7C" w14:textId="77777777">
        <w:tc>
          <w:tcPr>
            <w:tcW w:w="4394" w:type="dxa"/>
          </w:tcPr>
          <w:p w:rsidRPr="00291B4A" w:rsidR="000678E6" w:rsidP="00291B4A" w:rsidRDefault="000678E6" w14:paraId="7B837111" w14:textId="7EA6B6C2">
            <w:pPr>
              <w:pStyle w:val="Tussenkop"/>
            </w:pPr>
          </w:p>
        </w:tc>
        <w:tc>
          <w:tcPr>
            <w:tcW w:w="4395" w:type="dxa"/>
          </w:tcPr>
          <w:sdt>
            <w:sdtPr>
              <w:alias w:val="txtAfzenderPersoonlijk"/>
              <w:tag w:val="txtAfzenderPersoonlijk"/>
              <w:id w:val="1145699291"/>
              <w:placeholder>
                <w:docPart w:val="D6957349DC62497F905F635EEBCEE3BA"/>
              </w:placeholder>
            </w:sdtPr>
            <w:sdtEndPr/>
            <w:sdtContent>
              <w:p w:rsidR="00074510" w:rsidP="00074510" w:rsidRDefault="00074510" w14:paraId="7C95A4EA" w14:textId="5FBD9526">
                <w:pPr>
                  <w:pStyle w:val="Afzendergegevens"/>
                </w:pPr>
              </w:p>
              <w:p w:rsidR="001A79FB" w:rsidP="00A456A1" w:rsidRDefault="00D43CC3" w14:paraId="18A9A2D4" w14:textId="6018E4A0">
                <w:pPr>
                  <w:pStyle w:val="Afzendergegevens"/>
                </w:pPr>
              </w:p>
            </w:sdtContent>
          </w:sdt>
          <w:p w:rsidRPr="00A456A1" w:rsidR="00A456A1" w:rsidP="00A456A1" w:rsidRDefault="00A456A1" w14:paraId="13E49C12" w14:textId="77777777">
            <w:pPr>
              <w:pStyle w:val="Afzendergegevens"/>
              <w:rPr>
                <w:sz w:val="18"/>
              </w:rPr>
            </w:pPr>
          </w:p>
          <w:p w:rsidR="00D712DA" w:rsidRDefault="00D712DA" w14:paraId="44442A24" w14:textId="77777777"/>
        </w:tc>
      </w:tr>
    </w:tbl>
    <w:p w:rsidR="00BC0DBA" w:rsidP="00771D5E" w:rsidRDefault="00BC0DBA" w14:paraId="6A20D6CE" w14:textId="77777777">
      <w:pPr>
        <w:pStyle w:val="Scheidingsalinea"/>
      </w:pPr>
    </w:p>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8789"/>
      </w:tblGrid>
      <w:tr w:rsidR="00771D5E" w:rsidTr="006A3EF8" w14:paraId="60F3BA94" w14:textId="77777777">
        <w:tc>
          <w:tcPr>
            <w:tcW w:w="8789" w:type="dxa"/>
          </w:tcPr>
          <w:p w:rsidR="00CC68ED" w:rsidP="00291B4A" w:rsidRDefault="00CC68ED" w14:paraId="37F584C8" w14:textId="209D38C3">
            <w:pPr>
              <w:pStyle w:val="Legendatekst"/>
            </w:pPr>
          </w:p>
        </w:tc>
      </w:tr>
    </w:tbl>
    <w:sdt>
      <w:sdtPr>
        <w:alias w:val="Titel"/>
        <w:tag w:val="txtTitel"/>
        <w:id w:val="-1474901945"/>
        <w:placeholder>
          <w:docPart w:val="678A7BA47F6E4826B5CF19330D89457C"/>
        </w:placeholder>
        <w:dataBinding w:prefixMappings="xmlns:ns0='urn:tweedekamer.nl:da:wd:templates:2025:85c5' " w:xpath="/data[1]/onderwerp[1]" w:storeItemID="{5B489D38-C4AB-47B8-8F75-5BDEF252216E}"/>
        <w:text w:multiLine="1"/>
      </w:sdtPr>
      <w:sdtEndPr/>
      <w:sdtContent>
        <w:p w:rsidR="008C3B2E" w:rsidP="008C3B2E" w:rsidRDefault="00780DE6" w14:paraId="0149BC60" w14:textId="2F1743B4">
          <w:pPr>
            <w:pStyle w:val="Titel"/>
          </w:pPr>
          <w:r>
            <w:t>Juridische analyse Wet zorgplicht kinderarbeid, CSDDD (Omnibus I) en Anti-dwangarbeidverordening</w:t>
          </w:r>
        </w:p>
      </w:sdtContent>
    </w:sdt>
    <w:p w:rsidRPr="001765A4" w:rsidR="0051643E" w:rsidP="0051643E" w:rsidRDefault="008F4133" w14:paraId="04CC64FA" w14:textId="4338AFBB">
      <w:pPr>
        <w:pStyle w:val="Kop1-Zondernummer"/>
      </w:pPr>
      <w:bookmarkStart w:name="_Toc235017970" w:id="0"/>
      <w:r>
        <w:t>Aanleiding</w:t>
      </w:r>
      <w:bookmarkEnd w:id="0"/>
    </w:p>
    <w:p w:rsidR="006D376C" w:rsidP="006D376C" w:rsidRDefault="006D376C" w14:paraId="59CFEC5C" w14:textId="77777777">
      <w:pPr>
        <w:rPr>
          <w:lang w:eastAsia="nl-NL"/>
        </w:rPr>
      </w:pPr>
      <w:r>
        <w:rPr>
          <w:lang w:eastAsia="nl-NL"/>
        </w:rPr>
        <w:t xml:space="preserve">De commissie Buitenlandse Handel en Ontwikkelingssamenwerking (BHO) heeft de leden Kröger (PRO), Van Ark (CDA) en Ceder (CU) benoemd tot rapporteurs voor de implementatie van de </w:t>
      </w:r>
      <w:r w:rsidRPr="00835B96">
        <w:rPr>
          <w:i/>
          <w:iCs/>
          <w:lang w:eastAsia="nl-NL"/>
        </w:rPr>
        <w:t>Corporate Sustainability Due Diligence Directive</w:t>
      </w:r>
      <w:r>
        <w:rPr>
          <w:lang w:eastAsia="nl-NL"/>
        </w:rPr>
        <w:t xml:space="preserve"> (CSDDD)</w:t>
      </w:r>
      <w:r w:rsidR="00DF1E0A">
        <w:rPr>
          <w:lang w:eastAsia="nl-NL"/>
        </w:rPr>
        <w:t xml:space="preserve"> (Omnibus I</w:t>
      </w:r>
      <w:r>
        <w:rPr>
          <w:lang w:eastAsia="nl-NL"/>
        </w:rPr>
        <w:t>).</w:t>
      </w:r>
    </w:p>
    <w:p w:rsidR="006D376C" w:rsidP="006D376C" w:rsidRDefault="006D376C" w14:paraId="0C437AFC" w14:textId="77777777">
      <w:pPr>
        <w:rPr>
          <w:lang w:eastAsia="nl-NL"/>
        </w:rPr>
      </w:pPr>
    </w:p>
    <w:p w:rsidR="006D376C" w:rsidP="006D376C" w:rsidRDefault="006D376C" w14:paraId="18AB63D6" w14:textId="1A23B162">
      <w:pPr>
        <w:rPr>
          <w:lang w:eastAsia="nl-NL"/>
        </w:rPr>
      </w:pPr>
      <w:r>
        <w:rPr>
          <w:lang w:eastAsia="nl-NL"/>
        </w:rPr>
        <w:t xml:space="preserve">In het kader van dit rapporteurschap hebben </w:t>
      </w:r>
      <w:r w:rsidR="00C60F7D">
        <w:rPr>
          <w:lang w:eastAsia="nl-NL"/>
        </w:rPr>
        <w:t xml:space="preserve">zij </w:t>
      </w:r>
      <w:r>
        <w:rPr>
          <w:lang w:eastAsia="nl-NL"/>
        </w:rPr>
        <w:t xml:space="preserve">verzocht om een actualisatie van de juridische analyse van de Wet zorgplicht kinderarbeid (WZK) en de CSDDD na de goedkeuring van </w:t>
      </w:r>
      <w:r w:rsidR="00835B96">
        <w:rPr>
          <w:lang w:eastAsia="nl-NL"/>
        </w:rPr>
        <w:t>de</w:t>
      </w:r>
      <w:r>
        <w:rPr>
          <w:lang w:eastAsia="nl-NL"/>
        </w:rPr>
        <w:t xml:space="preserve"> Omnibus I-</w:t>
      </w:r>
      <w:r w:rsidR="00835B96">
        <w:rPr>
          <w:lang w:eastAsia="nl-NL"/>
        </w:rPr>
        <w:t>richtlijn</w:t>
      </w:r>
      <w:r>
        <w:rPr>
          <w:lang w:eastAsia="nl-NL"/>
        </w:rPr>
        <w:t>.</w:t>
      </w:r>
      <w:r w:rsidR="00C60F7D">
        <w:rPr>
          <w:lang w:eastAsia="nl-NL"/>
        </w:rPr>
        <w:t xml:space="preserve"> </w:t>
      </w:r>
      <w:r>
        <w:rPr>
          <w:lang w:eastAsia="nl-NL"/>
        </w:rPr>
        <w:t xml:space="preserve">Daarnaast hebben zij verzocht om ook de </w:t>
      </w:r>
      <w:r w:rsidR="006F1648">
        <w:rPr>
          <w:lang w:eastAsia="nl-NL"/>
        </w:rPr>
        <w:t>A</w:t>
      </w:r>
      <w:r>
        <w:rPr>
          <w:lang w:eastAsia="nl-NL"/>
        </w:rPr>
        <w:t>nti-dwangarbeidverordening in de analyse te betrekken.</w:t>
      </w:r>
    </w:p>
    <w:p w:rsidR="006D376C" w:rsidP="006D376C" w:rsidRDefault="006D376C" w14:paraId="06823D84" w14:textId="77777777">
      <w:pPr>
        <w:rPr>
          <w:lang w:eastAsia="nl-NL"/>
        </w:rPr>
      </w:pPr>
    </w:p>
    <w:p w:rsidR="00E025A2" w:rsidP="006D376C" w:rsidRDefault="006D376C" w14:paraId="4EBBE2A5" w14:textId="1704C7DC">
      <w:pPr>
        <w:rPr>
          <w:lang w:eastAsia="nl-NL"/>
        </w:rPr>
      </w:pPr>
      <w:r>
        <w:rPr>
          <w:lang w:eastAsia="nl-NL"/>
        </w:rPr>
        <w:t xml:space="preserve">Deze notitie bevat deze geactualiseerde analyse. De commissie kan de notitie desgewenst betrekken bij het commissiedebat Informele Raad Buitenlandse Zaken Handel op </w:t>
      </w:r>
      <w:r w:rsidR="00DF1E0A">
        <w:rPr>
          <w:lang w:eastAsia="nl-NL"/>
        </w:rPr>
        <w:t>8</w:t>
      </w:r>
      <w:r>
        <w:rPr>
          <w:lang w:eastAsia="nl-NL"/>
        </w:rPr>
        <w:t xml:space="preserve"> oktober 2026 en bij de verdere behandeling van de aangekondigde implementatiewetgeving</w:t>
      </w:r>
      <w:r w:rsidR="00DF1E0A">
        <w:rPr>
          <w:lang w:eastAsia="nl-NL"/>
        </w:rPr>
        <w:t xml:space="preserve"> van de CSDDD</w:t>
      </w:r>
      <w:r w:rsidR="00DB657D">
        <w:rPr>
          <w:lang w:eastAsia="nl-NL"/>
        </w:rPr>
        <w:t xml:space="preserve"> (indiening tweede kwartaal 2027)</w:t>
      </w:r>
      <w:r w:rsidR="00F30CC7">
        <w:rPr>
          <w:lang w:eastAsia="nl-NL"/>
        </w:rPr>
        <w:t xml:space="preserve"> en de Anti-dwangarbeidverordening</w:t>
      </w:r>
      <w:r w:rsidR="00DB657D">
        <w:rPr>
          <w:lang w:eastAsia="nl-NL"/>
        </w:rPr>
        <w:t xml:space="preserve"> (indiening eerste kwartaal 2027)</w:t>
      </w:r>
      <w:r>
        <w:rPr>
          <w:lang w:eastAsia="nl-NL"/>
        </w:rPr>
        <w:t>.</w:t>
      </w:r>
    </w:p>
    <w:p w:rsidR="006D376C" w:rsidP="0051643E" w:rsidRDefault="006D376C" w14:paraId="7258FA01" w14:textId="77777777">
      <w:pPr>
        <w:rPr>
          <w:lang w:eastAsia="nl-NL"/>
        </w:rPr>
      </w:pPr>
    </w:p>
    <w:p w:rsidR="00E025A2" w:rsidP="0051643E" w:rsidRDefault="00E025A2" w14:paraId="33184B46" w14:textId="13D1CAAD">
      <w:pPr>
        <w:rPr>
          <w:lang w:eastAsia="nl-NL"/>
        </w:rPr>
      </w:pPr>
      <w:r>
        <w:rPr>
          <w:lang w:eastAsia="nl-NL"/>
        </w:rPr>
        <w:t>In deze notitie wordt achtereenvolgens stilgestaan bij:</w:t>
      </w:r>
    </w:p>
    <w:p w:rsidR="00862E95" w:rsidP="0051643E" w:rsidRDefault="00862E95" w14:paraId="7FCEB1B1" w14:textId="77777777">
      <w:pPr>
        <w:rPr>
          <w:lang w:eastAsia="nl-NL"/>
        </w:rPr>
      </w:pPr>
    </w:p>
    <w:p w:rsidR="00862E95" w:rsidP="0051643E" w:rsidRDefault="00862E95" w14:paraId="58895FD9" w14:textId="0589B859">
      <w:pPr>
        <w:rPr>
          <w:lang w:eastAsia="nl-NL"/>
        </w:rPr>
      </w:pPr>
      <w:r>
        <w:rPr>
          <w:lang w:eastAsia="nl-NL"/>
        </w:rPr>
        <w:t xml:space="preserve">1. </w:t>
      </w:r>
      <w:r w:rsidR="002D5157">
        <w:rPr>
          <w:lang w:eastAsia="nl-NL"/>
        </w:rPr>
        <w:t xml:space="preserve">Internationale richtlijnen </w:t>
      </w:r>
      <w:r w:rsidR="00DF1E0A">
        <w:rPr>
          <w:lang w:eastAsia="nl-NL"/>
        </w:rPr>
        <w:t>MVO</w:t>
      </w:r>
      <w:r w:rsidR="002D5157">
        <w:rPr>
          <w:lang w:eastAsia="nl-NL"/>
        </w:rPr>
        <w:t xml:space="preserve"> (UNGP’s en OESO-richtlijnen) </w:t>
      </w:r>
    </w:p>
    <w:p w:rsidR="00862E95" w:rsidP="0051643E" w:rsidRDefault="00862E95" w14:paraId="72F28762" w14:textId="40E31730">
      <w:pPr>
        <w:rPr>
          <w:lang w:eastAsia="nl-NL"/>
        </w:rPr>
      </w:pPr>
      <w:r>
        <w:rPr>
          <w:lang w:eastAsia="nl-NL"/>
        </w:rPr>
        <w:t xml:space="preserve">2. Juridisch kader: nieuwe </w:t>
      </w:r>
      <w:r w:rsidR="00DC0BC7">
        <w:rPr>
          <w:lang w:eastAsia="nl-NL"/>
        </w:rPr>
        <w:t xml:space="preserve">nationale en Europese </w:t>
      </w:r>
      <w:r>
        <w:rPr>
          <w:lang w:eastAsia="nl-NL"/>
        </w:rPr>
        <w:t xml:space="preserve">regelgeving </w:t>
      </w:r>
    </w:p>
    <w:p w:rsidR="00862E95" w:rsidP="0051643E" w:rsidRDefault="00C217F1" w14:paraId="7125161C" w14:textId="44CE1E75">
      <w:pPr>
        <w:rPr>
          <w:lang w:eastAsia="nl-NL"/>
        </w:rPr>
      </w:pPr>
      <w:r>
        <w:rPr>
          <w:lang w:eastAsia="nl-NL"/>
        </w:rPr>
        <w:tab/>
      </w:r>
      <w:r w:rsidR="00862E95">
        <w:rPr>
          <w:lang w:eastAsia="nl-NL"/>
        </w:rPr>
        <w:t>2.1. Wet zorgplicht kinderarbeid</w:t>
      </w:r>
    </w:p>
    <w:p w:rsidR="00862E95" w:rsidP="0051643E" w:rsidRDefault="00C217F1" w14:paraId="02D4198A" w14:textId="32733D8E">
      <w:pPr>
        <w:rPr>
          <w:lang w:eastAsia="nl-NL"/>
        </w:rPr>
      </w:pPr>
      <w:r>
        <w:rPr>
          <w:lang w:eastAsia="nl-NL"/>
        </w:rPr>
        <w:tab/>
      </w:r>
      <w:r w:rsidR="00862E95">
        <w:rPr>
          <w:lang w:eastAsia="nl-NL"/>
        </w:rPr>
        <w:t>2.2. CSDDD na Omnibus-I</w:t>
      </w:r>
    </w:p>
    <w:p w:rsidR="00862E95" w:rsidP="0051643E" w:rsidRDefault="00C217F1" w14:paraId="408A73E0" w14:textId="0A0D3C44">
      <w:pPr>
        <w:rPr>
          <w:lang w:eastAsia="nl-NL"/>
        </w:rPr>
      </w:pPr>
      <w:r>
        <w:rPr>
          <w:lang w:eastAsia="nl-NL"/>
        </w:rPr>
        <w:tab/>
      </w:r>
      <w:r w:rsidR="00862E95">
        <w:rPr>
          <w:lang w:eastAsia="nl-NL"/>
        </w:rPr>
        <w:t xml:space="preserve">2.3. Anti-dwangarbeidverordening </w:t>
      </w:r>
    </w:p>
    <w:p w:rsidR="000E747D" w:rsidP="00862E95" w:rsidRDefault="00862E95" w14:paraId="67B7CA4C" w14:textId="0186D342">
      <w:pPr>
        <w:rPr>
          <w:lang w:eastAsia="nl-NL"/>
        </w:rPr>
      </w:pPr>
      <w:r>
        <w:rPr>
          <w:lang w:eastAsia="nl-NL"/>
        </w:rPr>
        <w:t xml:space="preserve">3. Schematische vergelijking van </w:t>
      </w:r>
      <w:r w:rsidR="003546A2">
        <w:rPr>
          <w:lang w:eastAsia="nl-NL"/>
        </w:rPr>
        <w:t>de WZK, CSDDD en Anti-dwangarbeidverordening</w:t>
      </w:r>
    </w:p>
    <w:p w:rsidR="00E025A2" w:rsidP="0051643E" w:rsidRDefault="00E025A2" w14:paraId="778F5857" w14:textId="77777777">
      <w:pPr>
        <w:rPr>
          <w:lang w:eastAsia="nl-NL"/>
        </w:rPr>
      </w:pPr>
    </w:p>
    <w:p w:rsidR="002E0DEA" w:rsidP="002E0DEA" w:rsidRDefault="0051643E" w14:paraId="7449DE51" w14:textId="759C4E7A">
      <w:pPr>
        <w:pStyle w:val="Kop1-Zondernummer"/>
      </w:pPr>
      <w:bookmarkStart w:name="_Toc235017972" w:id="1"/>
      <w:r w:rsidRPr="00473F01">
        <w:t>Kernpunten</w:t>
      </w:r>
      <w:bookmarkEnd w:id="1"/>
    </w:p>
    <w:tbl>
      <w:tblPr>
        <w:tblStyle w:val="Tabelraster"/>
        <w:tblW w:w="82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DAECF0" w:themeFill="accent2" w:themeFillTint="33"/>
        <w:tblLayout w:type="fixed"/>
        <w:tblCellMar>
          <w:top w:w="142" w:type="dxa"/>
          <w:left w:w="284" w:type="dxa"/>
          <w:bottom w:w="142" w:type="dxa"/>
          <w:right w:w="284" w:type="dxa"/>
        </w:tblCellMar>
        <w:tblLook w:val="04A0" w:firstRow="1" w:lastRow="0" w:firstColumn="1" w:lastColumn="0" w:noHBand="0" w:noVBand="1"/>
        <w:tblCaption w:val="Citaat"/>
        <w:tblDescription w:val="Tabel met lichtblauwe achtergrond - tekst vraagt aandacht."/>
      </w:tblPr>
      <w:tblGrid>
        <w:gridCol w:w="8222"/>
      </w:tblGrid>
      <w:tr w:rsidRPr="000E419E" w:rsidR="002E0DEA" w:rsidTr="00F84E99" w14:paraId="59562C8A" w14:textId="77777777">
        <w:tc>
          <w:tcPr>
            <w:tcW w:w="8222" w:type="dxa"/>
            <w:shd w:val="clear" w:color="auto" w:fill="DAECF0" w:themeFill="accent2" w:themeFillTint="33"/>
          </w:tcPr>
          <w:p w:rsidR="00993208" w:rsidP="00993208" w:rsidRDefault="00993208" w14:paraId="724BFD6F" w14:textId="4D313958">
            <w:pPr>
              <w:pStyle w:val="Citaatalinea"/>
              <w:rPr>
                <w:bCs/>
              </w:rPr>
            </w:pPr>
            <w:r w:rsidRPr="00993208">
              <w:rPr>
                <w:bCs/>
              </w:rPr>
              <w:t>Met de CSDDD (zorgvuldigheidsplicht) en de anti-dwangarbeidverordening (productverbod) ontstaat een nieuw juridisch kader voor internationaal maatschappelijk verantwoord ondernemen. De regering stelt dat de WZK daardoor kan worden ingetrokken.</w:t>
            </w:r>
          </w:p>
          <w:p w:rsidRPr="009A3C61" w:rsidR="009A3C61" w:rsidP="00993208" w:rsidRDefault="009A3C61" w14:paraId="4BDF7CAF" w14:textId="1FE44C98">
            <w:pPr>
              <w:pStyle w:val="Citaatalinea"/>
              <w:rPr>
                <w:bCs/>
              </w:rPr>
            </w:pPr>
            <w:r w:rsidRPr="009A3C61">
              <w:rPr>
                <w:bCs/>
              </w:rPr>
              <w:lastRenderedPageBreak/>
              <w:t>De UNGP's en OESO-richtlijnen vormen het</w:t>
            </w:r>
            <w:r w:rsidR="00115334">
              <w:rPr>
                <w:bCs/>
              </w:rPr>
              <w:t xml:space="preserve"> huidige</w:t>
            </w:r>
            <w:r w:rsidRPr="009A3C61">
              <w:rPr>
                <w:bCs/>
              </w:rPr>
              <w:t xml:space="preserve"> internationale kader voor maatschappelijk verantwoord ondernemen</w:t>
            </w:r>
            <w:r w:rsidR="00DF1E0A">
              <w:rPr>
                <w:bCs/>
              </w:rPr>
              <w:t xml:space="preserve"> (</w:t>
            </w:r>
            <w:r w:rsidR="00AF02B7">
              <w:rPr>
                <w:bCs/>
              </w:rPr>
              <w:t>I</w:t>
            </w:r>
            <w:r w:rsidR="00DF1E0A">
              <w:rPr>
                <w:bCs/>
              </w:rPr>
              <w:t>MVO)</w:t>
            </w:r>
            <w:r w:rsidRPr="009A3C61">
              <w:rPr>
                <w:bCs/>
              </w:rPr>
              <w:t>. Deze richtlijnen liggen ten grondslag aan de recente Europese regelgeving</w:t>
            </w:r>
            <w:r w:rsidR="00DF1E0A">
              <w:rPr>
                <w:bCs/>
              </w:rPr>
              <w:t xml:space="preserve"> zoals de CSDDD en de anti-dwangarbeidverordening</w:t>
            </w:r>
            <w:r w:rsidR="00D06CE7">
              <w:rPr>
                <w:bCs/>
              </w:rPr>
              <w:t xml:space="preserve"> en blijven daarnaast van toepassing</w:t>
            </w:r>
            <w:r w:rsidRPr="009A3C61">
              <w:rPr>
                <w:bCs/>
              </w:rPr>
              <w:t>.</w:t>
            </w:r>
          </w:p>
          <w:p w:rsidRPr="009A3C61" w:rsidR="009A3C61" w:rsidP="009A3C61" w:rsidRDefault="009A3C61" w14:paraId="253D56A1" w14:textId="508C208C">
            <w:pPr>
              <w:pStyle w:val="Citaatalinea"/>
              <w:rPr>
                <w:bCs/>
              </w:rPr>
            </w:pPr>
            <w:r w:rsidRPr="009A3C61">
              <w:rPr>
                <w:bCs/>
              </w:rPr>
              <w:t>De CS</w:t>
            </w:r>
            <w:r>
              <w:rPr>
                <w:bCs/>
              </w:rPr>
              <w:t>D</w:t>
            </w:r>
            <w:r w:rsidRPr="009A3C61">
              <w:rPr>
                <w:bCs/>
              </w:rPr>
              <w:t>DD verplicht grote ondernemingen om risico's voor mensenrechten en milieu in hun waardeketens te identificeren, te voorkomen, te beperken en aan te pakken.</w:t>
            </w:r>
          </w:p>
          <w:p w:rsidRPr="009A3C61" w:rsidR="009A3C61" w:rsidP="009A3C61" w:rsidRDefault="009A3C61" w14:paraId="6CBAB392" w14:textId="4E2D2F50">
            <w:pPr>
              <w:pStyle w:val="Citaatalinea"/>
              <w:rPr>
                <w:bCs/>
              </w:rPr>
            </w:pPr>
            <w:r w:rsidRPr="009A3C61">
              <w:rPr>
                <w:bCs/>
              </w:rPr>
              <w:t>De CSDDD gaat verder dan de WZK doordat zij ziet op een breder scala aan mensenrechten en milieurisico's</w:t>
            </w:r>
            <w:r w:rsidR="00DF1E0A">
              <w:rPr>
                <w:bCs/>
              </w:rPr>
              <w:t>;</w:t>
            </w:r>
            <w:r w:rsidRPr="009A3C61">
              <w:rPr>
                <w:bCs/>
              </w:rPr>
              <w:t xml:space="preserve"> in de gehele Europese Unie </w:t>
            </w:r>
            <w:r w:rsidR="00DF1E0A">
              <w:rPr>
                <w:bCs/>
              </w:rPr>
              <w:t xml:space="preserve">(EU) </w:t>
            </w:r>
            <w:r w:rsidRPr="009A3C61">
              <w:rPr>
                <w:bCs/>
              </w:rPr>
              <w:t>geldt en een uitgebreider zorgvuldigheidsproces voorschrijft. De richtlijn geldt daarentegen alleen voor grote ondernemingen</w:t>
            </w:r>
            <w:r w:rsidR="001371D4">
              <w:rPr>
                <w:bCs/>
              </w:rPr>
              <w:t xml:space="preserve"> (meer dan 5000 werknemers)</w:t>
            </w:r>
            <w:r w:rsidRPr="009A3C61">
              <w:rPr>
                <w:bCs/>
              </w:rPr>
              <w:t xml:space="preserve"> en kent geen strafrechtelijke handhaving.</w:t>
            </w:r>
          </w:p>
          <w:p w:rsidRPr="009A3C61" w:rsidR="009A3C61" w:rsidP="009A3C61" w:rsidRDefault="009A3C61" w14:paraId="266DE242" w14:textId="4E892C0C">
            <w:pPr>
              <w:pStyle w:val="Citaatalinea"/>
              <w:rPr>
                <w:bCs/>
              </w:rPr>
            </w:pPr>
            <w:r w:rsidRPr="009A3C61">
              <w:rPr>
                <w:bCs/>
              </w:rPr>
              <w:t>De CSDDD laat ruimte voor nationale keuzes.</w:t>
            </w:r>
            <w:r w:rsidR="008648A3">
              <w:rPr>
                <w:bCs/>
              </w:rPr>
              <w:t xml:space="preserve"> De regering </w:t>
            </w:r>
            <w:r w:rsidR="004F1BE7">
              <w:rPr>
                <w:bCs/>
              </w:rPr>
              <w:t xml:space="preserve">benut deze ruimte niet </w:t>
            </w:r>
            <w:r w:rsidR="00F8639E">
              <w:rPr>
                <w:bCs/>
              </w:rPr>
              <w:t xml:space="preserve">in het conceptwetsvoorstel vanwege het uitgangspunt van </w:t>
            </w:r>
            <w:r w:rsidRPr="009A3C61">
              <w:rPr>
                <w:bCs/>
              </w:rPr>
              <w:t>zuivere en lastenluwe implementatie.</w:t>
            </w:r>
          </w:p>
          <w:p w:rsidRPr="009A3C61" w:rsidR="009A3C61" w:rsidP="009A3C61" w:rsidRDefault="009A3C61" w14:paraId="15B2416E" w14:textId="1C3E1D71">
            <w:pPr>
              <w:pStyle w:val="Citaatalinea"/>
              <w:rPr>
                <w:bCs/>
              </w:rPr>
            </w:pPr>
            <w:r w:rsidRPr="009A3C61">
              <w:rPr>
                <w:bCs/>
              </w:rPr>
              <w:t xml:space="preserve">De </w:t>
            </w:r>
            <w:r w:rsidR="006F1648">
              <w:rPr>
                <w:bCs/>
              </w:rPr>
              <w:t>A</w:t>
            </w:r>
            <w:r w:rsidRPr="009A3C61">
              <w:rPr>
                <w:bCs/>
              </w:rPr>
              <w:t>nti-dwangarbeidverordening bevat geen zorgvuldigheidsplicht voor ondernemingen, maar een productverbod. Producten die met dwangarbeid zijn vervaardigd mogen niet op de Europese markt worden gebracht of vanuit de Europese Unie worden uitgevoerd.</w:t>
            </w:r>
          </w:p>
          <w:p w:rsidRPr="00046974" w:rsidR="009A3C61" w:rsidP="00046974" w:rsidRDefault="009A3C61" w14:paraId="086B8A30" w14:textId="08B98DB7">
            <w:pPr>
              <w:pStyle w:val="Citaatalinea"/>
              <w:rPr>
                <w:bCs/>
              </w:rPr>
            </w:pPr>
            <w:r w:rsidRPr="009A3C61">
              <w:rPr>
                <w:bCs/>
              </w:rPr>
              <w:t xml:space="preserve">De </w:t>
            </w:r>
            <w:r w:rsidR="006F1648">
              <w:rPr>
                <w:bCs/>
              </w:rPr>
              <w:t>A</w:t>
            </w:r>
            <w:r w:rsidRPr="009A3C61">
              <w:rPr>
                <w:bCs/>
              </w:rPr>
              <w:t>nti-dwangarbeidverordening en de WZK hebben beide betrekking op kinderarbeid, maar grijpen op een ander niveau in. Waar de WZK ondernemingen verplicht risico's op kinderarbeid te onderzoeken en aan te pakken, verbiedt de verordening producten die met dwangarbeid zijn vervaardigd.</w:t>
            </w:r>
          </w:p>
          <w:p w:rsidRPr="000E419E" w:rsidR="00704DB9" w:rsidP="009A3C61" w:rsidRDefault="009A3C61" w14:paraId="24C5F509" w14:textId="6136075A">
            <w:pPr>
              <w:pStyle w:val="Citaatalinea"/>
              <w:rPr>
                <w:bCs/>
              </w:rPr>
            </w:pPr>
            <w:r w:rsidRPr="009A3C61">
              <w:rPr>
                <w:bCs/>
              </w:rPr>
              <w:t xml:space="preserve">De CSDDD en de </w:t>
            </w:r>
            <w:r w:rsidR="006F1648">
              <w:rPr>
                <w:bCs/>
              </w:rPr>
              <w:t>A</w:t>
            </w:r>
            <w:r w:rsidRPr="009A3C61">
              <w:rPr>
                <w:bCs/>
              </w:rPr>
              <w:t xml:space="preserve">nti-dwangarbeidverordening zijn bedoeld als complementaire instrumenten. De CSDDD verplicht ondernemingen risico's in hun waardeketens in kaart te brengen, terwijl de </w:t>
            </w:r>
            <w:r w:rsidR="006F1648">
              <w:rPr>
                <w:bCs/>
              </w:rPr>
              <w:t>A</w:t>
            </w:r>
            <w:r w:rsidRPr="009A3C61">
              <w:rPr>
                <w:bCs/>
              </w:rPr>
              <w:t>nti-dwangarbeidverordening de toegang van producten uit dwangarbeid tot de Europese markt beperkt.</w:t>
            </w:r>
          </w:p>
        </w:tc>
      </w:tr>
    </w:tbl>
    <w:p w:rsidR="0051643E" w:rsidP="0051643E" w:rsidRDefault="0051643E" w14:paraId="58577C99" w14:textId="38EDDBF8">
      <w:pPr>
        <w:rPr>
          <w:lang w:eastAsia="nl-NL"/>
        </w:rPr>
      </w:pPr>
    </w:p>
    <w:bookmarkStart w:name="_Toc235017973" w:id="2"/>
    <w:p w:rsidR="0051643E" w:rsidP="0051643E" w:rsidRDefault="00D43CC3" w14:paraId="2F53CFC0" w14:textId="6A668646">
      <w:pPr>
        <w:pStyle w:val="Kop1"/>
      </w:pPr>
      <w:sdt>
        <w:sdtPr>
          <w:id w:val="-1143648583"/>
          <w:placeholder>
            <w:docPart w:val="F4613055E48C46B69EC0172EC51602F3"/>
          </w:placeholder>
          <w:text/>
        </w:sdtPr>
        <w:sdtEndPr/>
        <w:sdtContent>
          <w:r w:rsidR="00780DE6">
            <w:t>Internationale richtlijnen vormen de basis voor maatschappelijk verantwoord ondernemen</w:t>
          </w:r>
        </w:sdtContent>
      </w:sdt>
      <w:bookmarkEnd w:id="2"/>
    </w:p>
    <w:p w:rsidRPr="00103D08" w:rsidR="00306674" w:rsidP="0051643E" w:rsidRDefault="00103D08" w14:paraId="155973E6" w14:textId="379B253C">
      <w:pPr>
        <w:rPr>
          <w:lang w:eastAsia="nl-NL"/>
        </w:rPr>
      </w:pPr>
      <w:r w:rsidRPr="00103D08">
        <w:rPr>
          <w:lang w:eastAsia="nl-NL"/>
        </w:rPr>
        <w:t xml:space="preserve">De </w:t>
      </w:r>
      <w:r w:rsidRPr="003D74E7">
        <w:rPr>
          <w:i/>
          <w:iCs/>
          <w:lang w:eastAsia="nl-NL"/>
        </w:rPr>
        <w:t>UN Guiding Principles on Business and Human Rights</w:t>
      </w:r>
      <w:r w:rsidRPr="00103D08">
        <w:rPr>
          <w:lang w:eastAsia="nl-NL"/>
        </w:rPr>
        <w:t xml:space="preserve"> (</w:t>
      </w:r>
      <w:hyperlink w:history="1" r:id="rId14">
        <w:r w:rsidRPr="005D0E71">
          <w:rPr>
            <w:rStyle w:val="Hyperlink"/>
            <w:lang w:eastAsia="nl-NL"/>
          </w:rPr>
          <w:t>UNGP</w:t>
        </w:r>
        <w:r w:rsidRPr="005D0E71" w:rsidR="003D74E7">
          <w:rPr>
            <w:rStyle w:val="Hyperlink"/>
            <w:lang w:eastAsia="nl-NL"/>
          </w:rPr>
          <w:t>’s</w:t>
        </w:r>
        <w:r w:rsidRPr="005D0E71">
          <w:rPr>
            <w:rStyle w:val="Hyperlink"/>
            <w:lang w:eastAsia="nl-NL"/>
          </w:rPr>
          <w:t>)</w:t>
        </w:r>
      </w:hyperlink>
      <w:r w:rsidRPr="00103D08">
        <w:rPr>
          <w:lang w:eastAsia="nl-NL"/>
        </w:rPr>
        <w:t xml:space="preserve"> en </w:t>
      </w:r>
      <w:r>
        <w:rPr>
          <w:lang w:eastAsia="nl-NL"/>
        </w:rPr>
        <w:t>d</w:t>
      </w:r>
      <w:r w:rsidR="009E1AFB">
        <w:rPr>
          <w:lang w:eastAsia="nl-NL"/>
        </w:rPr>
        <w:t xml:space="preserve">e </w:t>
      </w:r>
      <w:hyperlink w:history="1" r:id="rId15">
        <w:r w:rsidRPr="00ED3EF9" w:rsidR="009E1AFB">
          <w:rPr>
            <w:rStyle w:val="Hyperlink"/>
            <w:lang w:eastAsia="nl-NL"/>
          </w:rPr>
          <w:t>OESO-richtlijnen</w:t>
        </w:r>
      </w:hyperlink>
      <w:r w:rsidR="009E1AFB">
        <w:rPr>
          <w:lang w:eastAsia="nl-NL"/>
        </w:rPr>
        <w:t xml:space="preserve"> </w:t>
      </w:r>
      <w:r w:rsidR="008A3E68">
        <w:rPr>
          <w:lang w:eastAsia="nl-NL"/>
        </w:rPr>
        <w:t xml:space="preserve">voor multinationale ondernemingen </w:t>
      </w:r>
      <w:r w:rsidR="00677040">
        <w:rPr>
          <w:lang w:eastAsia="nl-NL"/>
        </w:rPr>
        <w:t>vormen het belangrijkste internationale kader voor maatschappelijk verantwoord ondernemen. Beide kaders bevatten</w:t>
      </w:r>
      <w:r w:rsidR="00E73EC5">
        <w:rPr>
          <w:lang w:eastAsia="nl-NL"/>
        </w:rPr>
        <w:t xml:space="preserve"> normen voor de verantwoordelijkheid van overheden en bedrijven om mensenrechten te beschermen en te respecteren. </w:t>
      </w:r>
    </w:p>
    <w:p w:rsidR="00306674" w:rsidP="0051643E" w:rsidRDefault="00306674" w14:paraId="17081F52" w14:textId="77777777">
      <w:pPr>
        <w:rPr>
          <w:lang w:eastAsia="nl-NL"/>
        </w:rPr>
      </w:pPr>
    </w:p>
    <w:p w:rsidR="00306674" w:rsidP="003322FA" w:rsidRDefault="003322FA" w14:paraId="5FC82DAE" w14:textId="63762EBD">
      <w:pPr>
        <w:pStyle w:val="Tussenkop"/>
        <w:rPr>
          <w:lang w:eastAsia="nl-NL"/>
        </w:rPr>
      </w:pPr>
      <w:r>
        <w:rPr>
          <w:lang w:eastAsia="nl-NL"/>
        </w:rPr>
        <w:t>UNGP</w:t>
      </w:r>
      <w:r w:rsidR="00C759CB">
        <w:rPr>
          <w:lang w:eastAsia="nl-NL"/>
        </w:rPr>
        <w:t>’</w:t>
      </w:r>
      <w:r>
        <w:rPr>
          <w:lang w:eastAsia="nl-NL"/>
        </w:rPr>
        <w:t xml:space="preserve">s </w:t>
      </w:r>
      <w:r w:rsidR="00C759CB">
        <w:rPr>
          <w:lang w:eastAsia="nl-NL"/>
        </w:rPr>
        <w:t xml:space="preserve">beschrijven de verantwoordelijkheden voor staten en bedrijven </w:t>
      </w:r>
    </w:p>
    <w:p w:rsidR="00306674" w:rsidP="001338FF" w:rsidRDefault="001338FF" w14:paraId="545FBD5F" w14:textId="2B31F201">
      <w:pPr>
        <w:rPr>
          <w:lang w:eastAsia="nl-NL"/>
        </w:rPr>
      </w:pPr>
      <w:r>
        <w:rPr>
          <w:lang w:eastAsia="nl-NL"/>
        </w:rPr>
        <w:t>De Verenigde Naties hebben de UNGP</w:t>
      </w:r>
      <w:r w:rsidR="006A5BD4">
        <w:rPr>
          <w:lang w:eastAsia="nl-NL"/>
        </w:rPr>
        <w:t>’</w:t>
      </w:r>
      <w:r>
        <w:rPr>
          <w:lang w:eastAsia="nl-NL"/>
        </w:rPr>
        <w:t>s opgesteld</w:t>
      </w:r>
      <w:r w:rsidR="006A5BD4">
        <w:rPr>
          <w:lang w:eastAsia="nl-NL"/>
        </w:rPr>
        <w:t xml:space="preserve"> in</w:t>
      </w:r>
      <w:r>
        <w:rPr>
          <w:lang w:eastAsia="nl-NL"/>
        </w:rPr>
        <w:t xml:space="preserve"> </w:t>
      </w:r>
      <w:r w:rsidR="00F10964">
        <w:rPr>
          <w:lang w:eastAsia="nl-NL"/>
        </w:rPr>
        <w:t xml:space="preserve">2011 </w:t>
      </w:r>
      <w:r>
        <w:rPr>
          <w:lang w:eastAsia="nl-NL"/>
        </w:rPr>
        <w:t>als een niet juridisch bindend kader voor de bescherming van mensenrechten in relatie tot bedrijfsactiviteiten. De UNGP’s rusten op drie pijlers.</w:t>
      </w:r>
      <w:r w:rsidR="00ED3EF9">
        <w:rPr>
          <w:lang w:eastAsia="nl-NL"/>
        </w:rPr>
        <w:t xml:space="preserve"> </w:t>
      </w:r>
      <w:r>
        <w:rPr>
          <w:lang w:eastAsia="nl-NL"/>
        </w:rPr>
        <w:t xml:space="preserve">De eerste pijler beschrijft de plicht van staten om mensenrechten te beschermen, onder meer tegen schendingen door derden, zoals </w:t>
      </w:r>
      <w:r>
        <w:rPr>
          <w:lang w:eastAsia="nl-NL"/>
        </w:rPr>
        <w:lastRenderedPageBreak/>
        <w:t>ondernemingen. De tweede pijler omschrijft de verantwoordelijkheid van ondernemingen om mensenrechten te respecteren. De derde pijler legt een gedeelde verantwoordelijkheid bij staten en ondernemingen om slachtoffers toegang te bieden tot herstel wanneer mensenrechten zijn geschonden.</w:t>
      </w:r>
      <w:r w:rsidR="00115334">
        <w:rPr>
          <w:lang w:eastAsia="nl-NL"/>
        </w:rPr>
        <w:t xml:space="preserve"> </w:t>
      </w:r>
      <w:r>
        <w:rPr>
          <w:lang w:eastAsia="nl-NL"/>
        </w:rPr>
        <w:t xml:space="preserve">De UNGP’s zijn niet juridisch bindend. Zij bouwen wel voort op bestaande internationale mensenrechtenverplichtingen van staten. Daarnaast verwijzen de UNGP’s naar beginselen uit de </w:t>
      </w:r>
      <w:r w:rsidRPr="00FC2C6B">
        <w:rPr>
          <w:i/>
          <w:iCs/>
          <w:lang w:eastAsia="nl-NL"/>
        </w:rPr>
        <w:t>Declaration on Fundamental Principles and Rights at Work</w:t>
      </w:r>
      <w:r>
        <w:rPr>
          <w:lang w:eastAsia="nl-NL"/>
        </w:rPr>
        <w:t xml:space="preserve"> van de Internationale Arbeidsorganisatie</w:t>
      </w:r>
      <w:r w:rsidR="00FC74B7">
        <w:rPr>
          <w:lang w:eastAsia="nl-NL"/>
        </w:rPr>
        <w:t xml:space="preserve"> (ILO)</w:t>
      </w:r>
      <w:r w:rsidR="00FC2C6B">
        <w:rPr>
          <w:lang w:eastAsia="nl-NL"/>
        </w:rPr>
        <w:t xml:space="preserve">. </w:t>
      </w:r>
    </w:p>
    <w:p w:rsidR="00306674" w:rsidP="003322FA" w:rsidRDefault="003322FA" w14:paraId="699934FC" w14:textId="4B54BD96">
      <w:pPr>
        <w:pStyle w:val="Tussenkop"/>
        <w:rPr>
          <w:lang w:eastAsia="nl-NL"/>
        </w:rPr>
      </w:pPr>
      <w:r>
        <w:rPr>
          <w:lang w:eastAsia="nl-NL"/>
        </w:rPr>
        <w:t>OESO-richtlijnen</w:t>
      </w:r>
      <w:r w:rsidR="00B34F93">
        <w:rPr>
          <w:lang w:eastAsia="nl-NL"/>
        </w:rPr>
        <w:t xml:space="preserve"> werken het due-diligence beginsel verder uit </w:t>
      </w:r>
    </w:p>
    <w:p w:rsidR="00700821" w:rsidP="0051643E" w:rsidRDefault="00907C47" w14:paraId="7D31AE75" w14:textId="773E25F7">
      <w:pPr>
        <w:rPr>
          <w:lang w:eastAsia="nl-NL"/>
        </w:rPr>
      </w:pPr>
      <w:r>
        <w:rPr>
          <w:lang w:eastAsia="nl-NL"/>
        </w:rPr>
        <w:t xml:space="preserve">De lidstaten van de Organisatie voor Economische Samenwerking en Ontwikkeling (OESO) hebben de OESO-richtlijnen in 1976 vastgesteld. Op grond van deze richtlijnen moeten bedrijven zich inspannen om na te gaan of zich mensenrechtenschendingen voordoen in hun productieketen en om eventuele misstanden aan te pakken. Dit uitgangspunt staat bekend als </w:t>
      </w:r>
      <w:r w:rsidR="00FC74B7">
        <w:rPr>
          <w:lang w:eastAsia="nl-NL"/>
        </w:rPr>
        <w:t>‘</w:t>
      </w:r>
      <w:r>
        <w:rPr>
          <w:lang w:eastAsia="nl-NL"/>
        </w:rPr>
        <w:t>due diligence</w:t>
      </w:r>
      <w:r w:rsidR="00FC74B7">
        <w:rPr>
          <w:lang w:eastAsia="nl-NL"/>
        </w:rPr>
        <w:t>’</w:t>
      </w:r>
      <w:r>
        <w:rPr>
          <w:lang w:eastAsia="nl-NL"/>
        </w:rPr>
        <w:t xml:space="preserve"> (gepaste zorgvuldigheid).</w:t>
      </w:r>
      <w:r w:rsidR="00D03F57">
        <w:rPr>
          <w:lang w:eastAsia="nl-NL"/>
        </w:rPr>
        <w:t xml:space="preserve"> </w:t>
      </w:r>
      <w:r w:rsidR="00541B82">
        <w:rPr>
          <w:lang w:eastAsia="nl-NL"/>
        </w:rPr>
        <w:t xml:space="preserve">De UNGP’s bieden het normatieve kader, en de OESO-richtlijnen werken het due-diligence beginsel </w:t>
      </w:r>
      <w:r w:rsidR="007F4DCD">
        <w:rPr>
          <w:lang w:eastAsia="nl-NL"/>
        </w:rPr>
        <w:t xml:space="preserve">vervolgens </w:t>
      </w:r>
      <w:r w:rsidR="00541B82">
        <w:rPr>
          <w:lang w:eastAsia="nl-NL"/>
        </w:rPr>
        <w:t xml:space="preserve">nader uit in een concreet zorgvuldigheidsproces. </w:t>
      </w:r>
      <w:r>
        <w:rPr>
          <w:lang w:eastAsia="nl-NL"/>
        </w:rPr>
        <w:t>De OESO-richtlijnen zijn niet juridisch bindend voor bedrijven. Het gaat om aanbevelingen van overheden aan ondernemingen. In Nederland stel</w:t>
      </w:r>
      <w:r w:rsidR="00D03F57">
        <w:rPr>
          <w:lang w:eastAsia="nl-NL"/>
        </w:rPr>
        <w:t>t de overheid</w:t>
      </w:r>
      <w:r>
        <w:rPr>
          <w:lang w:eastAsia="nl-NL"/>
        </w:rPr>
        <w:t xml:space="preserve"> het naleven van de OESO-richtlijnen </w:t>
      </w:r>
      <w:r w:rsidR="00D03F57">
        <w:rPr>
          <w:lang w:eastAsia="nl-NL"/>
        </w:rPr>
        <w:t xml:space="preserve">vaak </w:t>
      </w:r>
      <w:r>
        <w:rPr>
          <w:lang w:eastAsia="nl-NL"/>
        </w:rPr>
        <w:t>wel als voorwaarde voor bijvoorbeeld subsidieverlening.</w:t>
      </w:r>
    </w:p>
    <w:p w:rsidR="00AB2DBE" w:rsidP="00AB2DBE" w:rsidRDefault="00AB2DBE" w14:paraId="17D5F6B4" w14:textId="4469F9B6">
      <w:pPr>
        <w:pStyle w:val="Tussenkop"/>
        <w:rPr>
          <w:lang w:eastAsia="nl-NL"/>
        </w:rPr>
      </w:pPr>
      <w:r>
        <w:rPr>
          <w:lang w:eastAsia="nl-NL"/>
        </w:rPr>
        <w:t>Het Nationaal Contactpunt bevordert naleving van de OESO-richtlijnen</w:t>
      </w:r>
    </w:p>
    <w:p w:rsidR="00194D64" w:rsidP="0051643E" w:rsidRDefault="008A2855" w14:paraId="06A6448F" w14:textId="6DF3436B">
      <w:pPr>
        <w:rPr>
          <w:lang w:eastAsia="nl-NL"/>
        </w:rPr>
      </w:pPr>
      <w:r>
        <w:rPr>
          <w:lang w:eastAsia="nl-NL"/>
        </w:rPr>
        <w:t xml:space="preserve">Het Nationaal </w:t>
      </w:r>
      <w:r w:rsidR="00FB37B7">
        <w:rPr>
          <w:lang w:eastAsia="nl-NL"/>
        </w:rPr>
        <w:t>C</w:t>
      </w:r>
      <w:r>
        <w:rPr>
          <w:lang w:eastAsia="nl-NL"/>
        </w:rPr>
        <w:t>ontactpunt OESO-richtlijnen</w:t>
      </w:r>
      <w:r w:rsidR="00FB37B7">
        <w:rPr>
          <w:lang w:eastAsia="nl-NL"/>
        </w:rPr>
        <w:t xml:space="preserve"> (NCP)</w:t>
      </w:r>
      <w:r>
        <w:rPr>
          <w:lang w:eastAsia="nl-NL"/>
        </w:rPr>
        <w:t xml:space="preserve"> </w:t>
      </w:r>
      <w:r w:rsidR="00BF73FF">
        <w:rPr>
          <w:lang w:eastAsia="nl-NL"/>
        </w:rPr>
        <w:t xml:space="preserve">ondersteunt bedrijven in Nederland bij het in de praktijk brengen van de OESO-richtlijnen. </w:t>
      </w:r>
      <w:r w:rsidR="00FB37B7">
        <w:rPr>
          <w:lang w:eastAsia="nl-NL"/>
        </w:rPr>
        <w:t xml:space="preserve">Hoofdtaken van het NCP </w:t>
      </w:r>
      <w:r w:rsidR="0001793A">
        <w:rPr>
          <w:lang w:eastAsia="nl-NL"/>
        </w:rPr>
        <w:t xml:space="preserve">zijn </w:t>
      </w:r>
      <w:r w:rsidR="00AE3C98">
        <w:rPr>
          <w:lang w:eastAsia="nl-NL"/>
        </w:rPr>
        <w:t xml:space="preserve">1) bedrijven bekend maken met de OESO-richtlijnen en de toepassing ervan bevorderen en 2) </w:t>
      </w:r>
      <w:r w:rsidR="00423D59">
        <w:rPr>
          <w:lang w:eastAsia="nl-NL"/>
        </w:rPr>
        <w:t>behandelen van meldingen van personen, maatschappelijke organisaties en bedrijven die een meningsverschil hebben over de richtlijnen.</w:t>
      </w:r>
      <w:r w:rsidR="00F76C14">
        <w:rPr>
          <w:rStyle w:val="Voetnootmarkering"/>
          <w:lang w:eastAsia="nl-NL"/>
        </w:rPr>
        <w:footnoteReference w:id="1"/>
      </w:r>
      <w:r w:rsidR="000E53FD">
        <w:rPr>
          <w:lang w:eastAsia="nl-NL"/>
        </w:rPr>
        <w:t xml:space="preserve"> Het NCP </w:t>
      </w:r>
      <w:r w:rsidR="00E35BE2">
        <w:rPr>
          <w:lang w:eastAsia="nl-NL"/>
        </w:rPr>
        <w:t>kan geen boete</w:t>
      </w:r>
      <w:r w:rsidR="00FF6765">
        <w:rPr>
          <w:lang w:eastAsia="nl-NL"/>
        </w:rPr>
        <w:t>s, sancties of schadevergoeding opleggen</w:t>
      </w:r>
      <w:r w:rsidR="00E35BE2">
        <w:rPr>
          <w:lang w:eastAsia="nl-NL"/>
        </w:rPr>
        <w:t xml:space="preserve">. </w:t>
      </w:r>
    </w:p>
    <w:p w:rsidR="004024D3" w:rsidP="004C7085" w:rsidRDefault="004C7085" w14:paraId="7DCC6221" w14:textId="5D03ADF9">
      <w:pPr>
        <w:pStyle w:val="Tussenkop"/>
        <w:rPr>
          <w:lang w:eastAsia="nl-NL"/>
        </w:rPr>
      </w:pPr>
      <w:r>
        <w:rPr>
          <w:lang w:eastAsia="nl-NL"/>
        </w:rPr>
        <w:t xml:space="preserve">Nieuwe wetgeving bouwt voort op de UNGP’s en OESO-richtlijnen </w:t>
      </w:r>
    </w:p>
    <w:p w:rsidR="00452D91" w:rsidP="00452D91" w:rsidRDefault="00452D91" w14:paraId="02B83418" w14:textId="77777777">
      <w:pPr>
        <w:rPr>
          <w:lang w:eastAsia="nl-NL"/>
        </w:rPr>
      </w:pPr>
      <w:r>
        <w:rPr>
          <w:lang w:eastAsia="nl-NL"/>
        </w:rPr>
        <w:t>De UNGP’s en de OESO-richtlijnen zijn niet juridisch bindend. Daarom hebben nationale en Europese wetgevers de afgelopen jaren aanvullende regelgeving ontwikkeld.</w:t>
      </w:r>
    </w:p>
    <w:p w:rsidR="00A456A1" w:rsidP="0051643E" w:rsidRDefault="00452D91" w14:paraId="1FD60408" w14:textId="65ED3224">
      <w:pPr>
        <w:rPr>
          <w:lang w:eastAsia="nl-NL"/>
        </w:rPr>
      </w:pPr>
      <w:r>
        <w:rPr>
          <w:lang w:eastAsia="nl-NL"/>
        </w:rPr>
        <w:t xml:space="preserve">In Nederland betreft dit de Wet zorgplicht kinderarbeid (WZK). Op Europees niveau zijn daarnaast de CSDDD en de anti-dwangarbeidverordening vastgesteld. De UNGP’s en de OESO-richtlijnen vormen een belangrijk uitgangspunt voor deze regelgeving. De internationale richtlijnen blijven daarnaast zelfstandig van betekenis. Overheden en bedrijven moeten ook in de toekomst rekening houden met de normen die daaruit voortvloeien. </w:t>
      </w:r>
      <w:r w:rsidR="00AC25EC">
        <w:rPr>
          <w:lang w:eastAsia="nl-NL"/>
        </w:rPr>
        <w:t xml:space="preserve">Voor </w:t>
      </w:r>
      <w:r w:rsidR="009D28EA">
        <w:rPr>
          <w:lang w:eastAsia="nl-NL"/>
        </w:rPr>
        <w:t xml:space="preserve">een vergelijking van de OESO-richtlijnen met de CSDDD-regelgeving </w:t>
      </w:r>
      <w:r w:rsidR="00AC25EC">
        <w:rPr>
          <w:lang w:eastAsia="nl-NL"/>
        </w:rPr>
        <w:t xml:space="preserve">kan worden verwezen naar </w:t>
      </w:r>
      <w:r w:rsidR="009D28EA">
        <w:rPr>
          <w:lang w:eastAsia="nl-NL"/>
        </w:rPr>
        <w:t xml:space="preserve">het </w:t>
      </w:r>
      <w:hyperlink w:history="1" r:id="rId16">
        <w:r w:rsidRPr="008A3C33" w:rsidR="009D28EA">
          <w:rPr>
            <w:rStyle w:val="Hyperlink"/>
            <w:lang w:eastAsia="nl-NL"/>
          </w:rPr>
          <w:t>rapport</w:t>
        </w:r>
      </w:hyperlink>
      <w:r w:rsidR="009D28EA">
        <w:rPr>
          <w:lang w:eastAsia="nl-NL"/>
        </w:rPr>
        <w:t xml:space="preserve"> van OECD</w:t>
      </w:r>
      <w:r w:rsidR="008A3C33">
        <w:rPr>
          <w:lang w:eastAsia="nl-NL"/>
        </w:rPr>
        <w:t xml:space="preserve"> W</w:t>
      </w:r>
      <w:r w:rsidR="009D28EA">
        <w:rPr>
          <w:lang w:eastAsia="nl-NL"/>
        </w:rPr>
        <w:t xml:space="preserve">atch van </w:t>
      </w:r>
      <w:r w:rsidR="000B5873">
        <w:rPr>
          <w:lang w:eastAsia="nl-NL"/>
        </w:rPr>
        <w:t xml:space="preserve">maart 2026. </w:t>
      </w:r>
    </w:p>
    <w:p w:rsidRPr="00A06918" w:rsidR="00A06918" w:rsidP="00A06918" w:rsidRDefault="006452E0" w14:paraId="109DD8FF" w14:textId="346FCEC6">
      <w:pPr>
        <w:pStyle w:val="Kop1"/>
      </w:pPr>
      <w:bookmarkStart w:name="_Toc235017974" w:id="3"/>
      <w:r>
        <w:t>Juridisch kader</w:t>
      </w:r>
      <w:r w:rsidR="00A544B6">
        <w:t>:</w:t>
      </w:r>
      <w:r>
        <w:t xml:space="preserve"> </w:t>
      </w:r>
      <w:r w:rsidR="00BB15A8">
        <w:t xml:space="preserve">nieuwe </w:t>
      </w:r>
      <w:r w:rsidR="000A44E9">
        <w:t>regelgeving</w:t>
      </w:r>
      <w:bookmarkEnd w:id="3"/>
      <w:r w:rsidR="001A3979">
        <w:t xml:space="preserve"> voor internationaal verantwoord ondernemen</w:t>
      </w:r>
    </w:p>
    <w:p w:rsidR="006452E0" w:rsidP="00DC4231" w:rsidRDefault="00C134F9" w14:paraId="67DF3FF1" w14:textId="7C9C26BA">
      <w:pPr>
        <w:pStyle w:val="Kop2"/>
      </w:pPr>
      <w:bookmarkStart w:name="_Toc235017975" w:id="4"/>
      <w:r>
        <w:t>Wet zorgplicht kinderarbeid</w:t>
      </w:r>
      <w:bookmarkEnd w:id="4"/>
      <w:r>
        <w:t xml:space="preserve"> </w:t>
      </w:r>
    </w:p>
    <w:p w:rsidR="000F506D" w:rsidP="000F506D" w:rsidRDefault="00C30FAB" w14:paraId="3AE8408C" w14:textId="7A14D999">
      <w:pPr>
        <w:pStyle w:val="Tussenkop"/>
      </w:pPr>
      <w:r>
        <w:t>WZK</w:t>
      </w:r>
      <w:r w:rsidR="001A3979">
        <w:t xml:space="preserve"> is aangenomen maar nog niet in werking getreden</w:t>
      </w:r>
    </w:p>
    <w:p w:rsidR="001E3CF0" w:rsidP="000F506D" w:rsidRDefault="001E3CF0" w14:paraId="6DB89E67" w14:textId="4A8A6E0F">
      <w:r w:rsidRPr="001E3CF0">
        <w:lastRenderedPageBreak/>
        <w:t>De W</w:t>
      </w:r>
      <w:r w:rsidR="00C30FAB">
        <w:t xml:space="preserve">ZK </w:t>
      </w:r>
      <w:r w:rsidRPr="001E3CF0">
        <w:t xml:space="preserve">is op 7 februari 2017 aangenomen door de Tweede Kamer en op 14 mei 2019 door de Eerste Kamer. Het betreft een initiatiefwet van het voormalige lid Kuiken (PvdA). De regering heeft de wet nog niet in werking laten treden. Uit de </w:t>
      </w:r>
      <w:hyperlink w:history="1" r:id="rId17">
        <w:r w:rsidRPr="001E3CF0">
          <w:rPr>
            <w:rStyle w:val="Hyperlink"/>
          </w:rPr>
          <w:t>internetconsultatieversie</w:t>
        </w:r>
      </w:hyperlink>
      <w:r w:rsidRPr="001E3CF0">
        <w:t xml:space="preserve"> van de implementatiewet internationaal verantwoord ondernemen (de omzetting van de Europese CSDDD-richtlijn) blijkt dat de regering voornemens is de WZK in te trekken. Volgens de regering keren de belangrijkste onderdelen van de WZK terug in de CSDDD.</w:t>
      </w:r>
    </w:p>
    <w:p w:rsidR="009D4595" w:rsidP="009D4595" w:rsidRDefault="001A3979" w14:paraId="3FEC39C0" w14:textId="553EC32B">
      <w:pPr>
        <w:pStyle w:val="Tussenkop"/>
      </w:pPr>
      <w:r>
        <w:t>W</w:t>
      </w:r>
      <w:r w:rsidR="0082615F">
        <w:t>ZK verplicht ondernemingen kinderarbeid te onderzoek</w:t>
      </w:r>
      <w:r w:rsidR="00D902E1">
        <w:t>en en te voorkomen</w:t>
      </w:r>
    </w:p>
    <w:p w:rsidR="002453E1" w:rsidP="00EF1AD0" w:rsidRDefault="00EF1AD0" w14:paraId="36B5DE7B" w14:textId="10A499D0">
      <w:r>
        <w:t>De WZK (</w:t>
      </w:r>
      <w:hyperlink w:history="1" r:id="rId18">
        <w:r w:rsidRPr="00EF1AD0">
          <w:rPr>
            <w:rStyle w:val="Hyperlink"/>
          </w:rPr>
          <w:t>Stb. 2019, 401</w:t>
        </w:r>
      </w:hyperlink>
      <w:r>
        <w:t>) introduceert een zorgplicht om de levering van goederen en diensten die met behulp van kinderarbeid tot stand zijn gekomen te voorkomen.</w:t>
      </w:r>
      <w:r w:rsidR="002453E1">
        <w:t xml:space="preserve"> </w:t>
      </w:r>
      <w:r>
        <w:t>De wet verplicht ondernemingen die goederen of diensten verkopen in Nederland om gepaste zorgvuldigheid toe te passen. Ondernemingen moeten onderzoeken of er een redelijk vermoeden bestaat dat de goederen of diensten die zij leveren met behulp van kinderarbeid tot stand zijn gekomen. Als een dergelijk vermoeden bestaat, moeten zij een plan van aanpak opstellen en uitvoeren om kinderarbeid te voorkomen.</w:t>
      </w:r>
      <w:r w:rsidR="002453E1">
        <w:t xml:space="preserve"> </w:t>
      </w:r>
      <w:r>
        <w:t>Daarnaast verplicht de wet ondernemingen die goederen of diensten verkopen of leveren aan Nederlandse eindgebruikers om een verklaring af te geven. In deze verklaring bevestigen zij dat zij gepaste zorgvuldigheid betrachten om kinderarbeid te voorkomen.</w:t>
      </w:r>
      <w:r w:rsidR="00417B31">
        <w:t xml:space="preserve"> </w:t>
      </w:r>
      <w:r>
        <w:t>Ondernemingen moeten deze verklaring na inschrijving in het handelsregister aan de toezichthouder sturen.</w:t>
      </w:r>
      <w:r w:rsidR="002453E1">
        <w:t xml:space="preserve"> </w:t>
      </w:r>
    </w:p>
    <w:p w:rsidR="002453E1" w:rsidP="00570969" w:rsidRDefault="00462813" w14:paraId="737DF7C4" w14:textId="4E84F3D1">
      <w:pPr>
        <w:pStyle w:val="Tussenkop"/>
      </w:pPr>
      <w:r>
        <w:t>Lagere regelgeving noodzakelijk voor uitvoering van de WZK</w:t>
      </w:r>
    </w:p>
    <w:p w:rsidR="001E3CF0" w:rsidP="00EF1AD0" w:rsidRDefault="00EF1AD0" w14:paraId="4468D665" w14:textId="7A24DEA2">
      <w:r>
        <w:t>De wet laat een aantal onderdelen over aan lagere regelgeving. De regering moet bij algemene maatregel van bestuur onder meer een toezichthouder aanwijzen, nadere eisen stellen aan het onderzoek en het plan van aanpak, en bepalen voor welke categorieën ondernemingen een vrijstelling geldt.</w:t>
      </w:r>
      <w:r w:rsidR="009A58A5">
        <w:t xml:space="preserve"> Deze lagere regelgeving is tot op heden niet gepubliceerd. </w:t>
      </w:r>
    </w:p>
    <w:p w:rsidRPr="00A55FC2" w:rsidR="00A55FC2" w:rsidP="00A55FC2" w:rsidRDefault="00A55FC2" w14:paraId="2C76D552" w14:textId="77777777">
      <w:pPr>
        <w:rPr>
          <w:lang w:eastAsia="nl-NL"/>
        </w:rPr>
      </w:pPr>
    </w:p>
    <w:p w:rsidR="00C134F9" w:rsidP="00C134F9" w:rsidRDefault="001A600B" w14:paraId="0215FEA5" w14:textId="5858DCB9">
      <w:pPr>
        <w:pStyle w:val="Kop2"/>
      </w:pPr>
      <w:bookmarkStart w:name="_Toc235017976" w:id="5"/>
      <w:r>
        <w:t>CSDDD na Omnibus I</w:t>
      </w:r>
      <w:bookmarkEnd w:id="5"/>
    </w:p>
    <w:p w:rsidR="0021528A" w:rsidP="00A861F6" w:rsidRDefault="006175F4" w14:paraId="28503B8D" w14:textId="5D98AEC0">
      <w:pPr>
        <w:pStyle w:val="Tussenkop"/>
        <w:rPr>
          <w:lang w:eastAsia="nl-NL"/>
        </w:rPr>
      </w:pPr>
      <w:r>
        <w:rPr>
          <w:lang w:eastAsia="nl-NL"/>
        </w:rPr>
        <w:t xml:space="preserve">CSDDD moet uiterlijk </w:t>
      </w:r>
      <w:r w:rsidR="00CD20E2">
        <w:rPr>
          <w:lang w:eastAsia="nl-NL"/>
        </w:rPr>
        <w:t xml:space="preserve">in 2028 zijn omgezet in nationale wetgeving </w:t>
      </w:r>
    </w:p>
    <w:p w:rsidR="00CD20E2" w:rsidP="008479A7" w:rsidRDefault="008479A7" w14:paraId="6F16B7A6" w14:textId="02B167FD">
      <w:pPr>
        <w:rPr>
          <w:lang w:eastAsia="nl-NL"/>
        </w:rPr>
      </w:pPr>
      <w:r>
        <w:rPr>
          <w:lang w:eastAsia="nl-NL"/>
        </w:rPr>
        <w:t xml:space="preserve">De </w:t>
      </w:r>
      <w:hyperlink w:history="1" r:id="rId19">
        <w:r w:rsidRPr="00496D7A">
          <w:rPr>
            <w:rStyle w:val="Hyperlink"/>
            <w:i/>
            <w:iCs/>
            <w:lang w:eastAsia="nl-NL"/>
          </w:rPr>
          <w:t>Corporate Sustainability Due Diligence Directive</w:t>
        </w:r>
      </w:hyperlink>
      <w:r>
        <w:rPr>
          <w:lang w:eastAsia="nl-NL"/>
        </w:rPr>
        <w:t xml:space="preserve"> (CSDDD) is na wijziging door </w:t>
      </w:r>
      <w:r w:rsidR="008B6B4D">
        <w:rPr>
          <w:lang w:eastAsia="nl-NL"/>
        </w:rPr>
        <w:t>de</w:t>
      </w:r>
      <w:r>
        <w:rPr>
          <w:lang w:eastAsia="nl-NL"/>
        </w:rPr>
        <w:t xml:space="preserve"> Omnibus I-</w:t>
      </w:r>
      <w:r w:rsidR="008B6B4D">
        <w:rPr>
          <w:lang w:eastAsia="nl-NL"/>
        </w:rPr>
        <w:t>richtlijn</w:t>
      </w:r>
      <w:r>
        <w:rPr>
          <w:lang w:eastAsia="nl-NL"/>
        </w:rPr>
        <w:t xml:space="preserve"> op 18 maart 2026 in werking getreden. </w:t>
      </w:r>
      <w:r w:rsidR="008B6B4D">
        <w:rPr>
          <w:lang w:eastAsia="nl-NL"/>
        </w:rPr>
        <w:t xml:space="preserve">Doel van de Omnibus-I richtlijn </w:t>
      </w:r>
      <w:r w:rsidR="004B3961">
        <w:rPr>
          <w:lang w:eastAsia="nl-NL"/>
        </w:rPr>
        <w:t>is</w:t>
      </w:r>
      <w:r w:rsidR="008B6B4D">
        <w:rPr>
          <w:lang w:eastAsia="nl-NL"/>
        </w:rPr>
        <w:t xml:space="preserve"> </w:t>
      </w:r>
      <w:r w:rsidR="004B3961">
        <w:rPr>
          <w:lang w:eastAsia="nl-NL"/>
        </w:rPr>
        <w:t xml:space="preserve">om de CSDDD-regelgeving te vereenvoudigen en de regeldruk voor ondernemingen ten verminderen. </w:t>
      </w:r>
      <w:r>
        <w:rPr>
          <w:lang w:eastAsia="nl-NL"/>
        </w:rPr>
        <w:t>De lidstaten moeten de richtlijn uiterlijk op 26 juli 2028 omzetten in nationale wetgeving.</w:t>
      </w:r>
      <w:r w:rsidR="00AC271D">
        <w:rPr>
          <w:lang w:eastAsia="nl-NL"/>
        </w:rPr>
        <w:t xml:space="preserve"> </w:t>
      </w:r>
      <w:r>
        <w:rPr>
          <w:lang w:eastAsia="nl-NL"/>
        </w:rPr>
        <w:t xml:space="preserve">De regering bereidt hiervoor de Wet internationaal verantwoord ondernemen voor. Het conceptwetsvoorstel is van 3 juli 2026 tot en met 2 augustus 2026 ter </w:t>
      </w:r>
      <w:hyperlink w:history="1" r:id="rId20">
        <w:r w:rsidRPr="00D74B32">
          <w:rPr>
            <w:rStyle w:val="Hyperlink"/>
            <w:lang w:eastAsia="nl-NL"/>
          </w:rPr>
          <w:t>openbare internetconsultatie</w:t>
        </w:r>
      </w:hyperlink>
      <w:r>
        <w:rPr>
          <w:lang w:eastAsia="nl-NL"/>
        </w:rPr>
        <w:t xml:space="preserve"> aangeboden. </w:t>
      </w:r>
      <w:r w:rsidR="000B15E6">
        <w:rPr>
          <w:lang w:eastAsia="nl-NL"/>
        </w:rPr>
        <w:t xml:space="preserve">De </w:t>
      </w:r>
      <w:r>
        <w:rPr>
          <w:lang w:eastAsia="nl-NL"/>
        </w:rPr>
        <w:t>regering he</w:t>
      </w:r>
      <w:r w:rsidR="000B15E6">
        <w:rPr>
          <w:lang w:eastAsia="nl-NL"/>
        </w:rPr>
        <w:t xml:space="preserve">eft in de planningsbrief aangegeven </w:t>
      </w:r>
      <w:r w:rsidR="00A74489">
        <w:rPr>
          <w:lang w:eastAsia="nl-NL"/>
        </w:rPr>
        <w:t xml:space="preserve">het </w:t>
      </w:r>
      <w:r>
        <w:rPr>
          <w:lang w:eastAsia="nl-NL"/>
        </w:rPr>
        <w:t xml:space="preserve">wetsvoorstel </w:t>
      </w:r>
      <w:r w:rsidR="000B15E6">
        <w:rPr>
          <w:lang w:eastAsia="nl-NL"/>
        </w:rPr>
        <w:t xml:space="preserve">naar verwachting </w:t>
      </w:r>
      <w:r>
        <w:rPr>
          <w:lang w:eastAsia="nl-NL"/>
        </w:rPr>
        <w:t>in het tweede kwartaal van 2027 in</w:t>
      </w:r>
      <w:r w:rsidR="000B15E6">
        <w:rPr>
          <w:lang w:eastAsia="nl-NL"/>
        </w:rPr>
        <w:t xml:space="preserve"> te dienen</w:t>
      </w:r>
      <w:r>
        <w:rPr>
          <w:lang w:eastAsia="nl-NL"/>
        </w:rPr>
        <w:t xml:space="preserve"> bij de Tweede Kamer.</w:t>
      </w:r>
    </w:p>
    <w:p w:rsidR="00CD20E2" w:rsidP="00A861F6" w:rsidRDefault="00CD20E2" w14:paraId="1C055391" w14:textId="34A6A06E">
      <w:pPr>
        <w:rPr>
          <w:lang w:eastAsia="nl-NL"/>
        </w:rPr>
      </w:pPr>
    </w:p>
    <w:p w:rsidR="00CD20E2" w:rsidP="00F850B5" w:rsidRDefault="0083776E" w14:paraId="72154008" w14:textId="00837F41">
      <w:pPr>
        <w:pStyle w:val="Tussenkop"/>
        <w:rPr>
          <w:lang w:eastAsia="nl-NL"/>
        </w:rPr>
      </w:pPr>
      <w:r>
        <w:rPr>
          <w:lang w:eastAsia="nl-NL"/>
        </w:rPr>
        <w:t>CSDDD verplicht grote ondernemingen tot brede gepaste zorgvuldigheid</w:t>
      </w:r>
      <w:r w:rsidR="00A74489">
        <w:rPr>
          <w:lang w:eastAsia="nl-NL"/>
        </w:rPr>
        <w:t xml:space="preserve"> op het gebied van mensenrechten en milieu</w:t>
      </w:r>
    </w:p>
    <w:p w:rsidR="008808BA" w:rsidP="008139D0" w:rsidRDefault="00640E0D" w14:paraId="572CE3EE" w14:textId="3F8F98DF">
      <w:r w:rsidRPr="00F51BF8">
        <w:t>De</w:t>
      </w:r>
      <w:r>
        <w:rPr>
          <w:i/>
          <w:iCs/>
        </w:rPr>
        <w:t xml:space="preserve"> </w:t>
      </w:r>
      <w:r w:rsidRPr="00A229A6">
        <w:t>CSDDD</w:t>
      </w:r>
      <w:r>
        <w:t xml:space="preserve"> </w:t>
      </w:r>
      <w:r w:rsidRPr="00F51BF8">
        <w:t>moet ervoor zorgen dat grote ond</w:t>
      </w:r>
      <w:r>
        <w:t xml:space="preserve">ernemingen nadelige gevolgen op de mensenrechten en het milieu in hun waardeketens zoveel mogelijk voorkomen, beperken of beëindigen. </w:t>
      </w:r>
      <w:r w:rsidR="00012F88">
        <w:t xml:space="preserve">De richtlijn geldt voor ondernemingen </w:t>
      </w:r>
      <w:r w:rsidR="009A58A5">
        <w:t xml:space="preserve">die actief zijn op de Europese </w:t>
      </w:r>
      <w:r w:rsidR="009A58A5">
        <w:lastRenderedPageBreak/>
        <w:t>interne markt</w:t>
      </w:r>
      <w:r w:rsidR="00B10AEC">
        <w:t>,</w:t>
      </w:r>
      <w:r w:rsidR="009A58A5">
        <w:t xml:space="preserve"> </w:t>
      </w:r>
      <w:r w:rsidR="00012F88">
        <w:t>met meer dan 5000 werknemers en een netto-omzet van meer dan 1,5 miljard euro wereldwijd</w:t>
      </w:r>
      <w:r w:rsidR="00B10AEC">
        <w:t xml:space="preserve"> hebben</w:t>
      </w:r>
      <w:r w:rsidR="00012F88">
        <w:t xml:space="preserve">. </w:t>
      </w:r>
    </w:p>
    <w:p w:rsidR="00A41568" w:rsidP="00743ED4" w:rsidRDefault="00743ED4" w14:paraId="5C3C1DA6" w14:textId="00C27B0C">
      <w:pPr>
        <w:pStyle w:val="Tussenkop"/>
      </w:pPr>
      <w:r>
        <w:t xml:space="preserve">De richtlijn schrijft een stapsgewijs due diligence proces voor </w:t>
      </w:r>
    </w:p>
    <w:p w:rsidR="004A59EB" w:rsidP="007537DE" w:rsidRDefault="007537DE" w14:paraId="16956CDC" w14:textId="517A9306">
      <w:r w:rsidRPr="007537DE">
        <w:t>De CSDDD verplicht ondernemingen om gepaste zorgvuldigheid (</w:t>
      </w:r>
      <w:r w:rsidR="00FC74B7">
        <w:t>‘</w:t>
      </w:r>
      <w:r w:rsidRPr="007537DE">
        <w:t>due diligence</w:t>
      </w:r>
      <w:r w:rsidR="00FC74B7">
        <w:t>’</w:t>
      </w:r>
      <w:r w:rsidRPr="007537DE">
        <w:t>) toe te passen.</w:t>
      </w:r>
      <w:r w:rsidR="003519A2">
        <w:t xml:space="preserve"> </w:t>
      </w:r>
      <w:r w:rsidRPr="007537DE">
        <w:t>Allereerst moeten ondernemingen beleid voor internationaal maatschappelijk verantwoord ondernemen (IMVO) vaststellen en opnemen in hun management- en risicobeheerssystemen.</w:t>
      </w:r>
      <w:r w:rsidR="003519A2">
        <w:t xml:space="preserve"> </w:t>
      </w:r>
      <w:r w:rsidR="004A59EB">
        <w:t>Ten tweede</w:t>
      </w:r>
      <w:r w:rsidRPr="007537DE">
        <w:t xml:space="preserve"> moeten ondernemingen risico's in kaart brengen. Daartoe voeren zij een verkennend onderzoek uit naar hun eigen activiteiten, die van hun dochterondernemingen en die van relevante zakelijke partners. Op basis daarvan identificeren zij waar de potentiële of feitelijke negatieve gevolgen voor mensenrechten en milieu het meest waarschijnlijk en het ernstigst zijn.</w:t>
      </w:r>
      <w:r w:rsidR="003519A2">
        <w:t xml:space="preserve"> </w:t>
      </w:r>
      <w:r w:rsidR="004A59EB">
        <w:t>V</w:t>
      </w:r>
      <w:r w:rsidRPr="007537DE">
        <w:t xml:space="preserve">oor deze risicogebieden moeten ondernemingen </w:t>
      </w:r>
      <w:r w:rsidR="00623CD0">
        <w:t>vervolgens</w:t>
      </w:r>
      <w:r w:rsidR="00FA1667">
        <w:t xml:space="preserve"> </w:t>
      </w:r>
      <w:r w:rsidRPr="007537DE">
        <w:t>een diepgaande beoordeling uitvoeren. Wanneer zij niet alle negatieve gevolgen tegelijkertijd kunnen aanpakken, moeten zij prioriteiten stellen op basis van ernst en waarschijnlijkheid.</w:t>
      </w:r>
      <w:r w:rsidR="004A59EB">
        <w:t xml:space="preserve"> </w:t>
      </w:r>
      <w:r w:rsidRPr="007537DE">
        <w:t>Na het identificeren van potentiële negatieve gevolgen moeten ondernemingen passende maatregelen nemen om deze te voorkomen of te beperken. Daarnaast moeten zij feitelijke negatieve gevolgen beëindigen. In het uiterste geval kan een onderneming besluiten de relatie met een zakelijke partner op te schorten of te beëindigen.</w:t>
      </w:r>
      <w:r w:rsidR="004A59EB">
        <w:t xml:space="preserve"> </w:t>
      </w:r>
      <w:r w:rsidRPr="007537DE">
        <w:t>Tot slot moeten ondernemingen hun due-diligencebeleid ten minste eenmaal per vijf jaar monitoren. Ook moeten zij jaarlijks openbaar communiceren over de uitvoering van hun gepaste zorgvuldigheid.</w:t>
      </w:r>
    </w:p>
    <w:p w:rsidR="00A26D3D" w:rsidP="007537DE" w:rsidRDefault="00A26D3D" w14:paraId="685F03D7" w14:textId="6F09A1AE"/>
    <w:p w:rsidRPr="007537DE" w:rsidR="00751F1E" w:rsidP="007537DE" w:rsidRDefault="00BB72AC" w14:paraId="3446D98C" w14:textId="51B4A41F">
      <w:r>
        <w:rPr>
          <w:noProof/>
        </w:rPr>
        <w:drawing>
          <wp:anchor distT="0" distB="0" distL="114300" distR="114300" simplePos="0" relativeHeight="251656704" behindDoc="0" locked="0" layoutInCell="1" allowOverlap="1" wp14:editId="735DC543" wp14:anchorId="1A09094A">
            <wp:simplePos x="0" y="0"/>
            <wp:positionH relativeFrom="column">
              <wp:posOffset>-3175</wp:posOffset>
            </wp:positionH>
            <wp:positionV relativeFrom="paragraph">
              <wp:posOffset>0</wp:posOffset>
            </wp:positionV>
            <wp:extent cx="5219700" cy="2800350"/>
            <wp:effectExtent l="0" t="0" r="0" b="0"/>
            <wp:wrapThrough wrapText="bothSides">
              <wp:wrapPolygon edited="0">
                <wp:start x="0" y="0"/>
                <wp:lineTo x="0" y="21453"/>
                <wp:lineTo x="21521" y="21453"/>
                <wp:lineTo x="21521" y="0"/>
                <wp:lineTo x="0" y="0"/>
              </wp:wrapPolygon>
            </wp:wrapThrough>
            <wp:docPr id="1661570606"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0606" name="Afbeelding 1661570606"/>
                    <pic:cNvPicPr/>
                  </pic:nvPicPr>
                  <pic:blipFill rotWithShape="1">
                    <a:blip r:embed="rId21"/>
                    <a:srcRect t="6570" b="12956"/>
                    <a:stretch>
                      <a:fillRect/>
                    </a:stretch>
                  </pic:blipFill>
                  <pic:spPr bwMode="auto">
                    <a:xfrm>
                      <a:off x="0" y="0"/>
                      <a:ext cx="5219700" cy="2800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A26F9" w:rsidP="00B649D6" w:rsidRDefault="00FA26F9" w14:paraId="04FD1363" w14:textId="77777777">
      <w:pPr>
        <w:pStyle w:val="Tussenkop"/>
      </w:pPr>
    </w:p>
    <w:p w:rsidR="00FA26F9" w:rsidP="00B649D6" w:rsidRDefault="00FA26F9" w14:paraId="7BBBF35D" w14:textId="77777777">
      <w:pPr>
        <w:pStyle w:val="Tussenkop"/>
      </w:pPr>
    </w:p>
    <w:p w:rsidRPr="00B649D6" w:rsidR="007537DE" w:rsidP="00B649D6" w:rsidRDefault="00B649D6" w14:paraId="1FFFBD32" w14:textId="7BDD8172">
      <w:pPr>
        <w:pStyle w:val="Tussenkop"/>
      </w:pPr>
      <w:r>
        <w:t>Klimaat blijft onderdeel van het zorgvuldigheidsproces</w:t>
      </w:r>
      <w:r w:rsidR="00AE26A1">
        <w:t>, maar</w:t>
      </w:r>
      <w:r w:rsidR="00763B31">
        <w:t xml:space="preserve"> </w:t>
      </w:r>
      <w:r w:rsidR="00AE26A1">
        <w:t>klimaattransitieplan</w:t>
      </w:r>
      <w:r w:rsidR="00763B31">
        <w:t xml:space="preserve"> niet meer vereist</w:t>
      </w:r>
    </w:p>
    <w:p w:rsidR="007537DE" w:rsidP="00EF3BC3" w:rsidRDefault="00EF3BC3" w14:paraId="626333C2" w14:textId="2964AD75">
      <w:r>
        <w:t>Een deel van de negatieve gevolgen die onder de richtlijn vallen, heeft direct of indirect betrekking op het klimaat. Ondernemingen moeten deze gevolgen daarom betrekken bij hun zorgvuldigheidsproces.</w:t>
      </w:r>
      <w:r w:rsidR="007B16EB">
        <w:t xml:space="preserve"> </w:t>
      </w:r>
      <w:r>
        <w:t xml:space="preserve">Vóór de wijziging door </w:t>
      </w:r>
      <w:r w:rsidR="007B16EB">
        <w:t>de Omnibus-I richtlijn</w:t>
      </w:r>
      <w:r>
        <w:t xml:space="preserve"> bevatte de CSDDD daarnaast een afzonderlijke verplichting om een klimaattransitieplan vast te </w:t>
      </w:r>
      <w:r>
        <w:lastRenderedPageBreak/>
        <w:t>stellen.</w:t>
      </w:r>
      <w:r>
        <w:rPr>
          <w:rStyle w:val="Voetnootmarkering"/>
        </w:rPr>
        <w:footnoteReference w:id="2"/>
      </w:r>
      <w:r>
        <w:t xml:space="preserve"> Deze verplichting is vervallen. Dat neemt niet weg dat ondernemingen klimaatgerelateerde risico's en negatieve gevolgen nog steeds moeten meenemen in hun due-diligenceproces</w:t>
      </w:r>
      <w:r w:rsidR="007B16EB">
        <w:t>.</w:t>
      </w:r>
    </w:p>
    <w:p w:rsidR="00115B19" w:rsidP="00D3705C" w:rsidRDefault="00115B19" w14:paraId="1CF80F85" w14:textId="77777777"/>
    <w:tbl>
      <w:tblPr>
        <w:tblStyle w:val="Tabelraster"/>
        <w:tblW w:w="82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DAECF0" w:themeFill="accent2" w:themeFillTint="33"/>
        <w:tblLayout w:type="fixed"/>
        <w:tblCellMar>
          <w:top w:w="142" w:type="dxa"/>
          <w:left w:w="284" w:type="dxa"/>
          <w:bottom w:w="142" w:type="dxa"/>
          <w:right w:w="284" w:type="dxa"/>
        </w:tblCellMar>
        <w:tblLook w:val="04A0" w:firstRow="1" w:lastRow="0" w:firstColumn="1" w:lastColumn="0" w:noHBand="0" w:noVBand="1"/>
        <w:tblCaption w:val="Citaat"/>
        <w:tblDescription w:val="Tabel met lichtblauwe achtergrond - tekst vraagt aandacht."/>
      </w:tblPr>
      <w:tblGrid>
        <w:gridCol w:w="8222"/>
      </w:tblGrid>
      <w:tr w:rsidRPr="000E419E" w:rsidR="00115B19" w:rsidTr="00F84E99" w14:paraId="557CF00E" w14:textId="77777777">
        <w:tc>
          <w:tcPr>
            <w:tcW w:w="8222" w:type="dxa"/>
            <w:shd w:val="clear" w:color="auto" w:fill="DAECF0" w:themeFill="accent2" w:themeFillTint="33"/>
          </w:tcPr>
          <w:p w:rsidR="00492031" w:rsidP="00115B19" w:rsidRDefault="00492031" w14:paraId="403C2694" w14:textId="46F7D782">
            <w:pPr>
              <w:pStyle w:val="Citaatkop"/>
            </w:pPr>
            <w:r>
              <w:t>De regering benut de nationale beleidsruimte</w:t>
            </w:r>
            <w:r w:rsidR="0035765E">
              <w:t xml:space="preserve"> vooralsnog</w:t>
            </w:r>
            <w:r>
              <w:t xml:space="preserve"> niet </w:t>
            </w:r>
          </w:p>
          <w:p w:rsidRPr="00F2027D" w:rsidR="00F2027D" w:rsidP="00F2027D" w:rsidRDefault="00F2027D" w14:paraId="18C228CE" w14:textId="77777777">
            <w:pPr>
              <w:pStyle w:val="Citaatkop"/>
              <w:rPr>
                <w:b w:val="0"/>
                <w:bCs/>
              </w:rPr>
            </w:pPr>
            <w:r w:rsidRPr="00F2027D">
              <w:rPr>
                <w:b w:val="0"/>
                <w:bCs/>
              </w:rPr>
              <w:t>Onder nationale beleidsruimte wordt verstaan de ruimte die lidstaten hebben om Europese regelgeving naar eigen inzicht om te zetten in nationale wetgeving.</w:t>
            </w:r>
          </w:p>
          <w:p w:rsidR="00F2027D" w:rsidP="00F2027D" w:rsidRDefault="00F2027D" w14:paraId="1840AB8E" w14:textId="77777777">
            <w:pPr>
              <w:pStyle w:val="Citaatkop"/>
              <w:rPr>
                <w:b w:val="0"/>
                <w:bCs/>
              </w:rPr>
            </w:pPr>
          </w:p>
          <w:p w:rsidR="00406267" w:rsidP="00F2027D" w:rsidRDefault="00F2027D" w14:paraId="75459627" w14:textId="4C7CD9FE">
            <w:pPr>
              <w:pStyle w:val="Citaatkop"/>
              <w:rPr>
                <w:b w:val="0"/>
                <w:bCs/>
              </w:rPr>
            </w:pPr>
            <w:r w:rsidRPr="00F2027D">
              <w:rPr>
                <w:b w:val="0"/>
                <w:bCs/>
              </w:rPr>
              <w:t xml:space="preserve">De CSDDD beperkt deze ruimte op onderdelen. Artikel 4 van de richtlijn bepaalt dat lidstaten niet mogen afwijken </w:t>
            </w:r>
            <w:r w:rsidR="006D3D97">
              <w:rPr>
                <w:b w:val="0"/>
                <w:bCs/>
              </w:rPr>
              <w:t>van de volgende bepalingen: uitvoering op groepsniveau (artikel 6), identificatie en beoordeling van risico’s (artikel 8), prioritering van risico’s (artikel 9), preventie</w:t>
            </w:r>
            <w:r w:rsidR="00A43C55">
              <w:rPr>
                <w:b w:val="0"/>
                <w:bCs/>
              </w:rPr>
              <w:t xml:space="preserve">maatregelen </w:t>
            </w:r>
            <w:r w:rsidR="006D3D97">
              <w:rPr>
                <w:b w:val="0"/>
                <w:bCs/>
              </w:rPr>
              <w:t>(</w:t>
            </w:r>
            <w:r w:rsidR="00D61B34">
              <w:rPr>
                <w:b w:val="0"/>
                <w:bCs/>
              </w:rPr>
              <w:t>artikel 10, leden 1 tot en met 5), aanpak van feitelijke negatieve effecten (artikel 11, leden 1</w:t>
            </w:r>
            <w:r w:rsidR="00E30B59">
              <w:rPr>
                <w:b w:val="0"/>
                <w:bCs/>
              </w:rPr>
              <w:t xml:space="preserve"> tot en met 6), meld- en klacht mechanisme (artikel 14), monitoring (artikel 15) en rapportage over due-dilligence</w:t>
            </w:r>
            <w:r w:rsidR="00F93E81">
              <w:rPr>
                <w:b w:val="0"/>
                <w:bCs/>
              </w:rPr>
              <w:t xml:space="preserve"> (artikel 16). </w:t>
            </w:r>
            <w:r>
              <w:rPr>
                <w:b w:val="0"/>
                <w:bCs/>
              </w:rPr>
              <w:t xml:space="preserve">Dit wordt ook wel maximale harmonisatie genoemd. </w:t>
            </w:r>
          </w:p>
          <w:p w:rsidR="00406267" w:rsidP="00F2027D" w:rsidRDefault="00406267" w14:paraId="1958F85D" w14:textId="77777777">
            <w:pPr>
              <w:pStyle w:val="Citaatkop"/>
              <w:rPr>
                <w:b w:val="0"/>
                <w:bCs/>
              </w:rPr>
            </w:pPr>
          </w:p>
          <w:p w:rsidRPr="00F2027D" w:rsidR="00F2027D" w:rsidP="00F2027D" w:rsidRDefault="00F2027D" w14:paraId="15412D52" w14:textId="621CCA07">
            <w:pPr>
              <w:pStyle w:val="Citaatkop"/>
              <w:rPr>
                <w:b w:val="0"/>
                <w:bCs/>
              </w:rPr>
            </w:pPr>
            <w:r w:rsidRPr="00F2027D">
              <w:rPr>
                <w:b w:val="0"/>
                <w:bCs/>
              </w:rPr>
              <w:t xml:space="preserve">Voor </w:t>
            </w:r>
            <w:r w:rsidR="0047561E">
              <w:rPr>
                <w:b w:val="0"/>
                <w:bCs/>
              </w:rPr>
              <w:t xml:space="preserve">alle </w:t>
            </w:r>
            <w:r w:rsidRPr="00F2027D">
              <w:rPr>
                <w:b w:val="0"/>
                <w:bCs/>
              </w:rPr>
              <w:t>andere onderdelen van de richtlijn mogen lidstaten wel strengere bepalingen opnemen of bepalingen vaststellen die de doelstellingen van de richtlijn nader invullen.</w:t>
            </w:r>
            <w:r w:rsidR="00786536">
              <w:rPr>
                <w:b w:val="0"/>
                <w:bCs/>
              </w:rPr>
              <w:t xml:space="preserve"> </w:t>
            </w:r>
            <w:r w:rsidR="00ED7FC0">
              <w:rPr>
                <w:b w:val="0"/>
                <w:bCs/>
              </w:rPr>
              <w:t xml:space="preserve">Dit wordt expliciet </w:t>
            </w:r>
            <w:r w:rsidR="00DD2E6D">
              <w:rPr>
                <w:b w:val="0"/>
                <w:bCs/>
              </w:rPr>
              <w:t xml:space="preserve">duidelijk gemaakt in het tweede lid van artikel 4. </w:t>
            </w:r>
            <w:r w:rsidR="00786536">
              <w:rPr>
                <w:b w:val="0"/>
                <w:bCs/>
              </w:rPr>
              <w:t xml:space="preserve">Deze </w:t>
            </w:r>
            <w:r w:rsidR="00ED7FC0">
              <w:rPr>
                <w:b w:val="0"/>
                <w:bCs/>
              </w:rPr>
              <w:t>beleids</w:t>
            </w:r>
            <w:r w:rsidR="00786536">
              <w:rPr>
                <w:b w:val="0"/>
                <w:bCs/>
              </w:rPr>
              <w:t xml:space="preserve">ruimte ziet onder </w:t>
            </w:r>
            <w:r w:rsidR="00ED7FC0">
              <w:rPr>
                <w:b w:val="0"/>
                <w:bCs/>
              </w:rPr>
              <w:t xml:space="preserve">meer </w:t>
            </w:r>
            <w:r w:rsidR="00786536">
              <w:rPr>
                <w:b w:val="0"/>
                <w:bCs/>
              </w:rPr>
              <w:t>op de reikwijdt</w:t>
            </w:r>
            <w:r w:rsidR="00F00A44">
              <w:rPr>
                <w:b w:val="0"/>
                <w:bCs/>
              </w:rPr>
              <w:t>e (artikel</w:t>
            </w:r>
            <w:r w:rsidR="00D67FDB">
              <w:rPr>
                <w:b w:val="0"/>
                <w:bCs/>
              </w:rPr>
              <w:t xml:space="preserve"> 2), </w:t>
            </w:r>
            <w:r w:rsidR="00BF79D6">
              <w:rPr>
                <w:b w:val="0"/>
                <w:bCs/>
              </w:rPr>
              <w:t>integratie beleid passende zorgvuldigheid (artikel 5)</w:t>
            </w:r>
            <w:r w:rsidR="00F00A44">
              <w:rPr>
                <w:b w:val="0"/>
                <w:bCs/>
              </w:rPr>
              <w:t>, preventie</w:t>
            </w:r>
            <w:r w:rsidR="006A77F6">
              <w:rPr>
                <w:b w:val="0"/>
                <w:bCs/>
              </w:rPr>
              <w:t>verplichting</w:t>
            </w:r>
            <w:r w:rsidR="00BF79D6">
              <w:rPr>
                <w:b w:val="0"/>
                <w:bCs/>
              </w:rPr>
              <w:t xml:space="preserve"> (artikel 7)</w:t>
            </w:r>
            <w:r w:rsidR="008B16BB">
              <w:rPr>
                <w:b w:val="0"/>
                <w:bCs/>
              </w:rPr>
              <w:t xml:space="preserve">, </w:t>
            </w:r>
            <w:r w:rsidR="00F00A44">
              <w:rPr>
                <w:b w:val="0"/>
                <w:bCs/>
              </w:rPr>
              <w:t>herstel (artikel 12)</w:t>
            </w:r>
            <w:r w:rsidR="00FA7809">
              <w:rPr>
                <w:b w:val="0"/>
                <w:bCs/>
              </w:rPr>
              <w:t xml:space="preserve">, stakeholderbetrokkenheid (artikel 13), handhaving en toezicht (artikelen 24 -28) en civiele aansprakelijkheid </w:t>
            </w:r>
            <w:r w:rsidR="00ED7FC0">
              <w:rPr>
                <w:b w:val="0"/>
                <w:bCs/>
              </w:rPr>
              <w:t xml:space="preserve">(artikel 29). </w:t>
            </w:r>
          </w:p>
          <w:p w:rsidR="004411B4" w:rsidP="00F2027D" w:rsidRDefault="004411B4" w14:paraId="4D07224B" w14:textId="77777777">
            <w:pPr>
              <w:pStyle w:val="Citaatkop"/>
              <w:rPr>
                <w:b w:val="0"/>
                <w:bCs/>
              </w:rPr>
            </w:pPr>
          </w:p>
          <w:p w:rsidRPr="001A184E" w:rsidR="00115B19" w:rsidP="001A184E" w:rsidRDefault="00F2027D" w14:paraId="646017C6" w14:textId="3948C586">
            <w:pPr>
              <w:pStyle w:val="Citaatkop"/>
              <w:rPr>
                <w:b w:val="0"/>
                <w:bCs/>
              </w:rPr>
            </w:pPr>
            <w:r w:rsidRPr="00F2027D">
              <w:rPr>
                <w:b w:val="0"/>
                <w:bCs/>
              </w:rPr>
              <w:t>De regering geeft in het conceptwetsvoorstel Wet internationaal verantwoord ondernemen aan geen gebruik te maken van deze beleidsruimte</w:t>
            </w:r>
            <w:r w:rsidR="007E2AC7">
              <w:rPr>
                <w:b w:val="0"/>
                <w:bCs/>
              </w:rPr>
              <w:t xml:space="preserve"> vanwege het uitgangspunt van zuivere en lastenluwe implementatie. </w:t>
            </w:r>
            <w:r w:rsidR="001A184E">
              <w:rPr>
                <w:b w:val="0"/>
                <w:bCs/>
              </w:rPr>
              <w:t>‘</w:t>
            </w:r>
            <w:r w:rsidRPr="0037223C" w:rsidR="0037223C">
              <w:rPr>
                <w:b w:val="0"/>
              </w:rPr>
              <w:t>Zuivere implementatie’ houdt in dat bij omzetting geen andere regels worden meegenomen dan strikt noodzakelijk. ‘Lastenluwe implementatie’ houdt in dat er wordt gekozen voor een implementatie die de minste lasten oplegt aan de door de regeling geraakte bedrijven.</w:t>
            </w:r>
          </w:p>
        </w:tc>
      </w:tr>
    </w:tbl>
    <w:p w:rsidR="000F506D" w:rsidP="000F506D" w:rsidRDefault="000F506D" w14:paraId="4D646F4C" w14:textId="77777777">
      <w:pPr>
        <w:rPr>
          <w:lang w:eastAsia="nl-NL"/>
        </w:rPr>
      </w:pPr>
    </w:p>
    <w:p w:rsidRPr="000F506D" w:rsidR="00213359" w:rsidP="000F506D" w:rsidRDefault="00213359" w14:paraId="0B4D67B1" w14:textId="77777777">
      <w:pPr>
        <w:rPr>
          <w:lang w:eastAsia="nl-NL"/>
        </w:rPr>
      </w:pPr>
    </w:p>
    <w:p w:rsidR="00607036" w:rsidP="00A861F6" w:rsidRDefault="001A600B" w14:paraId="7C04DAEA" w14:textId="2E8679C6">
      <w:pPr>
        <w:pStyle w:val="Kop2"/>
      </w:pPr>
      <w:bookmarkStart w:name="_Toc235017977" w:id="6"/>
      <w:r>
        <w:t>Anti-dwangarbeidverordening</w:t>
      </w:r>
      <w:bookmarkEnd w:id="6"/>
      <w:r>
        <w:t xml:space="preserve"> </w:t>
      </w:r>
    </w:p>
    <w:p w:rsidR="00A861F6" w:rsidP="00A861F6" w:rsidRDefault="000B2FB7" w14:paraId="25347667" w14:textId="181BC297">
      <w:pPr>
        <w:pStyle w:val="Tussenkop"/>
        <w:rPr>
          <w:lang w:eastAsia="nl-NL"/>
        </w:rPr>
      </w:pPr>
      <w:r>
        <w:rPr>
          <w:lang w:eastAsia="nl-NL"/>
        </w:rPr>
        <w:t xml:space="preserve">De verordening is rechtstreeks </w:t>
      </w:r>
      <w:r w:rsidR="006E599B">
        <w:rPr>
          <w:lang w:eastAsia="nl-NL"/>
        </w:rPr>
        <w:t>van toepassing</w:t>
      </w:r>
      <w:r>
        <w:rPr>
          <w:lang w:eastAsia="nl-NL"/>
        </w:rPr>
        <w:t>, maar v</w:t>
      </w:r>
      <w:r w:rsidR="00044F26">
        <w:rPr>
          <w:lang w:eastAsia="nl-NL"/>
        </w:rPr>
        <w:t xml:space="preserve">raagt nationale uitvoering </w:t>
      </w:r>
    </w:p>
    <w:p w:rsidR="007E509F" w:rsidP="007E509F" w:rsidRDefault="007E509F" w14:paraId="76814483" w14:textId="1DD4D6A2">
      <w:pPr>
        <w:rPr>
          <w:lang w:eastAsia="nl-NL"/>
        </w:rPr>
      </w:pPr>
      <w:r>
        <w:rPr>
          <w:lang w:eastAsia="nl-NL"/>
        </w:rPr>
        <w:t xml:space="preserve">De </w:t>
      </w:r>
      <w:hyperlink w:history="1" r:id="rId22">
        <w:r w:rsidRPr="00CC390D" w:rsidR="0043686B">
          <w:rPr>
            <w:rStyle w:val="Hyperlink"/>
            <w:lang w:eastAsia="nl-NL"/>
          </w:rPr>
          <w:t>A</w:t>
        </w:r>
        <w:r w:rsidRPr="00CC390D">
          <w:rPr>
            <w:rStyle w:val="Hyperlink"/>
            <w:lang w:eastAsia="nl-NL"/>
          </w:rPr>
          <w:t>nti-dwangarbeidverordening</w:t>
        </w:r>
      </w:hyperlink>
      <w:r>
        <w:rPr>
          <w:lang w:eastAsia="nl-NL"/>
        </w:rPr>
        <w:t xml:space="preserve"> is op 13 december 2024 in werking getreden. De verordening is vanaf 14 december 2027 van toepassing op alle marktdeelnemers in de Europese Unie. Omdat het een verordening betreft, is zij rechtstreeks </w:t>
      </w:r>
      <w:r w:rsidR="006E599B">
        <w:rPr>
          <w:lang w:eastAsia="nl-NL"/>
        </w:rPr>
        <w:t xml:space="preserve">van toepassing </w:t>
      </w:r>
      <w:r>
        <w:rPr>
          <w:lang w:eastAsia="nl-NL"/>
        </w:rPr>
        <w:t xml:space="preserve">in </w:t>
      </w:r>
      <w:r w:rsidR="006E599B">
        <w:rPr>
          <w:lang w:eastAsia="nl-NL"/>
        </w:rPr>
        <w:t>de lidstaten</w:t>
      </w:r>
      <w:r>
        <w:rPr>
          <w:lang w:eastAsia="nl-NL"/>
        </w:rPr>
        <w:t>.</w:t>
      </w:r>
      <w:r w:rsidR="00B94BB6">
        <w:rPr>
          <w:lang w:eastAsia="nl-NL"/>
        </w:rPr>
        <w:t xml:space="preserve"> </w:t>
      </w:r>
      <w:r>
        <w:rPr>
          <w:lang w:eastAsia="nl-NL"/>
        </w:rPr>
        <w:t xml:space="preserve">Wel is nationale uitvoeringswetgeving nodig om de verordening effectief toe te passen. Zo moet onder meer een nationale toezichthouder worden aangewezen. De </w:t>
      </w:r>
      <w:r>
        <w:rPr>
          <w:lang w:eastAsia="nl-NL"/>
        </w:rPr>
        <w:lastRenderedPageBreak/>
        <w:t>regering bereidt daarom de Uitvoeringswet anti-dwangarbeidverordening voor. Het wetsvoorstel wordt naar verwachting in het eerste kwartaal van 2027 bij de Kamer ingediend.</w:t>
      </w:r>
    </w:p>
    <w:p w:rsidR="007E509F" w:rsidP="007E509F" w:rsidRDefault="007E509F" w14:paraId="04985EC1" w14:textId="299284EC">
      <w:pPr>
        <w:pStyle w:val="Tussenkop"/>
        <w:rPr>
          <w:lang w:eastAsia="nl-NL"/>
        </w:rPr>
      </w:pPr>
      <w:r>
        <w:rPr>
          <w:lang w:eastAsia="nl-NL"/>
        </w:rPr>
        <w:t xml:space="preserve">Een productverbod vormt de kern van de verordening </w:t>
      </w:r>
    </w:p>
    <w:p w:rsidR="00282125" w:rsidP="00C320D2" w:rsidRDefault="006D498D" w14:paraId="54DEA87F" w14:textId="55EFDF79">
      <w:pPr>
        <w:rPr>
          <w:lang w:eastAsia="nl-NL"/>
        </w:rPr>
      </w:pPr>
      <w:r>
        <w:rPr>
          <w:lang w:eastAsia="nl-NL"/>
        </w:rPr>
        <w:t xml:space="preserve">De </w:t>
      </w:r>
      <w:r w:rsidR="00A07181">
        <w:rPr>
          <w:lang w:eastAsia="nl-NL"/>
        </w:rPr>
        <w:t>A</w:t>
      </w:r>
      <w:r>
        <w:rPr>
          <w:lang w:eastAsia="nl-NL"/>
        </w:rPr>
        <w:t>nti-dwangarbeidverordening introduceert een productverbod</w:t>
      </w:r>
      <w:r w:rsidR="009A58A5">
        <w:rPr>
          <w:lang w:eastAsia="nl-NL"/>
        </w:rPr>
        <w:t xml:space="preserve"> om dwangarbeid te </w:t>
      </w:r>
      <w:r w:rsidR="00AE26A1">
        <w:rPr>
          <w:lang w:eastAsia="nl-NL"/>
        </w:rPr>
        <w:t>bestrijden</w:t>
      </w:r>
      <w:r>
        <w:rPr>
          <w:lang w:eastAsia="nl-NL"/>
        </w:rPr>
        <w:t>. De verordening verbiedt ondernemingen om producten die met dwangarbeid zijn vervaardigd op de markt van de E</w:t>
      </w:r>
      <w:r w:rsidR="00AA5968">
        <w:rPr>
          <w:lang w:eastAsia="nl-NL"/>
        </w:rPr>
        <w:t>U</w:t>
      </w:r>
      <w:r>
        <w:rPr>
          <w:lang w:eastAsia="nl-NL"/>
        </w:rPr>
        <w:t xml:space="preserve"> aan te bieden, op de Europese markt in de handel te brengen of vanuit de Europese Unie uit te voeren. </w:t>
      </w:r>
      <w:r w:rsidR="004409C3">
        <w:rPr>
          <w:lang w:eastAsia="nl-NL"/>
        </w:rPr>
        <w:t xml:space="preserve">De Europese Commissie en de bevoegde autoriteiten van de lidstaten gaan gezamenlijk toezien op het verbod. </w:t>
      </w:r>
      <w:r>
        <w:rPr>
          <w:lang w:eastAsia="nl-NL"/>
        </w:rPr>
        <w:t>Het verbod geldt ongeacht of de producten binnen of buiten de Europese Unie zijn geproduceerd.</w:t>
      </w:r>
      <w:r w:rsidR="00A07181">
        <w:rPr>
          <w:lang w:eastAsia="nl-NL"/>
        </w:rPr>
        <w:t xml:space="preserve"> </w:t>
      </w:r>
      <w:r>
        <w:rPr>
          <w:lang w:eastAsia="nl-NL"/>
        </w:rPr>
        <w:t>De verordening is van toepassing op alle producten, ondernemingen en sectoren. Diensten vallen buiten de reikwijdte van de verordening. Onder dwangarbeid valt ook gedwongen kinderarbeid.</w:t>
      </w:r>
    </w:p>
    <w:p w:rsidR="00282125" w:rsidP="00A861F6" w:rsidRDefault="006D498D" w14:paraId="0D99B269" w14:textId="6242CD01">
      <w:pPr>
        <w:pStyle w:val="Tussenkop"/>
        <w:rPr>
          <w:lang w:eastAsia="nl-NL"/>
        </w:rPr>
      </w:pPr>
      <w:r>
        <w:rPr>
          <w:lang w:eastAsia="nl-NL"/>
        </w:rPr>
        <w:t>De verordening bevat geen zelfstandige zorgvuldigheidsplicht</w:t>
      </w:r>
    </w:p>
    <w:p w:rsidRPr="006D498D" w:rsidR="006D498D" w:rsidP="00C17652" w:rsidRDefault="004576E6" w14:paraId="481DCB9D" w14:textId="652DBF34">
      <w:pPr>
        <w:rPr>
          <w:lang w:eastAsia="nl-NL"/>
        </w:rPr>
      </w:pPr>
      <w:r>
        <w:rPr>
          <w:lang w:eastAsia="nl-NL"/>
        </w:rPr>
        <w:t>De verordening bevat géén aanvullende verplichtingen voor ondernemingen om gepaste zorgvuldigheid toe te passen met betrekking tot dwangarbeid</w:t>
      </w:r>
      <w:r w:rsidR="00C17652">
        <w:rPr>
          <w:lang w:eastAsia="nl-NL"/>
        </w:rPr>
        <w:t xml:space="preserve">. De verordening richt zich uitsluitend op het productverbod. Wanneer een product met behulp van dwangarbeid is vervaardigd, </w:t>
      </w:r>
      <w:r w:rsidR="008934F3">
        <w:rPr>
          <w:lang w:eastAsia="nl-NL"/>
        </w:rPr>
        <w:t xml:space="preserve">heeft dat gevolgen </w:t>
      </w:r>
      <w:r w:rsidR="00C17652">
        <w:rPr>
          <w:lang w:eastAsia="nl-NL"/>
        </w:rPr>
        <w:t xml:space="preserve">voor de toegang van dat product tot de Europese markt. Wel kan het zorgvuldigheidsproces uit de CSDDD en de OESO-richtlijnen ondernemingen helpen om vast te stellen of in hun waardeketen gebruik wordt gemaakt van dwangarbeid. </w:t>
      </w:r>
      <w:r w:rsidRPr="000F57BF" w:rsidR="000F57BF">
        <w:rPr>
          <w:lang w:eastAsia="nl-NL"/>
        </w:rPr>
        <w:t>De toezichthoudende autoriteiten op de Anti-dwangarbeidverordening kunnen ondernemingen vragen welke maatregelen zij hebben genomen. Zoals maatregelen om risico’s op dwangarbeid in hun activiteiten en toeleveringsketens voor de betreffende producten in kaart te brengen en aan te pakken. Gepaste zorgvuldigheid is een voorbeeld van zo’n maatregel en kan daarmee een belangrijk instrument zijn om aan informatieverzoeken te voldoen. Het kan vermoedens van dwangarbeid wegnemen of verkleinen.</w:t>
      </w:r>
      <w:r w:rsidR="00FE3C07">
        <w:rPr>
          <w:lang w:eastAsia="nl-NL"/>
        </w:rPr>
        <w:t xml:space="preserve"> </w:t>
      </w:r>
      <w:r w:rsidR="00C17652">
        <w:rPr>
          <w:lang w:eastAsia="nl-NL"/>
        </w:rPr>
        <w:t>Daardoor kunnen ondernemingen voorkomen dat producten onder het verbod van de verordening vallen.</w:t>
      </w:r>
    </w:p>
    <w:p w:rsidR="006D498D" w:rsidP="00A861F6" w:rsidRDefault="006D498D" w14:paraId="044F864A" w14:textId="77777777">
      <w:pPr>
        <w:pStyle w:val="Tussenkop"/>
        <w:rPr>
          <w:lang w:eastAsia="nl-NL"/>
        </w:rPr>
      </w:pPr>
    </w:p>
    <w:p w:rsidR="006D498D" w:rsidP="00A861F6" w:rsidRDefault="006D498D" w14:paraId="0DFDB8D1" w14:textId="77777777">
      <w:pPr>
        <w:pStyle w:val="Tussenkop"/>
        <w:rPr>
          <w:lang w:eastAsia="nl-NL"/>
        </w:rPr>
      </w:pPr>
    </w:p>
    <w:p w:rsidRPr="00E2042A" w:rsidR="00B5124D" w:rsidP="00B849B2" w:rsidRDefault="00B5124D" w14:paraId="047A40CC" w14:textId="77777777">
      <w:pPr>
        <w:rPr>
          <w:b/>
          <w:bCs/>
          <w:lang w:eastAsia="nl-NL"/>
        </w:rPr>
      </w:pPr>
    </w:p>
    <w:p w:rsidRPr="00E2042A" w:rsidR="00A82880" w:rsidP="00B849B2" w:rsidRDefault="00A82880" w14:paraId="52E8F9F6" w14:textId="56F9B913">
      <w:pPr>
        <w:rPr>
          <w:b/>
          <w:bCs/>
          <w:lang w:eastAsia="nl-NL"/>
        </w:rPr>
      </w:pPr>
    </w:p>
    <w:p w:rsidR="00AF4C56" w:rsidP="00605B97" w:rsidRDefault="00AF4C56" w14:paraId="3CD334AD" w14:textId="77777777">
      <w:pPr>
        <w:sectPr w:rsidR="00AF4C56" w:rsidSect="00291B4A">
          <w:headerReference w:type="default" r:id="rId23"/>
          <w:footerReference w:type="default" r:id="rId24"/>
          <w:headerReference w:type="first" r:id="rId25"/>
          <w:footerReference w:type="first" r:id="rId26"/>
          <w:pgSz w:w="11906" w:h="16838" w:code="9"/>
          <w:pgMar w:top="2325" w:right="1701" w:bottom="1134" w:left="1985" w:header="1134" w:footer="567" w:gutter="0"/>
          <w:cols w:space="708"/>
          <w:titlePg/>
          <w:docGrid w:linePitch="360"/>
        </w:sectPr>
      </w:pPr>
    </w:p>
    <w:p w:rsidR="00F33A3C" w:rsidP="00577EA5" w:rsidRDefault="00302017" w14:paraId="47E74483" w14:textId="66B049DE">
      <w:pPr>
        <w:pStyle w:val="Kop1"/>
      </w:pPr>
      <w:r>
        <w:lastRenderedPageBreak/>
        <w:t xml:space="preserve">Schematische vergelijking van de </w:t>
      </w:r>
      <w:r w:rsidR="00A77B63">
        <w:t>WZK, CSDDD (Omnibus-I) en Anti-dwangarbeidverordening</w:t>
      </w:r>
    </w:p>
    <w:p w:rsidRPr="0097572E" w:rsidR="00F33A3C" w:rsidP="0038625C" w:rsidRDefault="00F33A3C" w14:paraId="0E3C36ED" w14:textId="3F522557">
      <w:pPr>
        <w:pStyle w:val="Bijschrift"/>
        <w:ind w:left="0" w:firstLine="0"/>
      </w:pPr>
    </w:p>
    <w:tbl>
      <w:tblPr>
        <w:tblStyle w:val="Tabelraster"/>
        <w:tblW w:w="14484" w:type="dxa"/>
        <w:jc w:val="center"/>
        <w:tblBorders>
          <w:top w:val="single" w:color="121469" w:themeColor="accent1" w:sz="2" w:space="0"/>
          <w:left w:val="none" w:color="auto" w:sz="0" w:space="0"/>
          <w:bottom w:val="single" w:color="121469" w:themeColor="accent1" w:sz="2" w:space="0"/>
          <w:right w:val="none" w:color="auto" w:sz="0" w:space="0"/>
          <w:insideH w:val="single" w:color="121469" w:themeColor="accent1" w:sz="2" w:space="0"/>
          <w:insideV w:val="none" w:color="auto" w:sz="0" w:space="0"/>
        </w:tblBorders>
        <w:tblLayout w:type="fixed"/>
        <w:tblCellMar>
          <w:top w:w="28" w:type="dxa"/>
          <w:left w:w="0" w:type="dxa"/>
          <w:bottom w:w="28" w:type="dxa"/>
          <w:right w:w="0" w:type="dxa"/>
        </w:tblCellMar>
        <w:tblLook w:val="04A0" w:firstRow="1" w:lastRow="0" w:firstColumn="1" w:lastColumn="0" w:noHBand="0" w:noVBand="1"/>
        <w:tblCaption w:val="Tabel 1"/>
        <w:tblDescription w:val="Landen in Europa, hoofdstad en het aantal inwoners"/>
      </w:tblPr>
      <w:tblGrid>
        <w:gridCol w:w="2715"/>
        <w:gridCol w:w="3923"/>
        <w:gridCol w:w="3923"/>
        <w:gridCol w:w="3923"/>
      </w:tblGrid>
      <w:tr w:rsidRPr="00A15C80" w:rsidR="00F33A3C" w:rsidTr="005157AC" w14:paraId="309EC87C" w14:textId="77777777">
        <w:trPr>
          <w:trHeight w:val="317"/>
          <w:tblHeader/>
          <w:jc w:val="center"/>
        </w:trPr>
        <w:tc>
          <w:tcPr>
            <w:tcW w:w="2552" w:type="dxa"/>
            <w:tcBorders>
              <w:left w:val="single" w:color="121469" w:themeColor="accent1" w:sz="2" w:space="0"/>
              <w:bottom w:val="single" w:color="121469" w:themeColor="accent1" w:sz="2" w:space="0"/>
              <w:right w:val="single" w:color="121469" w:themeColor="accent1" w:sz="6" w:space="0"/>
            </w:tcBorders>
            <w:shd w:val="clear" w:color="auto" w:fill="121469" w:themeFill="accent1"/>
          </w:tcPr>
          <w:p w:rsidRPr="00A15C80" w:rsidR="00F33A3C" w:rsidP="00706DF0" w:rsidRDefault="00F33A3C" w14:paraId="3713D3B3" w14:textId="154EDEFD">
            <w:pPr>
              <w:pStyle w:val="Tabelkopregel"/>
            </w:pPr>
          </w:p>
        </w:tc>
        <w:tc>
          <w:tcPr>
            <w:tcW w:w="3686" w:type="dxa"/>
            <w:tcBorders>
              <w:left w:val="single" w:color="121469" w:themeColor="accent1" w:sz="6" w:space="0"/>
              <w:bottom w:val="single" w:color="121469" w:themeColor="accent1" w:sz="2" w:space="0"/>
              <w:right w:val="single" w:color="121469" w:themeColor="accent1" w:sz="6" w:space="0"/>
            </w:tcBorders>
            <w:shd w:val="clear" w:color="auto" w:fill="121469" w:themeFill="accent1"/>
          </w:tcPr>
          <w:p w:rsidRPr="00A15C80" w:rsidR="00F33A3C" w:rsidP="00706DF0" w:rsidRDefault="00130C33" w14:paraId="0EAD5D50" w14:textId="6602EC4A">
            <w:pPr>
              <w:pStyle w:val="Tabelkopregel"/>
            </w:pPr>
            <w:r>
              <w:t>Wet zorgplicht kinderarbeid</w:t>
            </w:r>
          </w:p>
        </w:tc>
        <w:tc>
          <w:tcPr>
            <w:tcW w:w="3686" w:type="dxa"/>
            <w:tcBorders>
              <w:left w:val="single" w:color="121469" w:themeColor="accent1" w:sz="6" w:space="0"/>
              <w:bottom w:val="single" w:color="121469" w:themeColor="accent1" w:sz="2" w:space="0"/>
              <w:right w:val="single" w:color="121469" w:themeColor="accent1" w:sz="6" w:space="0"/>
            </w:tcBorders>
            <w:shd w:val="clear" w:color="auto" w:fill="121469" w:themeFill="accent1"/>
          </w:tcPr>
          <w:p w:rsidRPr="00A15C80" w:rsidR="00F33A3C" w:rsidP="00706DF0" w:rsidRDefault="00130C33" w14:paraId="2BE16D07" w14:textId="6AB8461B">
            <w:pPr>
              <w:pStyle w:val="Tabelkopregel"/>
            </w:pPr>
            <w:r>
              <w:t>CSDDD (Omnibus-I)</w:t>
            </w:r>
          </w:p>
        </w:tc>
        <w:tc>
          <w:tcPr>
            <w:tcW w:w="3686" w:type="dxa"/>
            <w:tcBorders>
              <w:left w:val="single" w:color="121469" w:themeColor="accent1" w:sz="6" w:space="0"/>
              <w:bottom w:val="single" w:color="121469" w:themeColor="accent1" w:sz="2" w:space="0"/>
              <w:right w:val="single" w:color="121469" w:themeColor="accent1" w:sz="2" w:space="0"/>
            </w:tcBorders>
            <w:shd w:val="clear" w:color="auto" w:fill="121469" w:themeFill="accent1"/>
          </w:tcPr>
          <w:p w:rsidRPr="00A15C80" w:rsidR="00F33A3C" w:rsidP="00706DF0" w:rsidRDefault="00130C33" w14:paraId="02206A68" w14:textId="029DEA3C">
            <w:pPr>
              <w:pStyle w:val="Tabelkopregel"/>
            </w:pPr>
            <w:r>
              <w:t>Anti-dwangarbeidverordening</w:t>
            </w:r>
          </w:p>
        </w:tc>
      </w:tr>
      <w:tr w:rsidRPr="004E3EEC" w:rsidR="00F33A3C" w:rsidTr="005157AC" w14:paraId="643B1BD1" w14:textId="77777777">
        <w:trPr>
          <w:trHeight w:val="1235"/>
          <w:jc w:val="center"/>
        </w:trPr>
        <w:tc>
          <w:tcPr>
            <w:tcW w:w="2552" w:type="dxa"/>
            <w:tcBorders>
              <w:left w:val="single" w:color="121469" w:themeColor="accent1" w:sz="2" w:space="0"/>
              <w:bottom w:val="single" w:color="121469" w:themeColor="accent1" w:sz="6" w:space="0"/>
              <w:right w:val="single" w:color="121469" w:themeColor="accent1" w:sz="6" w:space="0"/>
            </w:tcBorders>
            <w:shd w:val="clear" w:color="auto" w:fill="F0F2F4" w:themeFill="accent3" w:themeFillTint="33"/>
          </w:tcPr>
          <w:p w:rsidRPr="002F57BA" w:rsidR="00130C33" w:rsidP="00130C33" w:rsidRDefault="00130C33" w14:paraId="3C694CDA" w14:textId="77777777">
            <w:pPr>
              <w:spacing w:line="200" w:lineRule="atLeast"/>
              <w:rPr>
                <w:rFonts w:ascii="Verdana" w:hAnsi="Verdana"/>
                <w:b/>
                <w:bCs/>
                <w:sz w:val="16"/>
                <w:szCs w:val="16"/>
              </w:rPr>
            </w:pPr>
            <w:r w:rsidRPr="002F57BA">
              <w:rPr>
                <w:rFonts w:ascii="Verdana" w:hAnsi="Verdana"/>
                <w:b/>
                <w:bCs/>
                <w:sz w:val="16"/>
                <w:szCs w:val="16"/>
              </w:rPr>
              <w:t xml:space="preserve">Juridische aard en status </w:t>
            </w:r>
          </w:p>
          <w:p w:rsidRPr="002F57BA" w:rsidR="00130C33" w:rsidP="00130C33" w:rsidRDefault="00130C33" w14:paraId="2EB60995" w14:textId="77777777">
            <w:pPr>
              <w:spacing w:line="200" w:lineRule="atLeast"/>
              <w:rPr>
                <w:rFonts w:ascii="Verdana" w:hAnsi="Verdana"/>
                <w:b/>
                <w:bCs/>
                <w:color w:val="D3D4E3"/>
                <w:sz w:val="16"/>
                <w:szCs w:val="16"/>
              </w:rPr>
            </w:pPr>
          </w:p>
          <w:p w:rsidRPr="004E3EEC" w:rsidR="00F33A3C" w:rsidP="00497AFD" w:rsidRDefault="00F33A3C" w14:paraId="567E196F" w14:textId="77777777">
            <w:pPr>
              <w:spacing w:line="200" w:lineRule="atLeast"/>
            </w:pPr>
          </w:p>
        </w:tc>
        <w:tc>
          <w:tcPr>
            <w:tcW w:w="3686" w:type="dxa"/>
            <w:tcBorders>
              <w:left w:val="single" w:color="121469" w:themeColor="accent1" w:sz="6" w:space="0"/>
              <w:bottom w:val="single" w:color="121469" w:themeColor="accent1" w:sz="6" w:space="0"/>
              <w:right w:val="single" w:color="121469" w:themeColor="accent1" w:sz="6" w:space="0"/>
            </w:tcBorders>
            <w:shd w:val="clear" w:color="auto" w:fill="F0F2F4" w:themeFill="accent3" w:themeFillTint="33"/>
          </w:tcPr>
          <w:p w:rsidRPr="004E3EEC" w:rsidR="00F33A3C" w:rsidP="00706DF0" w:rsidRDefault="00B52B03" w14:paraId="3EA2A6BE" w14:textId="7944985E">
            <w:pPr>
              <w:pStyle w:val="Tabeltekst"/>
            </w:pPr>
            <w:r>
              <w:rPr>
                <w:szCs w:val="16"/>
              </w:rPr>
              <w:t>N</w:t>
            </w:r>
            <w:r w:rsidRPr="002F57BA" w:rsidR="00130C33">
              <w:rPr>
                <w:szCs w:val="16"/>
              </w:rPr>
              <w:t>ationale wet die op 13 november 2019 is gepubliceerd in het Staatsblad en nog niet in werking is getreden.</w:t>
            </w:r>
          </w:p>
        </w:tc>
        <w:tc>
          <w:tcPr>
            <w:tcW w:w="3686" w:type="dxa"/>
            <w:tcBorders>
              <w:left w:val="single" w:color="121469" w:themeColor="accent1" w:sz="6" w:space="0"/>
              <w:bottom w:val="single" w:color="121469" w:themeColor="accent1" w:sz="6" w:space="0"/>
              <w:right w:val="single" w:color="121469" w:themeColor="accent1" w:sz="6" w:space="0"/>
            </w:tcBorders>
            <w:shd w:val="clear" w:color="auto" w:fill="F0F2F4" w:themeFill="accent3" w:themeFillTint="33"/>
          </w:tcPr>
          <w:p w:rsidR="003F1DCE" w:rsidP="00A17A19" w:rsidRDefault="00130C33" w14:paraId="173CC037" w14:textId="6D6ADA18">
            <w:pPr>
              <w:pStyle w:val="Tabeltekst"/>
              <w:rPr>
                <w:szCs w:val="16"/>
              </w:rPr>
            </w:pPr>
            <w:r w:rsidRPr="002F57BA">
              <w:rPr>
                <w:szCs w:val="16"/>
              </w:rPr>
              <w:t>Europese richtlijn. De richtlijn is op 18 maart 2026 in werking getreden en dient uiterlijk op 26 juli 2028 in nationale wetgeving te zijn omgezet.</w:t>
            </w:r>
          </w:p>
          <w:p w:rsidR="003F1DCE" w:rsidP="00A17A19" w:rsidRDefault="003F1DCE" w14:paraId="65ECE76F" w14:textId="77777777">
            <w:pPr>
              <w:pStyle w:val="Tabeltekst"/>
              <w:rPr>
                <w:szCs w:val="16"/>
              </w:rPr>
            </w:pPr>
          </w:p>
          <w:p w:rsidRPr="006444A7" w:rsidR="00F33A3C" w:rsidP="006444A7" w:rsidRDefault="00130C33" w14:paraId="00E3A4B0" w14:textId="47483B45">
            <w:pPr>
              <w:rPr>
                <w:sz w:val="16"/>
                <w:szCs w:val="16"/>
                <w:lang w:eastAsia="nl-NL"/>
              </w:rPr>
            </w:pPr>
            <w:r w:rsidRPr="00075082">
              <w:rPr>
                <w:sz w:val="16"/>
                <w:szCs w:val="16"/>
              </w:rPr>
              <w:t>De regering heeft een implementatiewet in voorbereiding.</w:t>
            </w:r>
            <w:r w:rsidRPr="00075082" w:rsidR="00A91525">
              <w:rPr>
                <w:sz w:val="16"/>
                <w:szCs w:val="16"/>
              </w:rPr>
              <w:t xml:space="preserve"> </w:t>
            </w:r>
            <w:r w:rsidRPr="00075082" w:rsidR="00A91525">
              <w:rPr>
                <w:sz w:val="16"/>
                <w:szCs w:val="16"/>
                <w:lang w:eastAsia="nl-NL"/>
              </w:rPr>
              <w:t xml:space="preserve">Deze wordt naar verwachting in het tweede kwartaal van 2027 </w:t>
            </w:r>
            <w:r w:rsidRPr="00075082" w:rsidR="008D73E3">
              <w:rPr>
                <w:sz w:val="16"/>
                <w:szCs w:val="16"/>
                <w:lang w:eastAsia="nl-NL"/>
              </w:rPr>
              <w:t xml:space="preserve">bij de Tweede Kamer ingediend. </w:t>
            </w:r>
          </w:p>
        </w:tc>
        <w:tc>
          <w:tcPr>
            <w:tcW w:w="3686" w:type="dxa"/>
            <w:tcBorders>
              <w:left w:val="single" w:color="121469" w:themeColor="accent1" w:sz="6" w:space="0"/>
              <w:bottom w:val="single" w:color="121469" w:themeColor="accent1" w:sz="6" w:space="0"/>
              <w:right w:val="single" w:color="121469" w:themeColor="accent1" w:sz="2" w:space="0"/>
            </w:tcBorders>
            <w:shd w:val="clear" w:color="auto" w:fill="F0F2F4" w:themeFill="accent3" w:themeFillTint="33"/>
          </w:tcPr>
          <w:p w:rsidR="003F1DCE" w:rsidP="00706DF0" w:rsidRDefault="00130C33" w14:paraId="1CE87A7B" w14:textId="60525401">
            <w:pPr>
              <w:pStyle w:val="Tabeltekst"/>
              <w:rPr>
                <w:szCs w:val="16"/>
              </w:rPr>
            </w:pPr>
            <w:r w:rsidRPr="002F57BA">
              <w:rPr>
                <w:szCs w:val="16"/>
              </w:rPr>
              <w:t xml:space="preserve">Europese verordening. De verordening is op 13 december 2024 in werking getreden en is van toepassing op </w:t>
            </w:r>
            <w:r w:rsidR="000674C6">
              <w:rPr>
                <w:szCs w:val="16"/>
              </w:rPr>
              <w:t>marktdeelnemers</w:t>
            </w:r>
            <w:r w:rsidRPr="002F57BA">
              <w:rPr>
                <w:szCs w:val="16"/>
              </w:rPr>
              <w:t xml:space="preserve"> vanaf 14 december 2027. </w:t>
            </w:r>
          </w:p>
          <w:p w:rsidR="003F1DCE" w:rsidP="00706DF0" w:rsidRDefault="003F1DCE" w14:paraId="73B9A481" w14:textId="77777777">
            <w:pPr>
              <w:pStyle w:val="Tabeltekst"/>
              <w:rPr>
                <w:szCs w:val="16"/>
              </w:rPr>
            </w:pPr>
          </w:p>
          <w:p w:rsidRPr="00075082" w:rsidR="008D73E3" w:rsidP="008D73E3" w:rsidRDefault="00130C33" w14:paraId="4D921DA6" w14:textId="2FC5E5B9">
            <w:pPr>
              <w:rPr>
                <w:sz w:val="16"/>
                <w:szCs w:val="16"/>
                <w:lang w:eastAsia="nl-NL"/>
              </w:rPr>
            </w:pPr>
            <w:r w:rsidRPr="00075082">
              <w:rPr>
                <w:sz w:val="16"/>
                <w:szCs w:val="16"/>
              </w:rPr>
              <w:t>De regering heeft een uitvoeringswet in voorbereiding.</w:t>
            </w:r>
            <w:r w:rsidRPr="00075082" w:rsidR="008D73E3">
              <w:rPr>
                <w:sz w:val="16"/>
                <w:szCs w:val="16"/>
              </w:rPr>
              <w:t xml:space="preserve"> Deze </w:t>
            </w:r>
            <w:r w:rsidRPr="00075082" w:rsidR="008D73E3">
              <w:rPr>
                <w:sz w:val="16"/>
                <w:szCs w:val="16"/>
                <w:lang w:eastAsia="nl-NL"/>
              </w:rPr>
              <w:t>wordt naar verwachting in het eerste kwartaal van 2027 bij de Tweede Kamer ingediend.</w:t>
            </w:r>
          </w:p>
          <w:p w:rsidRPr="004E3EEC" w:rsidR="00F33A3C" w:rsidP="00706DF0" w:rsidRDefault="00F33A3C" w14:paraId="3831A95D" w14:textId="798837BE">
            <w:pPr>
              <w:pStyle w:val="Tabeltekst"/>
            </w:pPr>
          </w:p>
        </w:tc>
      </w:tr>
      <w:tr w:rsidRPr="004E3EEC" w:rsidR="00130C33" w:rsidTr="005157AC" w14:paraId="0CCB14EA" w14:textId="77777777">
        <w:trPr>
          <w:trHeight w:val="1235"/>
          <w:jc w:val="center"/>
        </w:trPr>
        <w:tc>
          <w:tcPr>
            <w:tcW w:w="2552" w:type="dxa"/>
            <w:tcBorders>
              <w:top w:val="single" w:color="121469" w:themeColor="accent1" w:sz="6" w:space="0"/>
              <w:left w:val="single" w:color="121469" w:themeColor="accent1" w:sz="2" w:space="0"/>
              <w:bottom w:val="single" w:color="121469" w:themeColor="accent1" w:sz="6" w:space="0"/>
              <w:right w:val="single" w:color="121469" w:themeColor="accent1" w:sz="6" w:space="0"/>
            </w:tcBorders>
            <w:shd w:val="clear" w:color="auto" w:fill="FFFFFF" w:themeFill="background1"/>
          </w:tcPr>
          <w:p w:rsidRPr="002F57BA" w:rsidR="00130C33" w:rsidP="00130C33" w:rsidRDefault="00130C33" w14:paraId="6680302A" w14:textId="77777777">
            <w:pPr>
              <w:spacing w:line="200" w:lineRule="atLeast"/>
              <w:rPr>
                <w:rFonts w:ascii="Verdana" w:hAnsi="Verdana"/>
                <w:b/>
                <w:bCs/>
                <w:sz w:val="16"/>
                <w:szCs w:val="16"/>
              </w:rPr>
            </w:pPr>
            <w:r w:rsidRPr="002F57BA">
              <w:rPr>
                <w:rFonts w:ascii="Verdana" w:hAnsi="Verdana"/>
                <w:b/>
                <w:bCs/>
                <w:sz w:val="16"/>
                <w:szCs w:val="16"/>
              </w:rPr>
              <w:t xml:space="preserve">Doel </w:t>
            </w:r>
          </w:p>
          <w:p w:rsidRPr="002F57BA" w:rsidR="00130C33" w:rsidP="00130C33" w:rsidRDefault="00130C33" w14:paraId="5EC4A13C" w14:textId="77777777">
            <w:pPr>
              <w:spacing w:line="200" w:lineRule="atLeast"/>
              <w:rPr>
                <w:rFonts w:ascii="Verdana" w:hAnsi="Verdana"/>
                <w:b/>
                <w:bCs/>
                <w:sz w:val="16"/>
                <w:szCs w:val="16"/>
              </w:rPr>
            </w:pPr>
          </w:p>
          <w:p w:rsidRPr="002F57BA" w:rsidR="00130C33" w:rsidP="00497AFD" w:rsidRDefault="00130C33" w14:paraId="0DBF1000" w14:textId="77777777">
            <w:pPr>
              <w:spacing w:line="200" w:lineRule="atLeast"/>
              <w:rPr>
                <w:rFonts w:ascii="Verdana" w:hAnsi="Verdana"/>
                <w:b/>
                <w:bCs/>
                <w:sz w:val="16"/>
                <w:szCs w:val="16"/>
              </w:rPr>
            </w:pPr>
          </w:p>
        </w:tc>
        <w:tc>
          <w:tcPr>
            <w:tcW w:w="3686" w:type="dxa"/>
            <w:tcBorders>
              <w:top w:val="single" w:color="121469" w:themeColor="accent1" w:sz="6" w:space="0"/>
              <w:left w:val="single" w:color="121469" w:themeColor="accent1" w:sz="6" w:space="0"/>
              <w:bottom w:val="single" w:color="121469" w:themeColor="accent1" w:sz="6" w:space="0"/>
              <w:right w:val="single" w:color="121469" w:themeColor="accent1" w:sz="6" w:space="0"/>
            </w:tcBorders>
            <w:shd w:val="clear" w:color="auto" w:fill="FFFFFF" w:themeFill="background1"/>
          </w:tcPr>
          <w:p w:rsidRPr="002F57BA" w:rsidR="00130C33" w:rsidP="00706DF0" w:rsidRDefault="00B52B03" w14:paraId="75D58C50" w14:textId="1288728A">
            <w:pPr>
              <w:pStyle w:val="Tabeltekst"/>
              <w:rPr>
                <w:szCs w:val="16"/>
              </w:rPr>
            </w:pPr>
            <w:r>
              <w:rPr>
                <w:szCs w:val="16"/>
              </w:rPr>
              <w:t>Zorgen dat er in</w:t>
            </w:r>
            <w:r w:rsidRPr="002F57BA" w:rsidR="00130C33">
              <w:rPr>
                <w:szCs w:val="16"/>
              </w:rPr>
              <w:t xml:space="preserve"> Nederland geen goederen en diensten die met behulp van kinderarbeid tot stand zijn gekomen meer worden verkocht.</w:t>
            </w:r>
          </w:p>
        </w:tc>
        <w:tc>
          <w:tcPr>
            <w:tcW w:w="3686" w:type="dxa"/>
            <w:tcBorders>
              <w:top w:val="single" w:color="121469" w:themeColor="accent1" w:sz="6" w:space="0"/>
              <w:left w:val="single" w:color="121469" w:themeColor="accent1" w:sz="6" w:space="0"/>
              <w:bottom w:val="single" w:color="121469" w:themeColor="accent1" w:sz="6" w:space="0"/>
              <w:right w:val="single" w:color="121469" w:themeColor="accent1" w:sz="6" w:space="0"/>
            </w:tcBorders>
            <w:shd w:val="clear" w:color="auto" w:fill="FFFFFF" w:themeFill="background1"/>
          </w:tcPr>
          <w:p w:rsidRPr="002F57BA" w:rsidR="00130C33" w:rsidP="00A17A19" w:rsidRDefault="00B52B03" w14:paraId="1C74E1BC" w14:textId="0ABF4E01">
            <w:pPr>
              <w:pStyle w:val="Tabeltekst"/>
              <w:rPr>
                <w:szCs w:val="16"/>
              </w:rPr>
            </w:pPr>
            <w:r>
              <w:rPr>
                <w:szCs w:val="16"/>
              </w:rPr>
              <w:t>Z</w:t>
            </w:r>
            <w:r w:rsidRPr="002F57BA" w:rsidR="00130C33">
              <w:rPr>
                <w:szCs w:val="16"/>
              </w:rPr>
              <w:t>orgen dat grote ondernemingen die actief zijn op de Europese interne markt, feitelijke of potentiële nadelige gevolgen op de mensenrechten en het milieu in hun activiteitenketens zo veel mogelijk voorkomen, beperken of beëindigen.</w:t>
            </w:r>
          </w:p>
        </w:tc>
        <w:tc>
          <w:tcPr>
            <w:tcW w:w="3686" w:type="dxa"/>
            <w:tcBorders>
              <w:top w:val="single" w:color="121469" w:themeColor="accent1" w:sz="6" w:space="0"/>
              <w:left w:val="single" w:color="121469" w:themeColor="accent1" w:sz="6" w:space="0"/>
              <w:bottom w:val="single" w:color="121469" w:themeColor="accent1" w:sz="6" w:space="0"/>
              <w:right w:val="single" w:color="121469" w:themeColor="accent1" w:sz="2" w:space="0"/>
            </w:tcBorders>
            <w:shd w:val="clear" w:color="auto" w:fill="FFFFFF" w:themeFill="background1"/>
          </w:tcPr>
          <w:p w:rsidRPr="002F57BA" w:rsidR="00130C33" w:rsidP="00706DF0" w:rsidRDefault="00B52B03" w14:paraId="4B04A8C3" w14:textId="2ECE497A">
            <w:pPr>
              <w:pStyle w:val="Tabeltekst"/>
              <w:rPr>
                <w:szCs w:val="16"/>
              </w:rPr>
            </w:pPr>
            <w:r>
              <w:rPr>
                <w:szCs w:val="16"/>
              </w:rPr>
              <w:t>D</w:t>
            </w:r>
            <w:r w:rsidRPr="002F57BA" w:rsidR="00130C33">
              <w:rPr>
                <w:szCs w:val="16"/>
              </w:rPr>
              <w:t>wangarbeid bestrijden door te verbieden dat producten die zijn gemaakt met dwangarbeid op de EU-markt worden gebracht of daar vandaan worden uitgevoerd. Gedwongen kinderarbeid valt ook onder de verordening.</w:t>
            </w:r>
          </w:p>
        </w:tc>
      </w:tr>
      <w:tr w:rsidRPr="004E3EEC" w:rsidR="00130C33" w:rsidTr="005157AC" w14:paraId="15768D9D" w14:textId="77777777">
        <w:trPr>
          <w:trHeight w:val="1235"/>
          <w:jc w:val="center"/>
        </w:trPr>
        <w:tc>
          <w:tcPr>
            <w:tcW w:w="2552" w:type="dxa"/>
            <w:tcBorders>
              <w:top w:val="single" w:color="121469" w:themeColor="accent1" w:sz="6" w:space="0"/>
              <w:left w:val="single" w:color="121469" w:themeColor="accent1" w:sz="2" w:space="0"/>
              <w:bottom w:val="single" w:color="121469" w:themeColor="accent1" w:sz="2" w:space="0"/>
              <w:right w:val="single" w:color="121469" w:themeColor="accent1" w:sz="6" w:space="0"/>
            </w:tcBorders>
            <w:shd w:val="clear" w:color="auto" w:fill="F0F2F4" w:themeFill="accent3" w:themeFillTint="33"/>
          </w:tcPr>
          <w:p w:rsidRPr="002F57BA" w:rsidR="00130C33" w:rsidP="00130C33" w:rsidRDefault="00130C33" w14:paraId="69557E1C" w14:textId="77777777">
            <w:pPr>
              <w:spacing w:line="200" w:lineRule="atLeast"/>
              <w:rPr>
                <w:rFonts w:ascii="Verdana" w:hAnsi="Verdana"/>
                <w:b/>
                <w:bCs/>
                <w:sz w:val="16"/>
                <w:szCs w:val="16"/>
              </w:rPr>
            </w:pPr>
            <w:r w:rsidRPr="002F57BA">
              <w:rPr>
                <w:rFonts w:ascii="Verdana" w:hAnsi="Verdana"/>
                <w:b/>
                <w:bCs/>
                <w:sz w:val="16"/>
                <w:szCs w:val="16"/>
              </w:rPr>
              <w:t xml:space="preserve">Materiële verplichtingen </w:t>
            </w:r>
          </w:p>
          <w:p w:rsidRPr="002F57BA" w:rsidR="00130C33" w:rsidP="00130C33" w:rsidRDefault="00130C33" w14:paraId="0FD3E426" w14:textId="77777777">
            <w:pPr>
              <w:spacing w:line="200" w:lineRule="atLeast"/>
              <w:rPr>
                <w:rFonts w:ascii="Verdana" w:hAnsi="Verdana"/>
                <w:b/>
                <w:bCs/>
                <w:sz w:val="16"/>
                <w:szCs w:val="16"/>
              </w:rPr>
            </w:pPr>
          </w:p>
          <w:p w:rsidRPr="002F57BA" w:rsidR="00130C33" w:rsidP="00497AFD" w:rsidRDefault="00130C33" w14:paraId="7C8060B8" w14:textId="77777777">
            <w:pPr>
              <w:spacing w:line="200" w:lineRule="atLeast"/>
              <w:rPr>
                <w:rFonts w:ascii="Verdana" w:hAnsi="Verdana"/>
                <w:b/>
                <w:bCs/>
                <w:sz w:val="16"/>
                <w:szCs w:val="16"/>
              </w:rPr>
            </w:pPr>
          </w:p>
        </w:tc>
        <w:tc>
          <w:tcPr>
            <w:tcW w:w="3686" w:type="dxa"/>
            <w:tcBorders>
              <w:top w:val="single" w:color="121469" w:themeColor="accent1" w:sz="6" w:space="0"/>
              <w:left w:val="single" w:color="121469" w:themeColor="accent1" w:sz="6" w:space="0"/>
              <w:bottom w:val="single" w:color="121469" w:themeColor="accent1" w:sz="2" w:space="0"/>
              <w:right w:val="single" w:color="121469" w:themeColor="accent1" w:sz="6" w:space="0"/>
            </w:tcBorders>
            <w:shd w:val="clear" w:color="auto" w:fill="F0F2F4" w:themeFill="accent3" w:themeFillTint="33"/>
          </w:tcPr>
          <w:p w:rsidRPr="002F57BA" w:rsidR="00130C33" w:rsidP="00130C33" w:rsidRDefault="00130C33" w14:paraId="63B735EF" w14:textId="77777777">
            <w:pPr>
              <w:pStyle w:val="Lijstalinea"/>
              <w:numPr>
                <w:ilvl w:val="0"/>
                <w:numId w:val="33"/>
              </w:numPr>
              <w:spacing w:line="200" w:lineRule="atLeast"/>
              <w:rPr>
                <w:rFonts w:ascii="Verdana" w:hAnsi="Verdana"/>
                <w:sz w:val="16"/>
                <w:szCs w:val="16"/>
              </w:rPr>
            </w:pPr>
            <w:r w:rsidRPr="002F57BA">
              <w:rPr>
                <w:rFonts w:ascii="Verdana" w:hAnsi="Verdana"/>
                <w:sz w:val="16"/>
                <w:szCs w:val="16"/>
              </w:rPr>
              <w:t xml:space="preserve">Verklaringsverplichting (artikel 4) </w:t>
            </w:r>
          </w:p>
          <w:p w:rsidRPr="002F57BA" w:rsidR="00130C33" w:rsidP="00B52B03" w:rsidRDefault="00130C33" w14:paraId="069CEB98" w14:textId="77777777">
            <w:pPr>
              <w:pStyle w:val="Lijstalinea"/>
              <w:numPr>
                <w:ilvl w:val="0"/>
                <w:numId w:val="33"/>
              </w:numPr>
              <w:spacing w:line="200" w:lineRule="atLeast"/>
              <w:rPr>
                <w:rFonts w:ascii="Verdana" w:hAnsi="Verdana"/>
                <w:sz w:val="16"/>
                <w:szCs w:val="16"/>
              </w:rPr>
            </w:pPr>
            <w:r w:rsidRPr="002F57BA">
              <w:rPr>
                <w:rFonts w:ascii="Verdana" w:hAnsi="Verdana"/>
                <w:sz w:val="16"/>
                <w:szCs w:val="16"/>
              </w:rPr>
              <w:t>Verplichting tot gepaste zorgvuldigheid (artikel 5)</w:t>
            </w:r>
          </w:p>
          <w:p w:rsidRPr="002F57BA" w:rsidR="00130C33" w:rsidP="00706DF0" w:rsidRDefault="00130C33" w14:paraId="640B6A81" w14:textId="77777777">
            <w:pPr>
              <w:pStyle w:val="Tabeltekst"/>
              <w:rPr>
                <w:szCs w:val="16"/>
              </w:rPr>
            </w:pPr>
          </w:p>
        </w:tc>
        <w:tc>
          <w:tcPr>
            <w:tcW w:w="3686" w:type="dxa"/>
            <w:tcBorders>
              <w:top w:val="single" w:color="121469" w:themeColor="accent1" w:sz="6" w:space="0"/>
              <w:left w:val="single" w:color="121469" w:themeColor="accent1" w:sz="6" w:space="0"/>
              <w:bottom w:val="single" w:color="121469" w:themeColor="accent1" w:sz="2" w:space="0"/>
              <w:right w:val="single" w:color="121469" w:themeColor="accent1" w:sz="6" w:space="0"/>
            </w:tcBorders>
            <w:shd w:val="clear" w:color="auto" w:fill="F0F2F4" w:themeFill="accent3" w:themeFillTint="33"/>
          </w:tcPr>
          <w:p w:rsidRPr="002F57BA" w:rsidR="00130C33" w:rsidP="00A17A19" w:rsidRDefault="00130C33" w14:paraId="38F4B5FD" w14:textId="373DAF0C">
            <w:pPr>
              <w:numPr>
                <w:ilvl w:val="0"/>
                <w:numId w:val="31"/>
              </w:numPr>
              <w:tabs>
                <w:tab w:val="clear" w:pos="284"/>
                <w:tab w:val="clear" w:pos="567"/>
                <w:tab w:val="clear" w:pos="851"/>
                <w:tab w:val="clear" w:pos="1134"/>
                <w:tab w:val="clear" w:pos="4111"/>
                <w:tab w:val="clear" w:pos="8222"/>
              </w:tabs>
              <w:spacing w:line="200" w:lineRule="atLeast"/>
              <w:rPr>
                <w:rFonts w:ascii="Verdana" w:hAnsi="Verdana"/>
                <w:sz w:val="16"/>
                <w:szCs w:val="16"/>
              </w:rPr>
            </w:pPr>
            <w:r w:rsidRPr="002F57BA">
              <w:rPr>
                <w:rFonts w:ascii="Verdana" w:hAnsi="Verdana"/>
                <w:sz w:val="16"/>
                <w:szCs w:val="16"/>
              </w:rPr>
              <w:t>Passende zorgvuldigheid (artikel 5)</w:t>
            </w:r>
          </w:p>
          <w:p w:rsidRPr="002F57BA" w:rsidR="00130C33" w:rsidP="00A17A19" w:rsidRDefault="00130C33" w14:paraId="1EF68C18" w14:textId="77777777">
            <w:pPr>
              <w:numPr>
                <w:ilvl w:val="0"/>
                <w:numId w:val="31"/>
              </w:numPr>
              <w:tabs>
                <w:tab w:val="clear" w:pos="284"/>
                <w:tab w:val="clear" w:pos="567"/>
                <w:tab w:val="clear" w:pos="851"/>
                <w:tab w:val="clear" w:pos="1134"/>
                <w:tab w:val="clear" w:pos="4111"/>
                <w:tab w:val="clear" w:pos="8222"/>
              </w:tabs>
              <w:spacing w:line="200" w:lineRule="atLeast"/>
              <w:rPr>
                <w:rFonts w:ascii="Verdana" w:hAnsi="Verdana"/>
                <w:sz w:val="16"/>
                <w:szCs w:val="16"/>
              </w:rPr>
            </w:pPr>
            <w:r w:rsidRPr="002F57BA">
              <w:rPr>
                <w:rFonts w:ascii="Verdana" w:hAnsi="Verdana"/>
                <w:sz w:val="16"/>
                <w:szCs w:val="16"/>
              </w:rPr>
              <w:t>Passende zorgvuldigheid op groepsniveau (artikel 6)</w:t>
            </w:r>
          </w:p>
          <w:p w:rsidRPr="002F57BA" w:rsidR="00130C33" w:rsidP="00A17A19" w:rsidRDefault="00130C33" w14:paraId="73693EBF" w14:textId="77777777">
            <w:pPr>
              <w:numPr>
                <w:ilvl w:val="0"/>
                <w:numId w:val="31"/>
              </w:numPr>
              <w:tabs>
                <w:tab w:val="clear" w:pos="284"/>
                <w:tab w:val="clear" w:pos="567"/>
                <w:tab w:val="clear" w:pos="851"/>
                <w:tab w:val="clear" w:pos="1134"/>
                <w:tab w:val="clear" w:pos="4111"/>
                <w:tab w:val="clear" w:pos="8222"/>
              </w:tabs>
              <w:spacing w:line="200" w:lineRule="atLeast"/>
              <w:rPr>
                <w:rFonts w:ascii="Verdana" w:hAnsi="Verdana"/>
                <w:sz w:val="16"/>
                <w:szCs w:val="16"/>
              </w:rPr>
            </w:pPr>
            <w:r w:rsidRPr="002F57BA">
              <w:rPr>
                <w:rFonts w:ascii="Verdana" w:hAnsi="Verdana"/>
                <w:sz w:val="16"/>
                <w:szCs w:val="16"/>
              </w:rPr>
              <w:t>Integratie van passende zorgvuldigheid in het beleid en de risicobeheerssystemen (artikel 7)</w:t>
            </w:r>
          </w:p>
          <w:p w:rsidRPr="002F57BA" w:rsidR="00130C33" w:rsidP="00A17A19" w:rsidRDefault="00DC4CF9" w14:paraId="362A874C" w14:textId="2967276C">
            <w:pPr>
              <w:numPr>
                <w:ilvl w:val="0"/>
                <w:numId w:val="31"/>
              </w:numPr>
              <w:tabs>
                <w:tab w:val="clear" w:pos="284"/>
                <w:tab w:val="clear" w:pos="567"/>
                <w:tab w:val="clear" w:pos="851"/>
                <w:tab w:val="clear" w:pos="1134"/>
                <w:tab w:val="clear" w:pos="4111"/>
                <w:tab w:val="clear" w:pos="8222"/>
              </w:tabs>
              <w:spacing w:line="200" w:lineRule="atLeast"/>
              <w:rPr>
                <w:rFonts w:ascii="Verdana" w:hAnsi="Verdana"/>
                <w:sz w:val="16"/>
                <w:szCs w:val="16"/>
              </w:rPr>
            </w:pPr>
            <w:r>
              <w:rPr>
                <w:rFonts w:ascii="Verdana" w:hAnsi="Verdana"/>
                <w:sz w:val="16"/>
                <w:szCs w:val="16"/>
              </w:rPr>
              <w:t>Vaststelling, beoordeling, p</w:t>
            </w:r>
            <w:r w:rsidRPr="002F57BA" w:rsidR="00130C33">
              <w:rPr>
                <w:rFonts w:ascii="Verdana" w:hAnsi="Verdana"/>
                <w:sz w:val="16"/>
                <w:szCs w:val="16"/>
              </w:rPr>
              <w:t>rioritering</w:t>
            </w:r>
            <w:r w:rsidR="00F5370D">
              <w:rPr>
                <w:rFonts w:ascii="Verdana" w:hAnsi="Verdana"/>
                <w:sz w:val="16"/>
                <w:szCs w:val="16"/>
              </w:rPr>
              <w:t>, preventie</w:t>
            </w:r>
            <w:r w:rsidR="00FD06E8">
              <w:rPr>
                <w:rFonts w:ascii="Verdana" w:hAnsi="Verdana"/>
                <w:sz w:val="16"/>
                <w:szCs w:val="16"/>
              </w:rPr>
              <w:t>,</w:t>
            </w:r>
            <w:r w:rsidR="00F5370D">
              <w:rPr>
                <w:rFonts w:ascii="Verdana" w:hAnsi="Verdana"/>
                <w:sz w:val="16"/>
                <w:szCs w:val="16"/>
              </w:rPr>
              <w:t xml:space="preserve"> b</w:t>
            </w:r>
            <w:r w:rsidR="00FD06E8">
              <w:rPr>
                <w:rFonts w:ascii="Verdana" w:hAnsi="Verdana"/>
                <w:sz w:val="16"/>
                <w:szCs w:val="16"/>
              </w:rPr>
              <w:t>eëindiging en herstel</w:t>
            </w:r>
            <w:r w:rsidRPr="002F57BA" w:rsidR="00130C33">
              <w:rPr>
                <w:rFonts w:ascii="Verdana" w:hAnsi="Verdana"/>
                <w:sz w:val="16"/>
                <w:szCs w:val="16"/>
              </w:rPr>
              <w:t xml:space="preserve"> van vastgestelde feitelijke en potentiële negatieve effecten (artikel</w:t>
            </w:r>
            <w:r w:rsidR="00FD06E8">
              <w:rPr>
                <w:rFonts w:ascii="Verdana" w:hAnsi="Verdana"/>
                <w:sz w:val="16"/>
                <w:szCs w:val="16"/>
              </w:rPr>
              <w:t>en</w:t>
            </w:r>
            <w:r w:rsidRPr="002F57BA" w:rsidR="00130C33">
              <w:rPr>
                <w:rFonts w:ascii="Verdana" w:hAnsi="Verdana"/>
                <w:sz w:val="16"/>
                <w:szCs w:val="16"/>
              </w:rPr>
              <w:t xml:space="preserve"> </w:t>
            </w:r>
            <w:r>
              <w:rPr>
                <w:rFonts w:ascii="Verdana" w:hAnsi="Verdana"/>
                <w:sz w:val="16"/>
                <w:szCs w:val="16"/>
              </w:rPr>
              <w:t xml:space="preserve">8, </w:t>
            </w:r>
            <w:r w:rsidRPr="002F57BA" w:rsidR="00130C33">
              <w:rPr>
                <w:rFonts w:ascii="Verdana" w:hAnsi="Verdana"/>
                <w:sz w:val="16"/>
                <w:szCs w:val="16"/>
              </w:rPr>
              <w:t>9</w:t>
            </w:r>
            <w:r w:rsidR="00FD06E8">
              <w:rPr>
                <w:rFonts w:ascii="Verdana" w:hAnsi="Verdana"/>
                <w:sz w:val="16"/>
                <w:szCs w:val="16"/>
              </w:rPr>
              <w:t>, 10, 11 en 12</w:t>
            </w:r>
            <w:r w:rsidRPr="002F57BA" w:rsidR="00130C33">
              <w:rPr>
                <w:rFonts w:ascii="Verdana" w:hAnsi="Verdana"/>
                <w:sz w:val="16"/>
                <w:szCs w:val="16"/>
              </w:rPr>
              <w:t>)</w:t>
            </w:r>
          </w:p>
          <w:p w:rsidRPr="002F57BA" w:rsidR="00130C33" w:rsidP="00A17A19" w:rsidRDefault="00130C33" w14:paraId="2501B3DA" w14:textId="77777777">
            <w:pPr>
              <w:tabs>
                <w:tab w:val="clear" w:pos="284"/>
                <w:tab w:val="clear" w:pos="567"/>
                <w:tab w:val="clear" w:pos="851"/>
                <w:tab w:val="clear" w:pos="1134"/>
                <w:tab w:val="clear" w:pos="4111"/>
                <w:tab w:val="clear" w:pos="8222"/>
              </w:tabs>
              <w:spacing w:line="200" w:lineRule="atLeast"/>
              <w:rPr>
                <w:szCs w:val="16"/>
              </w:rPr>
            </w:pPr>
          </w:p>
        </w:tc>
        <w:tc>
          <w:tcPr>
            <w:tcW w:w="3686" w:type="dxa"/>
            <w:tcBorders>
              <w:top w:val="single" w:color="121469" w:themeColor="accent1" w:sz="6" w:space="0"/>
              <w:left w:val="single" w:color="121469" w:themeColor="accent1" w:sz="6" w:space="0"/>
              <w:bottom w:val="single" w:color="121469" w:themeColor="accent1" w:sz="2" w:space="0"/>
              <w:right w:val="single" w:color="121469" w:themeColor="accent1" w:sz="2" w:space="0"/>
            </w:tcBorders>
            <w:shd w:val="clear" w:color="auto" w:fill="F0F2F4" w:themeFill="accent3" w:themeFillTint="33"/>
          </w:tcPr>
          <w:p w:rsidRPr="002F57BA" w:rsidR="00130C33" w:rsidP="00130C33" w:rsidRDefault="00130C33" w14:paraId="09241240" w14:textId="77777777">
            <w:pPr>
              <w:pStyle w:val="Lijstalinea"/>
              <w:numPr>
                <w:ilvl w:val="0"/>
                <w:numId w:val="31"/>
              </w:numPr>
              <w:spacing w:line="200" w:lineRule="atLeast"/>
              <w:rPr>
                <w:rFonts w:ascii="Verdana" w:hAnsi="Verdana"/>
                <w:sz w:val="16"/>
                <w:szCs w:val="16"/>
              </w:rPr>
            </w:pPr>
            <w:r w:rsidRPr="002F57BA">
              <w:rPr>
                <w:rFonts w:ascii="Verdana" w:hAnsi="Verdana"/>
                <w:sz w:val="16"/>
                <w:szCs w:val="16"/>
              </w:rPr>
              <w:t>Verbod op met dwangarbeid vervaardigde producten (artikel 3)</w:t>
            </w:r>
          </w:p>
          <w:p w:rsidRPr="002F57BA" w:rsidR="00130C33" w:rsidP="00706DF0" w:rsidRDefault="00130C33" w14:paraId="4D5D75A1" w14:textId="77777777">
            <w:pPr>
              <w:pStyle w:val="Tabeltekst"/>
              <w:rPr>
                <w:szCs w:val="16"/>
              </w:rPr>
            </w:pPr>
          </w:p>
        </w:tc>
      </w:tr>
      <w:tr w:rsidRPr="004E3EEC" w:rsidR="00130C33" w:rsidTr="005157AC" w14:paraId="58A8CF08" w14:textId="77777777">
        <w:trPr>
          <w:trHeight w:val="1235"/>
          <w:jc w:val="center"/>
        </w:trPr>
        <w:tc>
          <w:tcPr>
            <w:tcW w:w="2552" w:type="dxa"/>
            <w:tcBorders>
              <w:left w:val="single" w:color="121469" w:themeColor="accent1" w:sz="2" w:space="0"/>
              <w:bottom w:val="single" w:color="121469" w:themeColor="accent1" w:sz="6" w:space="0"/>
              <w:right w:val="single" w:color="121469" w:themeColor="accent1" w:sz="6" w:space="0"/>
            </w:tcBorders>
            <w:shd w:val="clear" w:color="auto" w:fill="FFFFFF" w:themeFill="background1"/>
          </w:tcPr>
          <w:p w:rsidRPr="002F57BA" w:rsidR="00EF6E12" w:rsidP="00EF6E12" w:rsidRDefault="00EF6E12" w14:paraId="05D94211" w14:textId="77777777">
            <w:pPr>
              <w:spacing w:line="200" w:lineRule="atLeast"/>
              <w:rPr>
                <w:rFonts w:ascii="Verdana" w:hAnsi="Verdana"/>
                <w:b/>
                <w:bCs/>
                <w:sz w:val="16"/>
                <w:szCs w:val="16"/>
              </w:rPr>
            </w:pPr>
            <w:r w:rsidRPr="002F57BA">
              <w:rPr>
                <w:rFonts w:ascii="Verdana" w:hAnsi="Verdana"/>
                <w:b/>
                <w:bCs/>
                <w:sz w:val="16"/>
                <w:szCs w:val="16"/>
              </w:rPr>
              <w:lastRenderedPageBreak/>
              <w:t xml:space="preserve">Reikwijdte </w:t>
            </w:r>
          </w:p>
          <w:p w:rsidRPr="002F57BA" w:rsidR="00EF6E12" w:rsidP="00EF6E12" w:rsidRDefault="00EF6E12" w14:paraId="7AC848EF" w14:textId="77777777">
            <w:pPr>
              <w:spacing w:line="200" w:lineRule="atLeast"/>
              <w:rPr>
                <w:rFonts w:ascii="Verdana" w:hAnsi="Verdana"/>
                <w:sz w:val="16"/>
                <w:szCs w:val="16"/>
              </w:rPr>
            </w:pPr>
          </w:p>
          <w:p w:rsidRPr="002F57BA" w:rsidR="00130C33" w:rsidP="00497AFD" w:rsidRDefault="00130C33" w14:paraId="3D473E2B" w14:textId="77777777">
            <w:pPr>
              <w:spacing w:line="200" w:lineRule="atLeast"/>
              <w:rPr>
                <w:rFonts w:ascii="Verdana" w:hAnsi="Verdana"/>
                <w:b/>
                <w:bCs/>
                <w:sz w:val="16"/>
                <w:szCs w:val="16"/>
              </w:rPr>
            </w:pPr>
          </w:p>
        </w:tc>
        <w:tc>
          <w:tcPr>
            <w:tcW w:w="3686" w:type="dxa"/>
            <w:tcBorders>
              <w:left w:val="single" w:color="121469" w:themeColor="accent1" w:sz="6" w:space="0"/>
              <w:bottom w:val="single" w:color="121469" w:themeColor="accent1" w:sz="6" w:space="0"/>
              <w:right w:val="single" w:color="121469" w:themeColor="accent1" w:sz="6" w:space="0"/>
            </w:tcBorders>
            <w:shd w:val="clear" w:color="auto" w:fill="FFFFFF" w:themeFill="background1"/>
          </w:tcPr>
          <w:p w:rsidRPr="002F57BA" w:rsidR="00EF6E12" w:rsidP="00EF6E12" w:rsidRDefault="00EF6E12" w14:paraId="29DB26B4" w14:textId="77777777">
            <w:pPr>
              <w:spacing w:line="200" w:lineRule="atLeast"/>
              <w:rPr>
                <w:rFonts w:ascii="Verdana" w:hAnsi="Verdana"/>
                <w:sz w:val="16"/>
                <w:szCs w:val="16"/>
              </w:rPr>
            </w:pPr>
            <w:r w:rsidRPr="002F57BA">
              <w:rPr>
                <w:rFonts w:ascii="Verdana" w:hAnsi="Verdana"/>
                <w:sz w:val="16"/>
                <w:szCs w:val="16"/>
              </w:rPr>
              <w:t xml:space="preserve">De wet is van toepassing op:  </w:t>
            </w:r>
          </w:p>
          <w:p w:rsidRPr="002F57BA" w:rsidR="00EF6E12" w:rsidP="00EF6E12" w:rsidRDefault="00EF6E12" w14:paraId="57688175" w14:textId="77777777">
            <w:pPr>
              <w:pStyle w:val="Lijstalinea"/>
              <w:numPr>
                <w:ilvl w:val="0"/>
                <w:numId w:val="32"/>
              </w:numPr>
              <w:spacing w:line="200" w:lineRule="atLeast"/>
              <w:rPr>
                <w:rFonts w:ascii="Verdana" w:hAnsi="Verdana"/>
                <w:sz w:val="16"/>
                <w:szCs w:val="16"/>
              </w:rPr>
            </w:pPr>
            <w:r w:rsidRPr="002F57BA">
              <w:rPr>
                <w:rFonts w:ascii="Verdana" w:hAnsi="Verdana"/>
                <w:sz w:val="16"/>
                <w:szCs w:val="16"/>
              </w:rPr>
              <w:t>Onderneming die fysiek in Nederland goederen en diensten verkoopt;</w:t>
            </w:r>
          </w:p>
          <w:p w:rsidRPr="002F57BA" w:rsidR="00EF6E12" w:rsidP="00EF6E12" w:rsidRDefault="00EF6E12" w14:paraId="5F3B5CF0" w14:textId="77777777">
            <w:pPr>
              <w:pStyle w:val="Lijstalinea"/>
              <w:numPr>
                <w:ilvl w:val="0"/>
                <w:numId w:val="32"/>
              </w:numPr>
              <w:spacing w:line="200" w:lineRule="atLeast"/>
              <w:rPr>
                <w:rFonts w:ascii="Verdana" w:hAnsi="Verdana"/>
                <w:sz w:val="16"/>
                <w:szCs w:val="16"/>
              </w:rPr>
            </w:pPr>
            <w:r w:rsidRPr="002F57BA">
              <w:rPr>
                <w:rFonts w:ascii="Verdana" w:hAnsi="Verdana"/>
                <w:sz w:val="16"/>
                <w:szCs w:val="16"/>
              </w:rPr>
              <w:t>Onderneming die in Nederland gevestigd is en zijn goederen en/of diensten online verkoopt en zich daarbij (mede) richt op de Nederlandse markt;</w:t>
            </w:r>
          </w:p>
          <w:p w:rsidRPr="002F57BA" w:rsidR="00EF6E12" w:rsidP="00EF6E12" w:rsidRDefault="00EF6E12" w14:paraId="03695190" w14:textId="77777777">
            <w:pPr>
              <w:pStyle w:val="Lijstalinea"/>
              <w:numPr>
                <w:ilvl w:val="0"/>
                <w:numId w:val="32"/>
              </w:numPr>
              <w:spacing w:line="200" w:lineRule="atLeast"/>
              <w:rPr>
                <w:rFonts w:ascii="Verdana" w:hAnsi="Verdana"/>
                <w:sz w:val="16"/>
                <w:szCs w:val="16"/>
              </w:rPr>
            </w:pPr>
            <w:r w:rsidRPr="002F57BA">
              <w:rPr>
                <w:rFonts w:ascii="Verdana" w:hAnsi="Verdana"/>
                <w:sz w:val="16"/>
                <w:szCs w:val="16"/>
              </w:rPr>
              <w:t xml:space="preserve">Onderneming die online verkoopt en zich expliciet richt op de Nederlandse markt. </w:t>
            </w:r>
          </w:p>
          <w:p w:rsidRPr="002F57BA" w:rsidR="00EF6E12" w:rsidP="00EF6E12" w:rsidRDefault="00EF6E12" w14:paraId="7A6AA3C7" w14:textId="77777777">
            <w:pPr>
              <w:spacing w:line="200" w:lineRule="atLeast"/>
              <w:rPr>
                <w:rFonts w:ascii="Verdana" w:hAnsi="Verdana"/>
                <w:sz w:val="16"/>
                <w:szCs w:val="16"/>
              </w:rPr>
            </w:pPr>
          </w:p>
          <w:p w:rsidRPr="002F57BA" w:rsidR="00EF6E12" w:rsidP="00EF6E12" w:rsidRDefault="00EF6E12" w14:paraId="6819F869" w14:textId="10979C23">
            <w:pPr>
              <w:spacing w:line="200" w:lineRule="atLeast"/>
              <w:rPr>
                <w:rFonts w:ascii="Verdana" w:hAnsi="Verdana"/>
                <w:sz w:val="16"/>
                <w:szCs w:val="16"/>
              </w:rPr>
            </w:pPr>
            <w:r w:rsidRPr="002F57BA">
              <w:rPr>
                <w:rFonts w:ascii="Verdana" w:hAnsi="Verdana"/>
                <w:sz w:val="16"/>
                <w:szCs w:val="16"/>
              </w:rPr>
              <w:t xml:space="preserve">Bij algemene maatregel van bestuur kunnen door de regering bepaalde categorieën van ondernemingen worden vrijgesteld.* </w:t>
            </w:r>
          </w:p>
          <w:p w:rsidRPr="002F57BA" w:rsidR="00EF6E12" w:rsidP="00EF6E12" w:rsidRDefault="00EF6E12" w14:paraId="475BBC5F" w14:textId="77777777">
            <w:pPr>
              <w:spacing w:line="200" w:lineRule="atLeast"/>
              <w:rPr>
                <w:rFonts w:ascii="Verdana" w:hAnsi="Verdana"/>
                <w:sz w:val="16"/>
                <w:szCs w:val="16"/>
              </w:rPr>
            </w:pPr>
          </w:p>
          <w:p w:rsidRPr="00130C33" w:rsidR="00130C33" w:rsidP="00EF6E12" w:rsidRDefault="00EF6E12" w14:paraId="7128CA1D" w14:textId="34387102">
            <w:pPr>
              <w:spacing w:line="200" w:lineRule="atLeast"/>
              <w:ind w:left="284" w:hanging="284"/>
              <w:rPr>
                <w:rFonts w:ascii="Verdana" w:hAnsi="Verdana"/>
                <w:sz w:val="16"/>
                <w:szCs w:val="16"/>
              </w:rPr>
            </w:pPr>
            <w:r w:rsidRPr="002F57BA">
              <w:rPr>
                <w:rFonts w:ascii="Verdana" w:hAnsi="Verdana"/>
                <w:sz w:val="16"/>
                <w:szCs w:val="16"/>
              </w:rPr>
              <w:t>*A</w:t>
            </w:r>
            <w:r w:rsidRPr="002F57BA">
              <w:rPr>
                <w:rFonts w:ascii="Verdana" w:hAnsi="Verdana"/>
                <w:i/>
                <w:iCs/>
                <w:sz w:val="16"/>
                <w:szCs w:val="16"/>
              </w:rPr>
              <w:t>mendement van de leden Van Veldhoven en Dijkgraaf [</w:t>
            </w:r>
            <w:hyperlink w:history="1" r:id="rId27">
              <w:r w:rsidRPr="000368F6">
                <w:rPr>
                  <w:rStyle w:val="Hyperlink"/>
                  <w:rFonts w:ascii="Verdana" w:hAnsi="Verdana"/>
                  <w:i/>
                  <w:iCs/>
                  <w:sz w:val="16"/>
                  <w:szCs w:val="16"/>
                </w:rPr>
                <w:t>34506-26</w:t>
              </w:r>
            </w:hyperlink>
            <w:r w:rsidRPr="002F57BA">
              <w:rPr>
                <w:rFonts w:ascii="Verdana" w:hAnsi="Verdana"/>
                <w:i/>
                <w:iCs/>
                <w:sz w:val="16"/>
                <w:szCs w:val="16"/>
              </w:rPr>
              <w:t>]</w:t>
            </w:r>
          </w:p>
        </w:tc>
        <w:tc>
          <w:tcPr>
            <w:tcW w:w="3686" w:type="dxa"/>
            <w:tcBorders>
              <w:left w:val="single" w:color="121469" w:themeColor="accent1" w:sz="6" w:space="0"/>
              <w:bottom w:val="single" w:color="121469" w:themeColor="accent1" w:sz="6" w:space="0"/>
              <w:right w:val="single" w:color="121469" w:themeColor="accent1" w:sz="6" w:space="0"/>
            </w:tcBorders>
            <w:shd w:val="clear" w:color="auto" w:fill="FFFFFF" w:themeFill="background1"/>
          </w:tcPr>
          <w:p w:rsidRPr="002F57BA" w:rsidR="00EF6E12" w:rsidP="00EF6E12" w:rsidRDefault="00EF6E12" w14:paraId="5CB061C7" w14:textId="77777777">
            <w:pPr>
              <w:spacing w:line="200" w:lineRule="atLeast"/>
              <w:rPr>
                <w:rFonts w:ascii="Verdana" w:hAnsi="Verdana"/>
                <w:sz w:val="16"/>
                <w:szCs w:val="16"/>
              </w:rPr>
            </w:pPr>
            <w:r w:rsidRPr="002F57BA">
              <w:rPr>
                <w:rFonts w:ascii="Verdana" w:hAnsi="Verdana"/>
                <w:sz w:val="16"/>
                <w:szCs w:val="16"/>
              </w:rPr>
              <w:t>De richtlijn is van toepassing op:</w:t>
            </w:r>
          </w:p>
          <w:p w:rsidRPr="0012179C" w:rsidR="00EF6E12" w:rsidP="0012179C" w:rsidRDefault="00EF6E12" w14:paraId="75A3FE69" w14:textId="6300F545">
            <w:pPr>
              <w:pStyle w:val="Lijstalinea"/>
              <w:numPr>
                <w:ilvl w:val="0"/>
                <w:numId w:val="36"/>
              </w:numPr>
              <w:spacing w:line="200" w:lineRule="atLeast"/>
              <w:rPr>
                <w:rFonts w:ascii="Verdana" w:hAnsi="Verdana"/>
                <w:sz w:val="16"/>
                <w:szCs w:val="16"/>
              </w:rPr>
            </w:pPr>
            <w:r w:rsidRPr="0012179C">
              <w:rPr>
                <w:rFonts w:ascii="Verdana" w:hAnsi="Verdana"/>
                <w:sz w:val="16"/>
                <w:szCs w:val="16"/>
              </w:rPr>
              <w:t xml:space="preserve">Europese onderneming met meer dan 5000 werknemers en een netto-omzet van meer dan 1,5 miljard EUR wereldwijd. </w:t>
            </w:r>
          </w:p>
          <w:p w:rsidRPr="0012179C" w:rsidR="00EF6E12" w:rsidP="0012179C" w:rsidRDefault="00EF6E12" w14:paraId="2F63EA4C" w14:textId="65DF8959">
            <w:pPr>
              <w:pStyle w:val="Lijstalinea"/>
              <w:numPr>
                <w:ilvl w:val="0"/>
                <w:numId w:val="36"/>
              </w:numPr>
              <w:spacing w:line="200" w:lineRule="atLeast"/>
              <w:rPr>
                <w:rFonts w:ascii="Verdana" w:hAnsi="Verdana"/>
                <w:sz w:val="16"/>
                <w:szCs w:val="16"/>
              </w:rPr>
            </w:pPr>
            <w:r w:rsidRPr="0012179C">
              <w:rPr>
                <w:rFonts w:ascii="Verdana" w:hAnsi="Verdana"/>
                <w:sz w:val="16"/>
                <w:szCs w:val="16"/>
              </w:rPr>
              <w:t>Europese onderneming die de bedoelde drempelwaarden niet bereikt, maar de uiteindelijke moederonderneming is van een groep die de drempelwaarden heeft bereikt;</w:t>
            </w:r>
          </w:p>
          <w:p w:rsidRPr="0012179C" w:rsidR="00EF6E12" w:rsidP="0012179C" w:rsidRDefault="00EF6E12" w14:paraId="27202BAB" w14:textId="45087AC9">
            <w:pPr>
              <w:pStyle w:val="Lijstalinea"/>
              <w:numPr>
                <w:ilvl w:val="0"/>
                <w:numId w:val="36"/>
              </w:numPr>
              <w:spacing w:line="200" w:lineRule="atLeast"/>
              <w:rPr>
                <w:rFonts w:ascii="Verdana" w:hAnsi="Verdana"/>
                <w:sz w:val="16"/>
                <w:szCs w:val="16"/>
              </w:rPr>
            </w:pPr>
            <w:r w:rsidRPr="0012179C">
              <w:rPr>
                <w:rFonts w:ascii="Verdana" w:hAnsi="Verdana"/>
                <w:sz w:val="16"/>
                <w:szCs w:val="16"/>
              </w:rPr>
              <w:t>Europese onderneming die in de Unie franchise- of licentieovereenkomsten heeft gesloten in ruil voor royalty’s ter waarde van meer dan €75 miljoen én de onderneming heeft in het boekjaar voorafgaand aan het laatste boekjaar een netto omzet van meer dan €275 miljoen behaald wereldwijd.</w:t>
            </w:r>
          </w:p>
          <w:p w:rsidRPr="002F57BA" w:rsidR="00EF6E12" w:rsidP="00EF6E12" w:rsidRDefault="00EF6E12" w14:paraId="18381298" w14:textId="77777777">
            <w:pPr>
              <w:spacing w:line="200" w:lineRule="atLeast"/>
              <w:rPr>
                <w:rFonts w:ascii="Verdana" w:hAnsi="Verdana"/>
                <w:sz w:val="16"/>
                <w:szCs w:val="16"/>
              </w:rPr>
            </w:pPr>
          </w:p>
          <w:p w:rsidRPr="002F57BA" w:rsidR="00EF6E12" w:rsidP="00EF6E12" w:rsidRDefault="00EF6E12" w14:paraId="3A2E1208" w14:textId="0B6EBB1C">
            <w:pPr>
              <w:spacing w:line="200" w:lineRule="atLeast"/>
              <w:rPr>
                <w:rFonts w:ascii="Verdana" w:hAnsi="Verdana"/>
                <w:sz w:val="16"/>
                <w:szCs w:val="16"/>
              </w:rPr>
            </w:pPr>
            <w:r w:rsidRPr="002F57BA">
              <w:rPr>
                <w:rFonts w:ascii="Verdana" w:hAnsi="Verdana"/>
                <w:sz w:val="16"/>
                <w:szCs w:val="16"/>
              </w:rPr>
              <w:t>De richtlijn is ook van toepassing op niet-Europese ondernemingen die een netto-omzet hebben gegenereerd in de Europese Economische Ruimte van meer dan €1,5 miljard of voldoen aan de vereisten onder B of C. Met dien verstande da</w:t>
            </w:r>
            <w:r w:rsidR="00C1606B">
              <w:rPr>
                <w:rFonts w:ascii="Verdana" w:hAnsi="Verdana"/>
                <w:sz w:val="16"/>
                <w:szCs w:val="16"/>
              </w:rPr>
              <w:t>t</w:t>
            </w:r>
            <w:r w:rsidRPr="002F57BA">
              <w:rPr>
                <w:rFonts w:ascii="Verdana" w:hAnsi="Verdana"/>
                <w:sz w:val="16"/>
                <w:szCs w:val="16"/>
              </w:rPr>
              <w:t xml:space="preserve"> voor niet-Europese ondernemingen wordt gekeken naar de omzet in de Europese Economische Ruimte i.p.v. de wereldwijde omzet. </w:t>
            </w:r>
          </w:p>
          <w:p w:rsidRPr="002F57BA" w:rsidR="00EF6E12" w:rsidP="00EF6E12" w:rsidRDefault="00EF6E12" w14:paraId="14769B52" w14:textId="77777777">
            <w:pPr>
              <w:spacing w:line="200" w:lineRule="atLeast"/>
              <w:rPr>
                <w:rFonts w:ascii="Verdana" w:hAnsi="Verdana"/>
                <w:sz w:val="16"/>
                <w:szCs w:val="16"/>
              </w:rPr>
            </w:pPr>
          </w:p>
          <w:p w:rsidRPr="002F57BA" w:rsidR="00EF6E12" w:rsidP="00EF6E12" w:rsidRDefault="00EF6E12" w14:paraId="2531472C" w14:textId="77777777">
            <w:pPr>
              <w:spacing w:line="200" w:lineRule="atLeast"/>
              <w:rPr>
                <w:rFonts w:ascii="Verdana" w:hAnsi="Verdana"/>
                <w:sz w:val="16"/>
                <w:szCs w:val="16"/>
              </w:rPr>
            </w:pPr>
            <w:r w:rsidRPr="002F57BA">
              <w:rPr>
                <w:rFonts w:ascii="Verdana" w:hAnsi="Verdana"/>
                <w:sz w:val="16"/>
                <w:szCs w:val="16"/>
              </w:rPr>
              <w:t>De richtlijn is niet van toepassing op ondernemingen behorend tot het midden- en kleinbedrijf (MKB).</w:t>
            </w:r>
          </w:p>
          <w:p w:rsidRPr="002F57BA" w:rsidR="00130C33" w:rsidP="00130C33" w:rsidRDefault="00130C33" w14:paraId="44DEBA37" w14:textId="77777777">
            <w:pPr>
              <w:tabs>
                <w:tab w:val="clear" w:pos="284"/>
                <w:tab w:val="clear" w:pos="567"/>
                <w:tab w:val="clear" w:pos="851"/>
                <w:tab w:val="clear" w:pos="1134"/>
                <w:tab w:val="clear" w:pos="4111"/>
                <w:tab w:val="clear" w:pos="8222"/>
              </w:tabs>
              <w:spacing w:line="200" w:lineRule="atLeast"/>
              <w:rPr>
                <w:rFonts w:ascii="Verdana" w:hAnsi="Verdana"/>
                <w:sz w:val="16"/>
                <w:szCs w:val="16"/>
              </w:rPr>
            </w:pPr>
          </w:p>
        </w:tc>
        <w:tc>
          <w:tcPr>
            <w:tcW w:w="3686" w:type="dxa"/>
            <w:tcBorders>
              <w:left w:val="single" w:color="121469" w:themeColor="accent1" w:sz="6" w:space="0"/>
              <w:bottom w:val="single" w:color="121469" w:themeColor="accent1" w:sz="6" w:space="0"/>
              <w:right w:val="single" w:color="121469" w:themeColor="accent1" w:sz="2" w:space="0"/>
            </w:tcBorders>
            <w:shd w:val="clear" w:color="auto" w:fill="FFFFFF" w:themeFill="background1"/>
          </w:tcPr>
          <w:p w:rsidR="00F56443" w:rsidP="00130C33" w:rsidRDefault="00EF6E12" w14:paraId="4D0AF439" w14:textId="77777777">
            <w:pPr>
              <w:spacing w:line="200" w:lineRule="atLeast"/>
              <w:ind w:left="284" w:hanging="284"/>
              <w:rPr>
                <w:rFonts w:ascii="Verdana" w:hAnsi="Verdana"/>
                <w:sz w:val="16"/>
                <w:szCs w:val="16"/>
              </w:rPr>
            </w:pPr>
            <w:r w:rsidRPr="002F57BA">
              <w:rPr>
                <w:rFonts w:ascii="Verdana" w:hAnsi="Verdana"/>
                <w:sz w:val="16"/>
                <w:szCs w:val="16"/>
              </w:rPr>
              <w:t>De verordening is van toepassing op</w:t>
            </w:r>
            <w:r>
              <w:rPr>
                <w:rFonts w:ascii="Verdana" w:hAnsi="Verdana"/>
                <w:sz w:val="16"/>
                <w:szCs w:val="16"/>
              </w:rPr>
              <w:t>:</w:t>
            </w:r>
            <w:r w:rsidRPr="002F57BA">
              <w:rPr>
                <w:rFonts w:ascii="Verdana" w:hAnsi="Verdana"/>
                <w:sz w:val="16"/>
                <w:szCs w:val="16"/>
              </w:rPr>
              <w:t xml:space="preserve"> alle</w:t>
            </w:r>
          </w:p>
          <w:p w:rsidR="00A92655" w:rsidP="00130C33" w:rsidRDefault="00EF6E12" w14:paraId="3328707A" w14:textId="14384064">
            <w:pPr>
              <w:spacing w:line="200" w:lineRule="atLeast"/>
              <w:ind w:left="284" w:hanging="284"/>
              <w:rPr>
                <w:rFonts w:ascii="Verdana" w:hAnsi="Verdana"/>
                <w:sz w:val="16"/>
                <w:szCs w:val="16"/>
              </w:rPr>
            </w:pPr>
            <w:r w:rsidRPr="002F57BA">
              <w:rPr>
                <w:rFonts w:ascii="Verdana" w:hAnsi="Verdana"/>
                <w:sz w:val="16"/>
                <w:szCs w:val="16"/>
              </w:rPr>
              <w:t>marktdeelnemers.</w:t>
            </w:r>
            <w:r w:rsidR="00A92655">
              <w:rPr>
                <w:rFonts w:ascii="Verdana" w:hAnsi="Verdana"/>
                <w:sz w:val="16"/>
                <w:szCs w:val="16"/>
              </w:rPr>
              <w:t>*</w:t>
            </w:r>
            <w:r w:rsidRPr="002F57BA">
              <w:rPr>
                <w:rFonts w:ascii="Verdana" w:hAnsi="Verdana"/>
                <w:sz w:val="16"/>
                <w:szCs w:val="16"/>
              </w:rPr>
              <w:t xml:space="preserve"> </w:t>
            </w:r>
          </w:p>
          <w:p w:rsidR="00A92655" w:rsidP="00130C33" w:rsidRDefault="00A92655" w14:paraId="264949D3" w14:textId="77777777">
            <w:pPr>
              <w:spacing w:line="200" w:lineRule="atLeast"/>
              <w:ind w:left="284" w:hanging="284"/>
              <w:rPr>
                <w:rFonts w:ascii="Verdana" w:hAnsi="Verdana"/>
                <w:sz w:val="16"/>
                <w:szCs w:val="16"/>
              </w:rPr>
            </w:pPr>
          </w:p>
          <w:p w:rsidR="00F56443" w:rsidP="00130C33" w:rsidRDefault="00A92655" w14:paraId="5A22DDC1" w14:textId="77777777">
            <w:pPr>
              <w:spacing w:line="200" w:lineRule="atLeast"/>
              <w:ind w:left="284" w:hanging="284"/>
              <w:rPr>
                <w:rFonts w:ascii="Verdana" w:hAnsi="Verdana"/>
                <w:sz w:val="16"/>
                <w:szCs w:val="16"/>
              </w:rPr>
            </w:pPr>
            <w:r>
              <w:rPr>
                <w:rFonts w:ascii="Verdana" w:hAnsi="Verdana"/>
                <w:sz w:val="16"/>
                <w:szCs w:val="16"/>
              </w:rPr>
              <w:t>*</w:t>
            </w:r>
            <w:r w:rsidRPr="002F57BA" w:rsidR="00EF6E12">
              <w:rPr>
                <w:rFonts w:ascii="Verdana" w:hAnsi="Verdana"/>
                <w:sz w:val="16"/>
                <w:szCs w:val="16"/>
              </w:rPr>
              <w:t>Marktdeelnemers zijn een natuurlijke of</w:t>
            </w:r>
          </w:p>
          <w:p w:rsidR="00F56443" w:rsidP="00130C33" w:rsidRDefault="00EF6E12" w14:paraId="741D5695" w14:textId="77777777">
            <w:pPr>
              <w:spacing w:line="200" w:lineRule="atLeast"/>
              <w:ind w:left="284" w:hanging="284"/>
              <w:rPr>
                <w:rFonts w:ascii="Verdana" w:hAnsi="Verdana"/>
                <w:sz w:val="16"/>
                <w:szCs w:val="16"/>
              </w:rPr>
            </w:pPr>
            <w:r w:rsidRPr="002F57BA">
              <w:rPr>
                <w:rFonts w:ascii="Verdana" w:hAnsi="Verdana"/>
                <w:sz w:val="16"/>
                <w:szCs w:val="16"/>
              </w:rPr>
              <w:t>rechtspersoon of vereniging van personen</w:t>
            </w:r>
          </w:p>
          <w:p w:rsidR="00F56443" w:rsidP="00130C33" w:rsidRDefault="00EF6E12" w14:paraId="308FDC38" w14:textId="77777777">
            <w:pPr>
              <w:spacing w:line="200" w:lineRule="atLeast"/>
              <w:ind w:left="284" w:hanging="284"/>
              <w:rPr>
                <w:rFonts w:ascii="Verdana" w:hAnsi="Verdana"/>
                <w:sz w:val="16"/>
                <w:szCs w:val="16"/>
              </w:rPr>
            </w:pPr>
            <w:r w:rsidRPr="002F57BA">
              <w:rPr>
                <w:rFonts w:ascii="Verdana" w:hAnsi="Verdana"/>
                <w:sz w:val="16"/>
                <w:szCs w:val="16"/>
              </w:rPr>
              <w:t>die producten in de Europese Unie op de</w:t>
            </w:r>
          </w:p>
          <w:p w:rsidR="00F56443" w:rsidP="00130C33" w:rsidRDefault="00EF6E12" w14:paraId="221B8B0D" w14:textId="77777777">
            <w:pPr>
              <w:spacing w:line="200" w:lineRule="atLeast"/>
              <w:ind w:left="284" w:hanging="284"/>
              <w:rPr>
                <w:rFonts w:ascii="Verdana" w:hAnsi="Verdana"/>
                <w:sz w:val="16"/>
                <w:szCs w:val="16"/>
              </w:rPr>
            </w:pPr>
            <w:r w:rsidRPr="002F57BA">
              <w:rPr>
                <w:rFonts w:ascii="Verdana" w:hAnsi="Verdana"/>
                <w:sz w:val="16"/>
                <w:szCs w:val="16"/>
              </w:rPr>
              <w:t>handel, op de markt aanbieden of</w:t>
            </w:r>
          </w:p>
          <w:p w:rsidRPr="00130C33" w:rsidR="00130C33" w:rsidP="00130C33" w:rsidRDefault="00EF6E12" w14:paraId="2F9A973D" w14:textId="10E0FB76">
            <w:pPr>
              <w:spacing w:line="200" w:lineRule="atLeast"/>
              <w:ind w:left="284" w:hanging="284"/>
              <w:rPr>
                <w:rFonts w:ascii="Verdana" w:hAnsi="Verdana"/>
                <w:sz w:val="16"/>
                <w:szCs w:val="16"/>
              </w:rPr>
            </w:pPr>
            <w:r w:rsidRPr="002F57BA">
              <w:rPr>
                <w:rFonts w:ascii="Verdana" w:hAnsi="Verdana"/>
                <w:sz w:val="16"/>
                <w:szCs w:val="16"/>
              </w:rPr>
              <w:t>producten uitvoeren.</w:t>
            </w:r>
          </w:p>
        </w:tc>
      </w:tr>
      <w:tr w:rsidRPr="004E3EEC" w:rsidR="009C6CEC" w:rsidTr="005157AC" w14:paraId="303F4328" w14:textId="77777777">
        <w:trPr>
          <w:trHeight w:val="1235"/>
          <w:jc w:val="center"/>
        </w:trPr>
        <w:tc>
          <w:tcPr>
            <w:tcW w:w="2552" w:type="dxa"/>
            <w:tcBorders>
              <w:top w:val="single" w:color="121469" w:themeColor="accent1" w:sz="6" w:space="0"/>
              <w:left w:val="single" w:color="121469" w:themeColor="accent1" w:sz="2" w:space="0"/>
              <w:bottom w:val="single" w:color="121469" w:themeColor="accent1" w:sz="2" w:space="0"/>
              <w:right w:val="single" w:color="121469" w:themeColor="accent1" w:sz="6" w:space="0"/>
            </w:tcBorders>
            <w:shd w:val="clear" w:color="auto" w:fill="F0F2F4" w:themeFill="accent3" w:themeFillTint="33"/>
          </w:tcPr>
          <w:p w:rsidRPr="002F57BA" w:rsidR="004A15C5" w:rsidP="004A15C5" w:rsidRDefault="004A15C5" w14:paraId="0D9981E8" w14:textId="77777777">
            <w:pPr>
              <w:spacing w:line="200" w:lineRule="atLeast"/>
              <w:rPr>
                <w:rFonts w:ascii="Verdana" w:hAnsi="Verdana"/>
                <w:b/>
                <w:bCs/>
                <w:sz w:val="16"/>
                <w:szCs w:val="16"/>
              </w:rPr>
            </w:pPr>
            <w:r w:rsidRPr="002F57BA">
              <w:rPr>
                <w:rFonts w:ascii="Verdana" w:hAnsi="Verdana"/>
                <w:b/>
                <w:bCs/>
                <w:sz w:val="16"/>
                <w:szCs w:val="16"/>
              </w:rPr>
              <w:lastRenderedPageBreak/>
              <w:t xml:space="preserve">Ketenverantwoordelijkheden </w:t>
            </w:r>
          </w:p>
          <w:p w:rsidRPr="002F57BA" w:rsidR="004A15C5" w:rsidP="004A15C5" w:rsidRDefault="004A15C5" w14:paraId="551954E8" w14:textId="77777777">
            <w:pPr>
              <w:spacing w:line="200" w:lineRule="atLeast"/>
              <w:rPr>
                <w:rFonts w:ascii="Verdana" w:hAnsi="Verdana"/>
                <w:b/>
                <w:bCs/>
                <w:sz w:val="16"/>
                <w:szCs w:val="16"/>
              </w:rPr>
            </w:pPr>
          </w:p>
          <w:p w:rsidRPr="002F57BA" w:rsidR="009C6CEC" w:rsidP="004A15C5" w:rsidRDefault="009C6CEC" w14:paraId="1AD115ED" w14:textId="5A82A71B">
            <w:pPr>
              <w:spacing w:line="200" w:lineRule="atLeast"/>
              <w:rPr>
                <w:rFonts w:ascii="Verdana" w:hAnsi="Verdana"/>
                <w:b/>
                <w:bCs/>
                <w:sz w:val="16"/>
                <w:szCs w:val="16"/>
              </w:rPr>
            </w:pPr>
          </w:p>
        </w:tc>
        <w:tc>
          <w:tcPr>
            <w:tcW w:w="3686" w:type="dxa"/>
            <w:tcBorders>
              <w:top w:val="single" w:color="121469" w:themeColor="accent1" w:sz="6" w:space="0"/>
              <w:left w:val="single" w:color="121469" w:themeColor="accent1" w:sz="6" w:space="0"/>
              <w:bottom w:val="single" w:color="121469" w:themeColor="accent1" w:sz="2" w:space="0"/>
              <w:right w:val="single" w:color="121469" w:themeColor="accent1" w:sz="6" w:space="0"/>
            </w:tcBorders>
            <w:shd w:val="clear" w:color="auto" w:fill="F0F2F4" w:themeFill="accent3" w:themeFillTint="33"/>
          </w:tcPr>
          <w:p w:rsidR="006515CC" w:rsidP="00EF6E12" w:rsidRDefault="004A15C5" w14:paraId="477567DD" w14:textId="77777777">
            <w:pPr>
              <w:spacing w:line="200" w:lineRule="atLeast"/>
              <w:rPr>
                <w:rFonts w:ascii="Verdana" w:hAnsi="Verdana"/>
                <w:sz w:val="16"/>
                <w:szCs w:val="16"/>
              </w:rPr>
            </w:pPr>
            <w:r w:rsidRPr="002F57BA">
              <w:rPr>
                <w:rFonts w:ascii="Verdana" w:hAnsi="Verdana"/>
                <w:sz w:val="16"/>
                <w:szCs w:val="16"/>
              </w:rPr>
              <w:t xml:space="preserve">Ondernemingen worden verplicht gepaste zorgvuldigheid te betrachten ten aanzien </w:t>
            </w:r>
          </w:p>
          <w:p w:rsidRPr="002F57BA" w:rsidR="009C6CEC" w:rsidP="00EF6E12" w:rsidRDefault="004A15C5" w14:paraId="6242E037" w14:textId="1481826E">
            <w:pPr>
              <w:spacing w:line="200" w:lineRule="atLeast"/>
              <w:rPr>
                <w:rFonts w:ascii="Verdana" w:hAnsi="Verdana"/>
                <w:sz w:val="16"/>
                <w:szCs w:val="16"/>
              </w:rPr>
            </w:pPr>
            <w:r w:rsidRPr="002F57BA">
              <w:rPr>
                <w:rFonts w:ascii="Verdana" w:hAnsi="Verdana"/>
                <w:sz w:val="16"/>
                <w:szCs w:val="16"/>
              </w:rPr>
              <w:t xml:space="preserve">van hun gehele productieketen.  </w:t>
            </w:r>
          </w:p>
        </w:tc>
        <w:tc>
          <w:tcPr>
            <w:tcW w:w="3686" w:type="dxa"/>
            <w:tcBorders>
              <w:top w:val="single" w:color="121469" w:themeColor="accent1" w:sz="6" w:space="0"/>
              <w:left w:val="single" w:color="121469" w:themeColor="accent1" w:sz="6" w:space="0"/>
              <w:bottom w:val="single" w:color="121469" w:themeColor="accent1" w:sz="2" w:space="0"/>
              <w:right w:val="single" w:color="121469" w:themeColor="accent1" w:sz="6" w:space="0"/>
            </w:tcBorders>
            <w:shd w:val="clear" w:color="auto" w:fill="F0F2F4" w:themeFill="accent3" w:themeFillTint="33"/>
          </w:tcPr>
          <w:p w:rsidRPr="002F57BA" w:rsidR="009C6CEC" w:rsidP="00EF6E12" w:rsidRDefault="004A15C5" w14:paraId="3AA083E2" w14:textId="2CE7F63F">
            <w:pPr>
              <w:spacing w:line="200" w:lineRule="atLeast"/>
              <w:rPr>
                <w:rFonts w:ascii="Verdana" w:hAnsi="Verdana"/>
                <w:sz w:val="16"/>
                <w:szCs w:val="16"/>
              </w:rPr>
            </w:pPr>
            <w:r w:rsidRPr="002F57BA">
              <w:rPr>
                <w:rFonts w:ascii="Verdana" w:hAnsi="Verdana"/>
                <w:sz w:val="16"/>
                <w:szCs w:val="16"/>
              </w:rPr>
              <w:t>Ondernemingen worden verplicht passende zorgvuldigheid te betrachten voor het gehele deel van de keten met upstream activiteiten (toeleveringsketen) en een gedeelte van de keten met downstream activiteiten (waardeketen na verkoop door de betreffende onderneming van het product of de dienst).</w:t>
            </w:r>
          </w:p>
        </w:tc>
        <w:tc>
          <w:tcPr>
            <w:tcW w:w="3686" w:type="dxa"/>
            <w:tcBorders>
              <w:top w:val="single" w:color="121469" w:themeColor="accent1" w:sz="6" w:space="0"/>
              <w:left w:val="single" w:color="121469" w:themeColor="accent1" w:sz="6" w:space="0"/>
              <w:bottom w:val="single" w:color="121469" w:themeColor="accent1" w:sz="2" w:space="0"/>
              <w:right w:val="single" w:color="121469" w:themeColor="accent1" w:sz="2" w:space="0"/>
            </w:tcBorders>
            <w:shd w:val="clear" w:color="auto" w:fill="F0F2F4" w:themeFill="accent3" w:themeFillTint="33"/>
          </w:tcPr>
          <w:p w:rsidR="00F56443" w:rsidP="00130C33" w:rsidRDefault="004A15C5" w14:paraId="40B49E34" w14:textId="77777777">
            <w:pPr>
              <w:spacing w:line="200" w:lineRule="atLeast"/>
              <w:ind w:left="284" w:hanging="284"/>
              <w:rPr>
                <w:rFonts w:ascii="Verdana" w:hAnsi="Verdana"/>
                <w:sz w:val="16"/>
                <w:szCs w:val="16"/>
              </w:rPr>
            </w:pPr>
            <w:r w:rsidRPr="002F57BA">
              <w:rPr>
                <w:rFonts w:ascii="Verdana" w:hAnsi="Verdana"/>
                <w:sz w:val="16"/>
                <w:szCs w:val="16"/>
              </w:rPr>
              <w:t>Het verbod geldt voor alle producten,</w:t>
            </w:r>
          </w:p>
          <w:p w:rsidRPr="002F57BA" w:rsidR="009C6CEC" w:rsidP="00130C33" w:rsidRDefault="004A15C5" w14:paraId="3AF05024" w14:textId="6DFA91B4">
            <w:pPr>
              <w:spacing w:line="200" w:lineRule="atLeast"/>
              <w:ind w:left="284" w:hanging="284"/>
              <w:rPr>
                <w:rFonts w:ascii="Verdana" w:hAnsi="Verdana"/>
                <w:sz w:val="16"/>
                <w:szCs w:val="16"/>
              </w:rPr>
            </w:pPr>
            <w:r w:rsidRPr="002F57BA">
              <w:rPr>
                <w:rFonts w:ascii="Verdana" w:hAnsi="Verdana"/>
                <w:sz w:val="16"/>
                <w:szCs w:val="16"/>
              </w:rPr>
              <w:t>bedrijven en sectoren.</w:t>
            </w:r>
            <w:r w:rsidR="00693652">
              <w:rPr>
                <w:rFonts w:ascii="Verdana" w:hAnsi="Verdana"/>
                <w:sz w:val="16"/>
                <w:szCs w:val="16"/>
              </w:rPr>
              <w:t xml:space="preserve"> </w:t>
            </w:r>
          </w:p>
        </w:tc>
      </w:tr>
      <w:tr w:rsidRPr="004E3EEC" w:rsidR="004A15C5" w:rsidTr="005157AC" w14:paraId="0C4F836B" w14:textId="77777777">
        <w:trPr>
          <w:trHeight w:val="1235"/>
          <w:jc w:val="center"/>
        </w:trPr>
        <w:tc>
          <w:tcPr>
            <w:tcW w:w="2552" w:type="dxa"/>
            <w:tcBorders>
              <w:left w:val="single" w:color="121469" w:themeColor="accent1" w:sz="2" w:space="0"/>
              <w:bottom w:val="single" w:color="121469" w:themeColor="accent1" w:sz="6" w:space="0"/>
              <w:right w:val="single" w:color="121469" w:themeColor="accent1" w:sz="6" w:space="0"/>
            </w:tcBorders>
            <w:shd w:val="clear" w:color="auto" w:fill="FFFFFF" w:themeFill="background1"/>
          </w:tcPr>
          <w:p w:rsidRPr="002F57BA" w:rsidR="004A15C5" w:rsidP="004A15C5" w:rsidRDefault="004A15C5" w14:paraId="61716494" w14:textId="77777777">
            <w:pPr>
              <w:spacing w:line="200" w:lineRule="atLeast"/>
              <w:rPr>
                <w:rFonts w:ascii="Verdana" w:hAnsi="Verdana"/>
                <w:b/>
                <w:bCs/>
                <w:sz w:val="16"/>
                <w:szCs w:val="16"/>
              </w:rPr>
            </w:pPr>
            <w:r w:rsidRPr="002F57BA">
              <w:rPr>
                <w:rFonts w:ascii="Verdana" w:hAnsi="Verdana"/>
                <w:b/>
                <w:bCs/>
                <w:sz w:val="16"/>
                <w:szCs w:val="16"/>
              </w:rPr>
              <w:t xml:space="preserve">Onderzoeksplicht  </w:t>
            </w:r>
          </w:p>
          <w:p w:rsidRPr="002F57BA" w:rsidR="004A15C5" w:rsidP="004A15C5" w:rsidRDefault="004A15C5" w14:paraId="562C7142" w14:textId="77777777">
            <w:pPr>
              <w:spacing w:line="200" w:lineRule="atLeast"/>
              <w:rPr>
                <w:rFonts w:ascii="Verdana" w:hAnsi="Verdana"/>
                <w:b/>
                <w:bCs/>
                <w:sz w:val="16"/>
                <w:szCs w:val="16"/>
              </w:rPr>
            </w:pPr>
          </w:p>
          <w:p w:rsidRPr="002F57BA" w:rsidR="004A15C5" w:rsidP="004A15C5" w:rsidRDefault="004A15C5" w14:paraId="0088DBF2" w14:textId="6151A494">
            <w:pPr>
              <w:spacing w:line="200" w:lineRule="atLeast"/>
              <w:rPr>
                <w:rFonts w:ascii="Verdana" w:hAnsi="Verdana"/>
                <w:b/>
                <w:bCs/>
                <w:sz w:val="16"/>
                <w:szCs w:val="16"/>
              </w:rPr>
            </w:pPr>
          </w:p>
        </w:tc>
        <w:tc>
          <w:tcPr>
            <w:tcW w:w="3686" w:type="dxa"/>
            <w:tcBorders>
              <w:left w:val="single" w:color="121469" w:themeColor="accent1" w:sz="6" w:space="0"/>
              <w:bottom w:val="single" w:color="121469" w:themeColor="accent1" w:sz="6" w:space="0"/>
              <w:right w:val="single" w:color="121469" w:themeColor="accent1" w:sz="6" w:space="0"/>
            </w:tcBorders>
            <w:shd w:val="clear" w:color="auto" w:fill="FFFFFF" w:themeFill="background1"/>
          </w:tcPr>
          <w:p w:rsidR="005C7085" w:rsidP="004A15C5" w:rsidRDefault="004A15C5" w14:paraId="1F0A76C7" w14:textId="77777777">
            <w:pPr>
              <w:spacing w:line="200" w:lineRule="atLeast"/>
              <w:rPr>
                <w:rFonts w:ascii="Verdana" w:hAnsi="Verdana"/>
                <w:sz w:val="16"/>
                <w:szCs w:val="16"/>
              </w:rPr>
            </w:pPr>
            <w:r w:rsidRPr="002F57BA">
              <w:rPr>
                <w:rFonts w:ascii="Verdana" w:hAnsi="Verdana"/>
                <w:sz w:val="16"/>
                <w:szCs w:val="16"/>
              </w:rPr>
              <w:t xml:space="preserve">De onderneming wordt verplicht onderzoek te doen of een redelijk vermoeden kan bestaan dat goederen of diensten met </w:t>
            </w:r>
          </w:p>
          <w:p w:rsidRPr="002F57BA" w:rsidR="004A15C5" w:rsidP="004A15C5" w:rsidRDefault="004A15C5" w14:paraId="7356EDF9" w14:textId="764A64D0">
            <w:pPr>
              <w:spacing w:line="200" w:lineRule="atLeast"/>
              <w:rPr>
                <w:rFonts w:ascii="Verdana" w:hAnsi="Verdana"/>
                <w:sz w:val="16"/>
                <w:szCs w:val="16"/>
              </w:rPr>
            </w:pPr>
            <w:r w:rsidRPr="002F57BA">
              <w:rPr>
                <w:rFonts w:ascii="Verdana" w:hAnsi="Verdana"/>
                <w:sz w:val="16"/>
                <w:szCs w:val="16"/>
              </w:rPr>
              <w:t xml:space="preserve">behulp van kinderarbeid tot stand zijn gekomen. </w:t>
            </w:r>
          </w:p>
          <w:p w:rsidRPr="002F57BA" w:rsidR="004A15C5" w:rsidP="004A15C5" w:rsidRDefault="004A15C5" w14:paraId="68F47040" w14:textId="77777777">
            <w:pPr>
              <w:spacing w:line="200" w:lineRule="atLeast"/>
              <w:rPr>
                <w:rFonts w:ascii="Verdana" w:hAnsi="Verdana"/>
                <w:sz w:val="16"/>
                <w:szCs w:val="16"/>
              </w:rPr>
            </w:pPr>
          </w:p>
          <w:p w:rsidR="005C7085" w:rsidP="004A15C5" w:rsidRDefault="004A15C5" w14:paraId="6BA3CEC1" w14:textId="77777777">
            <w:pPr>
              <w:spacing w:line="200" w:lineRule="atLeast"/>
              <w:rPr>
                <w:rFonts w:ascii="Verdana" w:hAnsi="Verdana"/>
                <w:sz w:val="16"/>
                <w:szCs w:val="16"/>
              </w:rPr>
            </w:pPr>
            <w:r w:rsidRPr="002F57BA">
              <w:rPr>
                <w:rFonts w:ascii="Verdana" w:hAnsi="Verdana"/>
                <w:sz w:val="16"/>
                <w:szCs w:val="16"/>
              </w:rPr>
              <w:t xml:space="preserve">Bij algemene maatregel van bestuur </w:t>
            </w:r>
          </w:p>
          <w:p w:rsidRPr="002F57BA" w:rsidR="004A15C5" w:rsidP="004A15C5" w:rsidRDefault="004A15C5" w14:paraId="04833EC4" w14:textId="6F7B6377">
            <w:pPr>
              <w:spacing w:line="200" w:lineRule="atLeast"/>
              <w:rPr>
                <w:rFonts w:ascii="Verdana" w:hAnsi="Verdana"/>
                <w:sz w:val="16"/>
                <w:szCs w:val="16"/>
              </w:rPr>
            </w:pPr>
            <w:r w:rsidRPr="002F57BA">
              <w:rPr>
                <w:rFonts w:ascii="Verdana" w:hAnsi="Verdana"/>
                <w:sz w:val="16"/>
                <w:szCs w:val="16"/>
              </w:rPr>
              <w:t xml:space="preserve">moeten door de regering nog nadere eisen t.a.v. de reikwijdte van de onderzoeksplicht worden uitgewerkt. </w:t>
            </w:r>
          </w:p>
          <w:p w:rsidRPr="002F57BA" w:rsidR="004A15C5" w:rsidP="00EF6E12" w:rsidRDefault="004A15C5" w14:paraId="1D6A7BF1" w14:textId="77777777">
            <w:pPr>
              <w:spacing w:line="200" w:lineRule="atLeast"/>
              <w:rPr>
                <w:rFonts w:ascii="Verdana" w:hAnsi="Verdana"/>
                <w:sz w:val="16"/>
                <w:szCs w:val="16"/>
              </w:rPr>
            </w:pPr>
          </w:p>
        </w:tc>
        <w:tc>
          <w:tcPr>
            <w:tcW w:w="3686" w:type="dxa"/>
            <w:tcBorders>
              <w:left w:val="single" w:color="121469" w:themeColor="accent1" w:sz="6" w:space="0"/>
              <w:bottom w:val="single" w:color="121469" w:themeColor="accent1" w:sz="6" w:space="0"/>
              <w:right w:val="single" w:color="121469" w:themeColor="accent1" w:sz="6" w:space="0"/>
            </w:tcBorders>
            <w:shd w:val="clear" w:color="auto" w:fill="FFFFFF" w:themeFill="background1"/>
          </w:tcPr>
          <w:p w:rsidRPr="002F57BA" w:rsidR="004A15C5" w:rsidP="004A15C5" w:rsidRDefault="004A15C5" w14:paraId="06A77AD8" w14:textId="77777777">
            <w:pPr>
              <w:spacing w:line="200" w:lineRule="atLeast"/>
              <w:rPr>
                <w:rFonts w:ascii="Verdana" w:hAnsi="Verdana"/>
                <w:sz w:val="16"/>
                <w:szCs w:val="16"/>
              </w:rPr>
            </w:pPr>
            <w:r w:rsidRPr="002F57BA">
              <w:rPr>
                <w:rFonts w:ascii="Verdana" w:hAnsi="Verdana"/>
                <w:sz w:val="16"/>
                <w:szCs w:val="16"/>
              </w:rPr>
              <w:t xml:space="preserve">De onderneming wordt verplicht een </w:t>
            </w:r>
            <w:r w:rsidRPr="002F57BA">
              <w:rPr>
                <w:rFonts w:ascii="Verdana" w:hAnsi="Verdana"/>
                <w:sz w:val="16"/>
                <w:szCs w:val="16"/>
                <w:u w:val="single"/>
              </w:rPr>
              <w:t xml:space="preserve">verkennend onderzoek </w:t>
            </w:r>
            <w:r w:rsidRPr="002F57BA">
              <w:rPr>
                <w:rFonts w:ascii="Verdana" w:hAnsi="Verdana"/>
                <w:sz w:val="16"/>
                <w:szCs w:val="16"/>
              </w:rPr>
              <w:t>uit te voeren van de processen en activiteiten, inclusief die van haar dochterondernemingen en van haar (voor de activiteit relevante) zakenpartners, om te identificeren op welke gebieden de feitelijke of potentiële nadelige gevolgen het meest waarschijnlijk en ernstig zijn.</w:t>
            </w:r>
          </w:p>
          <w:p w:rsidRPr="002F57BA" w:rsidR="004A15C5" w:rsidP="004A15C5" w:rsidRDefault="004A15C5" w14:paraId="622073D4" w14:textId="77777777">
            <w:pPr>
              <w:spacing w:line="200" w:lineRule="atLeast"/>
              <w:rPr>
                <w:rFonts w:ascii="Verdana" w:hAnsi="Verdana"/>
                <w:sz w:val="16"/>
                <w:szCs w:val="16"/>
              </w:rPr>
            </w:pPr>
          </w:p>
          <w:p w:rsidRPr="002F57BA" w:rsidR="004A15C5" w:rsidP="004A15C5" w:rsidRDefault="004A15C5" w14:paraId="19217E0B" w14:textId="23CC78FE">
            <w:pPr>
              <w:spacing w:line="200" w:lineRule="atLeast"/>
              <w:rPr>
                <w:rFonts w:ascii="Verdana" w:hAnsi="Verdana"/>
                <w:sz w:val="16"/>
                <w:szCs w:val="16"/>
              </w:rPr>
            </w:pPr>
            <w:r w:rsidRPr="002F57BA">
              <w:rPr>
                <w:rFonts w:ascii="Verdana" w:hAnsi="Verdana"/>
                <w:sz w:val="16"/>
                <w:szCs w:val="16"/>
              </w:rPr>
              <w:t>Gebaseerd op deze informatie moeten ondernemingen daar waar feitelijke en potentiële nadelige gevolgen het meest waarschijnlijk en meest ernstig zijn, een diepgaande beoordeling uitvoer</w:t>
            </w:r>
            <w:r w:rsidR="004456A8">
              <w:rPr>
                <w:rFonts w:ascii="Verdana" w:hAnsi="Verdana"/>
                <w:sz w:val="16"/>
                <w:szCs w:val="16"/>
              </w:rPr>
              <w:t>en</w:t>
            </w:r>
            <w:r w:rsidRPr="002F57BA">
              <w:rPr>
                <w:rFonts w:ascii="Verdana" w:hAnsi="Verdana"/>
                <w:sz w:val="16"/>
                <w:szCs w:val="16"/>
              </w:rPr>
              <w:t>uitvoer</w:t>
            </w:r>
            <w:r w:rsidR="00E8627F">
              <w:rPr>
                <w:rFonts w:ascii="Verdana" w:hAnsi="Verdana"/>
                <w:sz w:val="16"/>
                <w:szCs w:val="16"/>
              </w:rPr>
              <w:t>e</w:t>
            </w:r>
            <w:r w:rsidRPr="002F57BA">
              <w:rPr>
                <w:rFonts w:ascii="Verdana" w:hAnsi="Verdana"/>
                <w:sz w:val="16"/>
                <w:szCs w:val="16"/>
              </w:rPr>
              <w:t>n naar de eigen processen en activiteiten, die van hun dochterondernemingen en van hun (voor de activiteit relevante) zakenpartners.</w:t>
            </w:r>
          </w:p>
        </w:tc>
        <w:tc>
          <w:tcPr>
            <w:tcW w:w="3686" w:type="dxa"/>
            <w:tcBorders>
              <w:left w:val="single" w:color="121469" w:themeColor="accent1" w:sz="6" w:space="0"/>
              <w:bottom w:val="single" w:color="121469" w:themeColor="accent1" w:sz="6" w:space="0"/>
              <w:right w:val="single" w:color="121469" w:themeColor="accent1" w:sz="2" w:space="0"/>
            </w:tcBorders>
            <w:shd w:val="clear" w:color="auto" w:fill="FFFFFF" w:themeFill="background1"/>
          </w:tcPr>
          <w:p w:rsidR="00BB1FF0" w:rsidP="00130C33" w:rsidRDefault="004A15C5" w14:paraId="470F117A" w14:textId="77777777">
            <w:pPr>
              <w:spacing w:line="200" w:lineRule="atLeast"/>
              <w:ind w:left="284" w:hanging="284"/>
              <w:rPr>
                <w:rFonts w:ascii="Verdana" w:hAnsi="Verdana"/>
                <w:sz w:val="16"/>
                <w:szCs w:val="16"/>
              </w:rPr>
            </w:pPr>
            <w:r w:rsidRPr="002F57BA">
              <w:rPr>
                <w:rFonts w:ascii="Verdana" w:hAnsi="Verdana"/>
                <w:sz w:val="16"/>
                <w:szCs w:val="16"/>
              </w:rPr>
              <w:t>De verordening schept voor marktdeelnemers</w:t>
            </w:r>
          </w:p>
          <w:p w:rsidR="00BB1FF0" w:rsidP="00130C33" w:rsidRDefault="004A15C5" w14:paraId="04DC4832" w14:textId="77777777">
            <w:pPr>
              <w:spacing w:line="200" w:lineRule="atLeast"/>
              <w:ind w:left="284" w:hanging="284"/>
              <w:rPr>
                <w:rFonts w:ascii="Verdana" w:hAnsi="Verdana"/>
                <w:sz w:val="16"/>
                <w:szCs w:val="16"/>
              </w:rPr>
            </w:pPr>
            <w:r w:rsidRPr="002F57BA">
              <w:rPr>
                <w:rFonts w:ascii="Verdana" w:hAnsi="Verdana"/>
                <w:sz w:val="16"/>
                <w:szCs w:val="16"/>
              </w:rPr>
              <w:t xml:space="preserve">geen aanvullende </w:t>
            </w:r>
            <w:r w:rsidR="00BB1FF0">
              <w:rPr>
                <w:rFonts w:ascii="Verdana" w:hAnsi="Verdana"/>
                <w:sz w:val="16"/>
                <w:szCs w:val="16"/>
              </w:rPr>
              <w:t xml:space="preserve">onderzoeksplicht </w:t>
            </w:r>
            <w:r w:rsidRPr="002F57BA">
              <w:rPr>
                <w:rFonts w:ascii="Verdana" w:hAnsi="Verdana"/>
                <w:sz w:val="16"/>
                <w:szCs w:val="16"/>
              </w:rPr>
              <w:t>naast die</w:t>
            </w:r>
          </w:p>
          <w:p w:rsidR="00BB1FF0" w:rsidP="00130C33" w:rsidRDefault="004A15C5" w14:paraId="3D9D7137" w14:textId="77777777">
            <w:pPr>
              <w:spacing w:line="200" w:lineRule="atLeast"/>
              <w:ind w:left="284" w:hanging="284"/>
              <w:rPr>
                <w:rFonts w:ascii="Verdana" w:hAnsi="Verdana"/>
                <w:sz w:val="16"/>
                <w:szCs w:val="16"/>
              </w:rPr>
            </w:pPr>
            <w:r w:rsidRPr="002F57BA">
              <w:rPr>
                <w:rFonts w:ascii="Verdana" w:hAnsi="Verdana"/>
                <w:sz w:val="16"/>
                <w:szCs w:val="16"/>
              </w:rPr>
              <w:t>waarin het Unierecht (CSDDD) of het nationale</w:t>
            </w:r>
          </w:p>
          <w:p w:rsidRPr="002F57BA" w:rsidR="004A15C5" w:rsidP="00130C33" w:rsidRDefault="004A15C5" w14:paraId="34ED3D25" w14:textId="19932920">
            <w:pPr>
              <w:spacing w:line="200" w:lineRule="atLeast"/>
              <w:ind w:left="284" w:hanging="284"/>
              <w:rPr>
                <w:rFonts w:ascii="Verdana" w:hAnsi="Verdana"/>
                <w:sz w:val="16"/>
                <w:szCs w:val="16"/>
              </w:rPr>
            </w:pPr>
            <w:r w:rsidRPr="002F57BA">
              <w:rPr>
                <w:rFonts w:ascii="Verdana" w:hAnsi="Verdana"/>
                <w:sz w:val="16"/>
                <w:szCs w:val="16"/>
              </w:rPr>
              <w:t>recht reeds voorziet.</w:t>
            </w:r>
          </w:p>
        </w:tc>
      </w:tr>
      <w:tr w:rsidRPr="004E3EEC" w:rsidR="004A15C5" w:rsidTr="005157AC" w14:paraId="2A9ADAE2" w14:textId="77777777">
        <w:trPr>
          <w:trHeight w:val="1235"/>
          <w:jc w:val="center"/>
        </w:trPr>
        <w:tc>
          <w:tcPr>
            <w:tcW w:w="2552" w:type="dxa"/>
            <w:tcBorders>
              <w:top w:val="single" w:color="121469" w:themeColor="accent1" w:sz="6" w:space="0"/>
              <w:left w:val="single" w:color="121469" w:themeColor="accent1" w:sz="2" w:space="0"/>
              <w:bottom w:val="single" w:color="121469" w:themeColor="accent1" w:sz="6" w:space="0"/>
              <w:right w:val="single" w:color="121469" w:themeColor="accent1" w:sz="6" w:space="0"/>
            </w:tcBorders>
            <w:shd w:val="clear" w:color="auto" w:fill="F0F2F4" w:themeFill="accent3" w:themeFillTint="33"/>
          </w:tcPr>
          <w:p w:rsidRPr="002F57BA" w:rsidR="004A15C5" w:rsidP="004A15C5" w:rsidRDefault="007268FA" w14:paraId="125B39C0" w14:textId="4F2939ED">
            <w:pPr>
              <w:spacing w:line="200" w:lineRule="atLeast"/>
              <w:rPr>
                <w:rFonts w:ascii="Verdana" w:hAnsi="Verdana"/>
                <w:b/>
                <w:bCs/>
                <w:sz w:val="16"/>
                <w:szCs w:val="16"/>
              </w:rPr>
            </w:pPr>
            <w:r>
              <w:rPr>
                <w:rFonts w:ascii="Verdana" w:hAnsi="Verdana"/>
                <w:b/>
                <w:bCs/>
                <w:sz w:val="16"/>
                <w:szCs w:val="16"/>
              </w:rPr>
              <w:t>I</w:t>
            </w:r>
            <w:r w:rsidRPr="002F57BA" w:rsidR="004A15C5">
              <w:rPr>
                <w:rFonts w:ascii="Verdana" w:hAnsi="Verdana"/>
                <w:b/>
                <w:bCs/>
                <w:sz w:val="16"/>
                <w:szCs w:val="16"/>
              </w:rPr>
              <w:t xml:space="preserve">nwerkingtreding </w:t>
            </w:r>
          </w:p>
          <w:p w:rsidRPr="002F57BA" w:rsidR="004A15C5" w:rsidP="004A15C5" w:rsidRDefault="004A15C5" w14:paraId="50C33D49" w14:textId="77777777">
            <w:pPr>
              <w:spacing w:line="200" w:lineRule="atLeast"/>
              <w:rPr>
                <w:rFonts w:ascii="Verdana" w:hAnsi="Verdana"/>
                <w:sz w:val="16"/>
                <w:szCs w:val="16"/>
              </w:rPr>
            </w:pPr>
          </w:p>
          <w:p w:rsidRPr="002F57BA" w:rsidR="004A15C5" w:rsidP="00497AFD" w:rsidRDefault="004A15C5" w14:paraId="37FA4A6D" w14:textId="77777777">
            <w:pPr>
              <w:spacing w:line="200" w:lineRule="atLeast"/>
              <w:rPr>
                <w:rFonts w:ascii="Verdana" w:hAnsi="Verdana"/>
                <w:b/>
                <w:bCs/>
                <w:sz w:val="16"/>
                <w:szCs w:val="16"/>
              </w:rPr>
            </w:pPr>
          </w:p>
        </w:tc>
        <w:tc>
          <w:tcPr>
            <w:tcW w:w="3686" w:type="dxa"/>
            <w:tcBorders>
              <w:top w:val="single" w:color="121469" w:themeColor="accent1" w:sz="6" w:space="0"/>
              <w:left w:val="single" w:color="121469" w:themeColor="accent1" w:sz="6" w:space="0"/>
              <w:bottom w:val="single" w:color="121469" w:themeColor="accent1" w:sz="6" w:space="0"/>
              <w:right w:val="single" w:color="121469" w:themeColor="accent1" w:sz="6" w:space="0"/>
            </w:tcBorders>
            <w:shd w:val="clear" w:color="auto" w:fill="F0F2F4" w:themeFill="accent3" w:themeFillTint="33"/>
          </w:tcPr>
          <w:p w:rsidRPr="002F57BA" w:rsidR="007268FA" w:rsidP="007268FA" w:rsidRDefault="004A15C5" w14:paraId="31B2BA14" w14:textId="6F0B4650">
            <w:pPr>
              <w:spacing w:line="200" w:lineRule="atLeast"/>
              <w:rPr>
                <w:rFonts w:ascii="Verdana" w:hAnsi="Verdana"/>
                <w:sz w:val="16"/>
                <w:szCs w:val="16"/>
              </w:rPr>
            </w:pPr>
            <w:r w:rsidRPr="002F57BA">
              <w:rPr>
                <w:rFonts w:ascii="Verdana" w:hAnsi="Verdana"/>
                <w:sz w:val="16"/>
                <w:szCs w:val="16"/>
              </w:rPr>
              <w:t xml:space="preserve">De wet </w:t>
            </w:r>
            <w:r w:rsidR="007268FA">
              <w:rPr>
                <w:rFonts w:ascii="Verdana" w:hAnsi="Verdana"/>
                <w:sz w:val="16"/>
                <w:szCs w:val="16"/>
              </w:rPr>
              <w:t xml:space="preserve">is nog niet in werking getreden. </w:t>
            </w:r>
          </w:p>
          <w:p w:rsidRPr="002F57BA" w:rsidR="004A15C5" w:rsidP="004A15C5" w:rsidRDefault="004A15C5" w14:paraId="18060E84" w14:textId="22BCBE3C">
            <w:pPr>
              <w:spacing w:line="200" w:lineRule="atLeast"/>
              <w:rPr>
                <w:rFonts w:ascii="Verdana" w:hAnsi="Verdana"/>
                <w:sz w:val="16"/>
                <w:szCs w:val="16"/>
              </w:rPr>
            </w:pPr>
          </w:p>
        </w:tc>
        <w:tc>
          <w:tcPr>
            <w:tcW w:w="3686" w:type="dxa"/>
            <w:tcBorders>
              <w:top w:val="single" w:color="121469" w:themeColor="accent1" w:sz="6" w:space="0"/>
              <w:left w:val="single" w:color="121469" w:themeColor="accent1" w:sz="6" w:space="0"/>
              <w:bottom w:val="single" w:color="121469" w:themeColor="accent1" w:sz="6" w:space="0"/>
              <w:right w:val="single" w:color="121469" w:themeColor="accent1" w:sz="6" w:space="0"/>
            </w:tcBorders>
            <w:shd w:val="clear" w:color="auto" w:fill="F0F2F4" w:themeFill="accent3" w:themeFillTint="33"/>
          </w:tcPr>
          <w:p w:rsidRPr="002F57BA" w:rsidR="004A15C5" w:rsidP="004A15C5" w:rsidRDefault="004A15C5" w14:paraId="20FA13F6" w14:textId="77777777">
            <w:pPr>
              <w:spacing w:line="200" w:lineRule="atLeast"/>
              <w:rPr>
                <w:rFonts w:ascii="Verdana" w:hAnsi="Verdana"/>
                <w:sz w:val="16"/>
                <w:szCs w:val="16"/>
              </w:rPr>
            </w:pPr>
            <w:r w:rsidRPr="002F57BA">
              <w:rPr>
                <w:rFonts w:ascii="Verdana" w:hAnsi="Verdana"/>
                <w:sz w:val="16"/>
                <w:szCs w:val="16"/>
              </w:rPr>
              <w:t>De verplichtingen treden gefaseerd in werking:</w:t>
            </w:r>
          </w:p>
          <w:p w:rsidRPr="002F57BA" w:rsidR="004A15C5" w:rsidP="004A15C5" w:rsidRDefault="004A15C5" w14:paraId="34DC990A" w14:textId="77777777">
            <w:pPr>
              <w:pStyle w:val="Lijstalinea"/>
              <w:numPr>
                <w:ilvl w:val="0"/>
                <w:numId w:val="31"/>
              </w:numPr>
              <w:spacing w:line="200" w:lineRule="atLeast"/>
              <w:rPr>
                <w:rFonts w:ascii="Verdana" w:hAnsi="Verdana"/>
                <w:sz w:val="16"/>
                <w:szCs w:val="16"/>
              </w:rPr>
            </w:pPr>
            <w:r w:rsidRPr="002F57BA">
              <w:rPr>
                <w:rFonts w:ascii="Verdana" w:hAnsi="Verdana"/>
                <w:sz w:val="16"/>
                <w:szCs w:val="16"/>
              </w:rPr>
              <w:t xml:space="preserve">Uiterlijk op 26 juli 2028 moeten de lidstaten de richtlijn omgezet hebben naar nationaal recht. </w:t>
            </w:r>
          </w:p>
          <w:p w:rsidRPr="002F57BA" w:rsidR="004A15C5" w:rsidP="004A15C5" w:rsidRDefault="004A15C5" w14:paraId="0DE7D1DA" w14:textId="77777777">
            <w:pPr>
              <w:pStyle w:val="Lijstalinea"/>
              <w:numPr>
                <w:ilvl w:val="0"/>
                <w:numId w:val="31"/>
              </w:numPr>
              <w:spacing w:line="200" w:lineRule="atLeast"/>
              <w:rPr>
                <w:rFonts w:ascii="Verdana" w:hAnsi="Verdana"/>
                <w:sz w:val="16"/>
                <w:szCs w:val="16"/>
              </w:rPr>
            </w:pPr>
            <w:r w:rsidRPr="002F57BA">
              <w:rPr>
                <w:rFonts w:ascii="Verdana" w:hAnsi="Verdana"/>
                <w:sz w:val="16"/>
                <w:szCs w:val="16"/>
              </w:rPr>
              <w:t xml:space="preserve">Met ingang van 26 juli 2029 zijn de regels van toepassing op ondernemingen die onder de richtlijn vallen. </w:t>
            </w:r>
          </w:p>
          <w:p w:rsidRPr="002F57BA" w:rsidR="004A15C5" w:rsidP="004A15C5" w:rsidRDefault="004A15C5" w14:paraId="116A5B09" w14:textId="77777777">
            <w:pPr>
              <w:pStyle w:val="Lijstalinea"/>
              <w:numPr>
                <w:ilvl w:val="0"/>
                <w:numId w:val="31"/>
              </w:numPr>
              <w:spacing w:line="200" w:lineRule="atLeast"/>
              <w:rPr>
                <w:rFonts w:ascii="Verdana" w:hAnsi="Verdana"/>
                <w:sz w:val="16"/>
                <w:szCs w:val="16"/>
              </w:rPr>
            </w:pPr>
            <w:r w:rsidRPr="002F57BA">
              <w:rPr>
                <w:rFonts w:ascii="Verdana" w:hAnsi="Verdana"/>
                <w:sz w:val="16"/>
                <w:szCs w:val="16"/>
              </w:rPr>
              <w:t>Met uitzondering van de verplichting om een jaarlijkse verklaring te publiceren (artikel 16). Deze verplichting geldt voor de boekjaren die op of na 1 januari 2030 beginnen.</w:t>
            </w:r>
          </w:p>
          <w:p w:rsidRPr="002F57BA" w:rsidR="004A15C5" w:rsidP="004A15C5" w:rsidRDefault="004A15C5" w14:paraId="3B67AC67" w14:textId="77777777">
            <w:pPr>
              <w:spacing w:line="200" w:lineRule="atLeast"/>
              <w:rPr>
                <w:rFonts w:ascii="Verdana" w:hAnsi="Verdana"/>
                <w:sz w:val="16"/>
                <w:szCs w:val="16"/>
              </w:rPr>
            </w:pPr>
          </w:p>
        </w:tc>
        <w:tc>
          <w:tcPr>
            <w:tcW w:w="3686" w:type="dxa"/>
            <w:tcBorders>
              <w:top w:val="single" w:color="121469" w:themeColor="accent1" w:sz="6" w:space="0"/>
              <w:left w:val="single" w:color="121469" w:themeColor="accent1" w:sz="6" w:space="0"/>
              <w:bottom w:val="single" w:color="121469" w:themeColor="accent1" w:sz="6" w:space="0"/>
              <w:right w:val="single" w:color="121469" w:themeColor="accent1" w:sz="2" w:space="0"/>
            </w:tcBorders>
            <w:shd w:val="clear" w:color="auto" w:fill="F0F2F4" w:themeFill="accent3" w:themeFillTint="33"/>
          </w:tcPr>
          <w:p w:rsidRPr="002F57BA" w:rsidR="004A15C5" w:rsidP="004A15C5" w:rsidRDefault="004A15C5" w14:paraId="505A251E" w14:textId="637EDEB6">
            <w:pPr>
              <w:spacing w:line="200" w:lineRule="atLeast"/>
              <w:rPr>
                <w:rFonts w:ascii="Verdana" w:hAnsi="Verdana"/>
                <w:sz w:val="16"/>
                <w:szCs w:val="16"/>
              </w:rPr>
            </w:pPr>
            <w:r w:rsidRPr="002F57BA">
              <w:rPr>
                <w:rFonts w:ascii="Verdana" w:hAnsi="Verdana"/>
                <w:sz w:val="16"/>
                <w:szCs w:val="16"/>
              </w:rPr>
              <w:t xml:space="preserve">De verordening geldt </w:t>
            </w:r>
            <w:r w:rsidR="007268FA">
              <w:rPr>
                <w:rFonts w:ascii="Verdana" w:hAnsi="Verdana"/>
                <w:sz w:val="16"/>
                <w:szCs w:val="16"/>
              </w:rPr>
              <w:t xml:space="preserve">vanaf 14 december 2027 voor alle marktdeelnemers. </w:t>
            </w:r>
          </w:p>
          <w:p w:rsidRPr="002F57BA" w:rsidR="004A15C5" w:rsidP="00130C33" w:rsidRDefault="004A15C5" w14:paraId="134DCC14" w14:textId="77777777">
            <w:pPr>
              <w:spacing w:line="200" w:lineRule="atLeast"/>
              <w:ind w:left="284" w:hanging="284"/>
              <w:rPr>
                <w:rFonts w:ascii="Verdana" w:hAnsi="Verdana"/>
                <w:sz w:val="16"/>
                <w:szCs w:val="16"/>
              </w:rPr>
            </w:pPr>
          </w:p>
        </w:tc>
      </w:tr>
      <w:tr w:rsidRPr="004E3EEC" w:rsidR="004A15C5" w:rsidTr="005157AC" w14:paraId="78CC1887" w14:textId="77777777">
        <w:trPr>
          <w:trHeight w:val="1235"/>
          <w:jc w:val="center"/>
        </w:trPr>
        <w:tc>
          <w:tcPr>
            <w:tcW w:w="2552" w:type="dxa"/>
            <w:tcBorders>
              <w:top w:val="single" w:color="121469" w:themeColor="accent1" w:sz="6" w:space="0"/>
              <w:left w:val="single" w:color="121469" w:themeColor="accent1" w:sz="2" w:space="0"/>
              <w:bottom w:val="single" w:color="121469" w:themeColor="accent1" w:sz="2" w:space="0"/>
              <w:right w:val="single" w:color="121469" w:themeColor="accent1" w:sz="6" w:space="0"/>
            </w:tcBorders>
            <w:shd w:val="clear" w:color="auto" w:fill="FFFFFF" w:themeFill="background1"/>
          </w:tcPr>
          <w:p w:rsidRPr="002F57BA" w:rsidR="004A15C5" w:rsidP="004A15C5" w:rsidRDefault="004A15C5" w14:paraId="64D5DB05" w14:textId="77777777">
            <w:pPr>
              <w:spacing w:line="200" w:lineRule="atLeast"/>
              <w:rPr>
                <w:rFonts w:ascii="Verdana" w:hAnsi="Verdana"/>
                <w:b/>
                <w:bCs/>
                <w:sz w:val="16"/>
                <w:szCs w:val="16"/>
              </w:rPr>
            </w:pPr>
            <w:r w:rsidRPr="002F57BA">
              <w:rPr>
                <w:rFonts w:ascii="Verdana" w:hAnsi="Verdana"/>
                <w:b/>
                <w:bCs/>
                <w:sz w:val="16"/>
                <w:szCs w:val="16"/>
              </w:rPr>
              <w:lastRenderedPageBreak/>
              <w:t xml:space="preserve">Handhaving </w:t>
            </w:r>
          </w:p>
          <w:p w:rsidRPr="002F57BA" w:rsidR="004A15C5" w:rsidP="004A15C5" w:rsidRDefault="004A15C5" w14:paraId="7B403F95" w14:textId="77777777">
            <w:pPr>
              <w:spacing w:line="200" w:lineRule="atLeast"/>
              <w:rPr>
                <w:rFonts w:ascii="Verdana" w:hAnsi="Verdana"/>
                <w:sz w:val="16"/>
                <w:szCs w:val="16"/>
              </w:rPr>
            </w:pPr>
          </w:p>
          <w:p w:rsidRPr="002F57BA" w:rsidR="004A15C5" w:rsidP="00497AFD" w:rsidRDefault="004A15C5" w14:paraId="2E5F4FBF" w14:textId="77777777">
            <w:pPr>
              <w:spacing w:line="200" w:lineRule="atLeast"/>
              <w:rPr>
                <w:rFonts w:ascii="Verdana" w:hAnsi="Verdana"/>
                <w:b/>
                <w:bCs/>
                <w:sz w:val="16"/>
                <w:szCs w:val="16"/>
              </w:rPr>
            </w:pPr>
          </w:p>
        </w:tc>
        <w:tc>
          <w:tcPr>
            <w:tcW w:w="3686" w:type="dxa"/>
            <w:tcBorders>
              <w:top w:val="single" w:color="121469" w:themeColor="accent1" w:sz="6" w:space="0"/>
              <w:left w:val="single" w:color="121469" w:themeColor="accent1" w:sz="6" w:space="0"/>
              <w:bottom w:val="single" w:color="121469" w:themeColor="accent1" w:sz="2" w:space="0"/>
              <w:right w:val="single" w:color="121469" w:themeColor="accent1" w:sz="6" w:space="0"/>
            </w:tcBorders>
            <w:shd w:val="clear" w:color="auto" w:fill="FFFFFF" w:themeFill="background1"/>
          </w:tcPr>
          <w:p w:rsidRPr="002F57BA" w:rsidR="004A15C5" w:rsidP="004A15C5" w:rsidRDefault="004A15C5" w14:paraId="19832C27" w14:textId="7781801E">
            <w:pPr>
              <w:spacing w:line="200" w:lineRule="atLeast"/>
              <w:rPr>
                <w:rFonts w:ascii="Verdana" w:hAnsi="Verdana"/>
                <w:sz w:val="16"/>
                <w:szCs w:val="16"/>
              </w:rPr>
            </w:pPr>
            <w:r w:rsidRPr="002F57BA">
              <w:rPr>
                <w:rFonts w:ascii="Verdana" w:hAnsi="Verdana"/>
                <w:sz w:val="16"/>
                <w:szCs w:val="16"/>
              </w:rPr>
              <w:t>De toezichthouder zal alleen tot controle overgaan als er een klacht is ingediend. Zowel individuele personen als maatschappelijke organisaties kunnen een klacht indienen. Alvorens een klacht bij de toezichthouder kan worden ingediend, dient de klacht te zijn ingediend bij het bedrijf of een sector overstijgend klachtenmechanisme.</w:t>
            </w:r>
          </w:p>
        </w:tc>
        <w:tc>
          <w:tcPr>
            <w:tcW w:w="3686" w:type="dxa"/>
            <w:tcBorders>
              <w:top w:val="single" w:color="121469" w:themeColor="accent1" w:sz="6" w:space="0"/>
              <w:left w:val="single" w:color="121469" w:themeColor="accent1" w:sz="6" w:space="0"/>
              <w:bottom w:val="single" w:color="121469" w:themeColor="accent1" w:sz="2" w:space="0"/>
              <w:right w:val="single" w:color="121469" w:themeColor="accent1" w:sz="6" w:space="0"/>
            </w:tcBorders>
            <w:shd w:val="clear" w:color="auto" w:fill="FFFFFF" w:themeFill="background1"/>
          </w:tcPr>
          <w:p w:rsidRPr="002F57BA" w:rsidR="004A15C5" w:rsidP="004A15C5" w:rsidRDefault="004A15C5" w14:paraId="58419EDF" w14:textId="2101EA97">
            <w:pPr>
              <w:spacing w:line="200" w:lineRule="atLeast"/>
              <w:rPr>
                <w:rFonts w:ascii="Verdana" w:hAnsi="Verdana"/>
                <w:sz w:val="16"/>
                <w:szCs w:val="16"/>
              </w:rPr>
            </w:pPr>
            <w:r w:rsidRPr="002F57BA">
              <w:rPr>
                <w:rFonts w:ascii="Verdana" w:hAnsi="Verdana"/>
                <w:sz w:val="16"/>
                <w:szCs w:val="16"/>
              </w:rPr>
              <w:t>De toezichthoudende autoriteit kan zowel uit eigen beweging of naar aanleiding van gemotiveerde meldingen, een onderzoek openen wanneer zij van oordeel is dat zij over voldoende informatie beschikt die wijst op een mogelijke inbreuk door een onderneming op de verplichtingen uit de richtlijn.</w:t>
            </w:r>
          </w:p>
        </w:tc>
        <w:tc>
          <w:tcPr>
            <w:tcW w:w="3686" w:type="dxa"/>
            <w:tcBorders>
              <w:top w:val="single" w:color="121469" w:themeColor="accent1" w:sz="6" w:space="0"/>
              <w:left w:val="single" w:color="121469" w:themeColor="accent1" w:sz="6" w:space="0"/>
              <w:bottom w:val="single" w:color="121469" w:themeColor="accent1" w:sz="2" w:space="0"/>
              <w:right w:val="single" w:color="121469" w:themeColor="accent1" w:sz="2" w:space="0"/>
            </w:tcBorders>
            <w:shd w:val="clear" w:color="auto" w:fill="FFFFFF" w:themeFill="background1"/>
          </w:tcPr>
          <w:p w:rsidRPr="002F57BA" w:rsidR="004A15C5" w:rsidP="004A15C5" w:rsidRDefault="004A15C5" w14:paraId="657F07F1" w14:textId="77777777">
            <w:pPr>
              <w:spacing w:line="200" w:lineRule="atLeast"/>
              <w:rPr>
                <w:rFonts w:ascii="Verdana" w:hAnsi="Verdana"/>
                <w:sz w:val="16"/>
                <w:szCs w:val="16"/>
              </w:rPr>
            </w:pPr>
            <w:r w:rsidRPr="002F57BA">
              <w:rPr>
                <w:rFonts w:ascii="Verdana" w:hAnsi="Verdana"/>
                <w:sz w:val="16"/>
                <w:szCs w:val="16"/>
              </w:rPr>
              <w:t>Handhaving gaat via:</w:t>
            </w:r>
          </w:p>
          <w:p w:rsidR="005C3DCF" w:rsidP="004A15C5" w:rsidRDefault="004A15C5" w14:paraId="7563DD35" w14:textId="59212E66">
            <w:pPr>
              <w:pStyle w:val="Lijstalinea"/>
              <w:numPr>
                <w:ilvl w:val="0"/>
                <w:numId w:val="31"/>
              </w:numPr>
              <w:spacing w:line="200" w:lineRule="atLeast"/>
              <w:rPr>
                <w:rFonts w:ascii="Verdana" w:hAnsi="Verdana"/>
                <w:sz w:val="16"/>
                <w:szCs w:val="16"/>
              </w:rPr>
            </w:pPr>
            <w:r w:rsidRPr="002F57BA">
              <w:rPr>
                <w:rFonts w:ascii="Verdana" w:hAnsi="Verdana"/>
                <w:sz w:val="16"/>
                <w:szCs w:val="16"/>
              </w:rPr>
              <w:t xml:space="preserve">Controle door de </w:t>
            </w:r>
            <w:r w:rsidR="00D36B9B">
              <w:rPr>
                <w:rFonts w:ascii="Verdana" w:hAnsi="Verdana"/>
                <w:sz w:val="16"/>
                <w:szCs w:val="16"/>
              </w:rPr>
              <w:t xml:space="preserve">Douaneautoriteiten </w:t>
            </w:r>
            <w:r w:rsidRPr="002F57BA">
              <w:rPr>
                <w:rFonts w:ascii="Verdana" w:hAnsi="Verdana"/>
                <w:sz w:val="16"/>
                <w:szCs w:val="16"/>
              </w:rPr>
              <w:t xml:space="preserve">van producten die de markt van de Unie binnenkomen of verlaten. </w:t>
            </w:r>
          </w:p>
          <w:p w:rsidRPr="005C3DCF" w:rsidR="004A15C5" w:rsidP="004A15C5" w:rsidRDefault="004A15C5" w14:paraId="6878AE85" w14:textId="78371D16">
            <w:pPr>
              <w:pStyle w:val="Lijstalinea"/>
              <w:numPr>
                <w:ilvl w:val="0"/>
                <w:numId w:val="31"/>
              </w:numPr>
              <w:spacing w:line="200" w:lineRule="atLeast"/>
              <w:rPr>
                <w:rFonts w:ascii="Verdana" w:hAnsi="Verdana"/>
                <w:sz w:val="16"/>
                <w:szCs w:val="16"/>
              </w:rPr>
            </w:pPr>
            <w:r w:rsidRPr="005C3DCF">
              <w:rPr>
                <w:rFonts w:ascii="Verdana" w:hAnsi="Verdana"/>
                <w:sz w:val="16"/>
                <w:szCs w:val="16"/>
              </w:rPr>
              <w:t>Risicogebaseerde aanpak door de bevoegde toezicht autoriteit.</w:t>
            </w:r>
          </w:p>
        </w:tc>
      </w:tr>
      <w:tr w:rsidRPr="004E3EEC" w:rsidR="004A15C5" w:rsidTr="005157AC" w14:paraId="6BCF46C4" w14:textId="77777777">
        <w:trPr>
          <w:trHeight w:val="1235"/>
          <w:jc w:val="center"/>
        </w:trPr>
        <w:tc>
          <w:tcPr>
            <w:tcW w:w="2552" w:type="dxa"/>
            <w:tcBorders>
              <w:left w:val="single" w:color="121469" w:themeColor="accent1" w:sz="2" w:space="0"/>
              <w:bottom w:val="single" w:color="121469" w:themeColor="accent1" w:sz="6" w:space="0"/>
              <w:right w:val="single" w:color="121469" w:themeColor="accent1" w:sz="6" w:space="0"/>
            </w:tcBorders>
            <w:shd w:val="clear" w:color="auto" w:fill="F0F2F4" w:themeFill="accent3" w:themeFillTint="33"/>
          </w:tcPr>
          <w:p w:rsidRPr="002F57BA" w:rsidR="0043166A" w:rsidP="0043166A" w:rsidRDefault="0043166A" w14:paraId="544C31EA" w14:textId="77777777">
            <w:pPr>
              <w:spacing w:line="200" w:lineRule="atLeast"/>
              <w:rPr>
                <w:rFonts w:ascii="Verdana" w:hAnsi="Verdana"/>
                <w:b/>
                <w:bCs/>
                <w:sz w:val="16"/>
                <w:szCs w:val="16"/>
              </w:rPr>
            </w:pPr>
            <w:r w:rsidRPr="002F57BA">
              <w:rPr>
                <w:rFonts w:ascii="Verdana" w:hAnsi="Verdana"/>
                <w:b/>
                <w:bCs/>
                <w:sz w:val="16"/>
                <w:szCs w:val="16"/>
              </w:rPr>
              <w:t xml:space="preserve">Toezicht </w:t>
            </w:r>
          </w:p>
          <w:p w:rsidRPr="002F57BA" w:rsidR="0043166A" w:rsidP="0043166A" w:rsidRDefault="0043166A" w14:paraId="0A23B109" w14:textId="77777777">
            <w:pPr>
              <w:spacing w:line="200" w:lineRule="atLeast"/>
              <w:rPr>
                <w:rFonts w:ascii="Verdana" w:hAnsi="Verdana"/>
                <w:b/>
                <w:bCs/>
                <w:sz w:val="16"/>
                <w:szCs w:val="16"/>
              </w:rPr>
            </w:pPr>
          </w:p>
          <w:p w:rsidRPr="002F57BA" w:rsidR="004A15C5" w:rsidP="0043166A" w:rsidRDefault="004A15C5" w14:paraId="7082A965" w14:textId="0D2E4BCD">
            <w:pPr>
              <w:spacing w:line="200" w:lineRule="atLeast"/>
              <w:rPr>
                <w:rFonts w:ascii="Verdana" w:hAnsi="Verdana"/>
                <w:b/>
                <w:bCs/>
                <w:sz w:val="16"/>
                <w:szCs w:val="16"/>
              </w:rPr>
            </w:pPr>
          </w:p>
        </w:tc>
        <w:tc>
          <w:tcPr>
            <w:tcW w:w="3686" w:type="dxa"/>
            <w:tcBorders>
              <w:left w:val="single" w:color="121469" w:themeColor="accent1" w:sz="6" w:space="0"/>
              <w:bottom w:val="single" w:color="121469" w:themeColor="accent1" w:sz="6" w:space="0"/>
              <w:right w:val="single" w:color="121469" w:themeColor="accent1" w:sz="6" w:space="0"/>
            </w:tcBorders>
            <w:shd w:val="clear" w:color="auto" w:fill="F0F2F4" w:themeFill="accent3" w:themeFillTint="33"/>
          </w:tcPr>
          <w:p w:rsidRPr="002F57BA" w:rsidR="0043166A" w:rsidP="0043166A" w:rsidRDefault="0043166A" w14:paraId="36DE7473" w14:textId="77777777">
            <w:pPr>
              <w:spacing w:line="200" w:lineRule="atLeast"/>
              <w:rPr>
                <w:rFonts w:ascii="Verdana" w:hAnsi="Verdana"/>
                <w:sz w:val="16"/>
                <w:szCs w:val="16"/>
              </w:rPr>
            </w:pPr>
            <w:r w:rsidRPr="002F57BA">
              <w:rPr>
                <w:rFonts w:ascii="Verdana" w:hAnsi="Verdana"/>
                <w:sz w:val="16"/>
                <w:szCs w:val="16"/>
              </w:rPr>
              <w:t>Autoriteit Consumenten en Markt (ACM)*</w:t>
            </w:r>
          </w:p>
          <w:p w:rsidRPr="002F57BA" w:rsidR="0043166A" w:rsidP="0043166A" w:rsidRDefault="0043166A" w14:paraId="0F2625FD" w14:textId="77777777">
            <w:pPr>
              <w:spacing w:line="200" w:lineRule="atLeast"/>
              <w:rPr>
                <w:rFonts w:ascii="Verdana" w:hAnsi="Verdana"/>
                <w:sz w:val="16"/>
                <w:szCs w:val="16"/>
              </w:rPr>
            </w:pPr>
          </w:p>
          <w:p w:rsidRPr="002F57BA" w:rsidR="004A15C5" w:rsidP="0043166A" w:rsidRDefault="0043166A" w14:paraId="5FA982A6" w14:textId="6300B1FC">
            <w:pPr>
              <w:spacing w:line="200" w:lineRule="atLeast"/>
              <w:rPr>
                <w:rFonts w:ascii="Verdana" w:hAnsi="Verdana"/>
                <w:sz w:val="16"/>
                <w:szCs w:val="16"/>
              </w:rPr>
            </w:pPr>
            <w:r w:rsidRPr="002F57BA">
              <w:rPr>
                <w:rFonts w:ascii="Verdana" w:hAnsi="Verdana"/>
                <w:i/>
                <w:iCs/>
                <w:sz w:val="16"/>
                <w:szCs w:val="16"/>
              </w:rPr>
              <w:t>*ACM wordt in</w:t>
            </w:r>
            <w:r w:rsidR="00D36B9B">
              <w:rPr>
                <w:rFonts w:ascii="Verdana" w:hAnsi="Verdana"/>
                <w:i/>
                <w:iCs/>
                <w:sz w:val="16"/>
                <w:szCs w:val="16"/>
              </w:rPr>
              <w:t xml:space="preserve"> de memorie van toelichting genoemd als </w:t>
            </w:r>
            <w:r w:rsidR="000D4FDC">
              <w:rPr>
                <w:rFonts w:ascii="Verdana" w:hAnsi="Verdana"/>
                <w:i/>
                <w:iCs/>
                <w:sz w:val="16"/>
                <w:szCs w:val="16"/>
              </w:rPr>
              <w:t>toezichthouder</w:t>
            </w:r>
            <w:r w:rsidRPr="002F57BA">
              <w:rPr>
                <w:rFonts w:ascii="Verdana" w:hAnsi="Verdana"/>
                <w:i/>
                <w:iCs/>
                <w:sz w:val="16"/>
                <w:szCs w:val="16"/>
              </w:rPr>
              <w:t xml:space="preserve">.  </w:t>
            </w:r>
          </w:p>
        </w:tc>
        <w:tc>
          <w:tcPr>
            <w:tcW w:w="3686" w:type="dxa"/>
            <w:tcBorders>
              <w:left w:val="single" w:color="121469" w:themeColor="accent1" w:sz="6" w:space="0"/>
              <w:bottom w:val="single" w:color="121469" w:themeColor="accent1" w:sz="6" w:space="0"/>
              <w:right w:val="single" w:color="121469" w:themeColor="accent1" w:sz="6" w:space="0"/>
            </w:tcBorders>
            <w:shd w:val="clear" w:color="auto" w:fill="F0F2F4" w:themeFill="accent3" w:themeFillTint="33"/>
          </w:tcPr>
          <w:p w:rsidRPr="002F57BA" w:rsidR="0043166A" w:rsidP="0043166A" w:rsidRDefault="0043166A" w14:paraId="708D21C2" w14:textId="77777777">
            <w:pPr>
              <w:spacing w:line="200" w:lineRule="atLeast"/>
              <w:rPr>
                <w:rFonts w:ascii="Verdana" w:hAnsi="Verdana"/>
                <w:sz w:val="16"/>
                <w:szCs w:val="16"/>
              </w:rPr>
            </w:pPr>
            <w:r w:rsidRPr="002F57BA">
              <w:rPr>
                <w:rFonts w:ascii="Verdana" w:hAnsi="Verdana"/>
                <w:sz w:val="16"/>
                <w:szCs w:val="16"/>
              </w:rPr>
              <w:t>Autoriteit Consumenten en Markt (ACM)*</w:t>
            </w:r>
          </w:p>
          <w:p w:rsidRPr="002F57BA" w:rsidR="0043166A" w:rsidP="0043166A" w:rsidRDefault="0043166A" w14:paraId="71550244" w14:textId="77777777">
            <w:pPr>
              <w:spacing w:line="200" w:lineRule="atLeast"/>
              <w:rPr>
                <w:rFonts w:ascii="Verdana" w:hAnsi="Verdana"/>
                <w:sz w:val="16"/>
                <w:szCs w:val="16"/>
              </w:rPr>
            </w:pPr>
          </w:p>
          <w:p w:rsidR="00741783" w:rsidP="0043166A" w:rsidRDefault="0043166A" w14:paraId="61BE75B2" w14:textId="77777777">
            <w:pPr>
              <w:spacing w:line="200" w:lineRule="atLeast"/>
              <w:rPr>
                <w:rFonts w:ascii="Verdana" w:hAnsi="Verdana"/>
                <w:i/>
                <w:iCs/>
                <w:sz w:val="16"/>
                <w:szCs w:val="16"/>
              </w:rPr>
            </w:pPr>
            <w:r w:rsidRPr="002F57BA">
              <w:rPr>
                <w:rFonts w:ascii="Verdana" w:hAnsi="Verdana"/>
                <w:i/>
                <w:iCs/>
                <w:sz w:val="16"/>
                <w:szCs w:val="16"/>
              </w:rPr>
              <w:t xml:space="preserve">*ACM wordt in concept implementatiewet </w:t>
            </w:r>
          </w:p>
          <w:p w:rsidRPr="002F57BA" w:rsidR="004A15C5" w:rsidP="0043166A" w:rsidRDefault="008B2834" w14:paraId="0505F6FF" w14:textId="56E6E05E">
            <w:pPr>
              <w:spacing w:line="200" w:lineRule="atLeast"/>
              <w:rPr>
                <w:rFonts w:ascii="Verdana" w:hAnsi="Verdana"/>
                <w:sz w:val="16"/>
                <w:szCs w:val="16"/>
              </w:rPr>
            </w:pPr>
            <w:r>
              <w:rPr>
                <w:rFonts w:ascii="Verdana" w:hAnsi="Verdana"/>
                <w:i/>
                <w:iCs/>
                <w:sz w:val="16"/>
                <w:szCs w:val="16"/>
              </w:rPr>
              <w:t>internationaal verantwoord ondernemen</w:t>
            </w:r>
            <w:r w:rsidR="006E7492">
              <w:rPr>
                <w:rFonts w:ascii="Verdana" w:hAnsi="Verdana"/>
                <w:i/>
                <w:iCs/>
                <w:sz w:val="16"/>
                <w:szCs w:val="16"/>
              </w:rPr>
              <w:t xml:space="preserve"> </w:t>
            </w:r>
            <w:r w:rsidRPr="002F57BA" w:rsidR="0043166A">
              <w:rPr>
                <w:rFonts w:ascii="Verdana" w:hAnsi="Verdana"/>
                <w:i/>
                <w:iCs/>
                <w:sz w:val="16"/>
                <w:szCs w:val="16"/>
              </w:rPr>
              <w:t xml:space="preserve">aangewezen als toezichthouder.  </w:t>
            </w:r>
          </w:p>
        </w:tc>
        <w:tc>
          <w:tcPr>
            <w:tcW w:w="3686" w:type="dxa"/>
            <w:tcBorders>
              <w:left w:val="single" w:color="121469" w:themeColor="accent1" w:sz="6" w:space="0"/>
              <w:bottom w:val="single" w:color="121469" w:themeColor="accent1" w:sz="6" w:space="0"/>
              <w:right w:val="single" w:color="121469" w:themeColor="accent1" w:sz="2" w:space="0"/>
            </w:tcBorders>
            <w:shd w:val="clear" w:color="auto" w:fill="F0F2F4" w:themeFill="accent3" w:themeFillTint="33"/>
          </w:tcPr>
          <w:p w:rsidRPr="002F57BA" w:rsidR="0043166A" w:rsidP="0043166A" w:rsidRDefault="0043166A" w14:paraId="71656311" w14:textId="77777777">
            <w:pPr>
              <w:spacing w:line="200" w:lineRule="atLeast"/>
              <w:rPr>
                <w:rFonts w:ascii="Verdana" w:hAnsi="Verdana"/>
                <w:sz w:val="16"/>
                <w:szCs w:val="16"/>
              </w:rPr>
            </w:pPr>
            <w:r w:rsidRPr="002F57BA">
              <w:rPr>
                <w:rFonts w:ascii="Verdana" w:hAnsi="Verdana"/>
                <w:sz w:val="16"/>
                <w:szCs w:val="16"/>
              </w:rPr>
              <w:t xml:space="preserve">De Europese Commissie treedt op als de leidende bevoegde autoriteit wanneer de vermoedelijke dwangarbeid plaatsvindt buiten het grondgebied van de Unie. </w:t>
            </w:r>
          </w:p>
          <w:p w:rsidRPr="002F57BA" w:rsidR="0043166A" w:rsidP="0043166A" w:rsidRDefault="0043166A" w14:paraId="59966A5A" w14:textId="77777777">
            <w:pPr>
              <w:spacing w:line="200" w:lineRule="atLeast"/>
              <w:rPr>
                <w:rFonts w:ascii="Verdana" w:hAnsi="Verdana"/>
                <w:sz w:val="16"/>
                <w:szCs w:val="16"/>
              </w:rPr>
            </w:pPr>
          </w:p>
          <w:p w:rsidRPr="002F57BA" w:rsidR="004A15C5" w:rsidP="0043166A" w:rsidRDefault="0043166A" w14:paraId="50E13C33" w14:textId="56C12524">
            <w:pPr>
              <w:spacing w:line="200" w:lineRule="atLeast"/>
              <w:rPr>
                <w:rFonts w:ascii="Verdana" w:hAnsi="Verdana"/>
                <w:sz w:val="16"/>
                <w:szCs w:val="16"/>
              </w:rPr>
            </w:pPr>
            <w:r w:rsidRPr="002F57BA">
              <w:rPr>
                <w:rFonts w:ascii="Verdana" w:hAnsi="Verdana"/>
                <w:sz w:val="16"/>
                <w:szCs w:val="16"/>
              </w:rPr>
              <w:t xml:space="preserve">De bevoegde autoriteit van een lidstaat treedt op als leidende bevoegde autoriteit als de vermoedelijke dwangarbeid plaatsvindt op het grondgebied van de lidstaat. Nederland is voornemens de IGJ, ILT, NLA en NVWA aan te wijzen als toezichthouders. Daarnaast krijgt de </w:t>
            </w:r>
            <w:r w:rsidR="00700D7E">
              <w:rPr>
                <w:rFonts w:ascii="Verdana" w:hAnsi="Verdana"/>
                <w:sz w:val="16"/>
                <w:szCs w:val="16"/>
              </w:rPr>
              <w:t>d</w:t>
            </w:r>
            <w:r w:rsidRPr="002F57BA">
              <w:rPr>
                <w:rFonts w:ascii="Verdana" w:hAnsi="Verdana"/>
                <w:sz w:val="16"/>
                <w:szCs w:val="16"/>
              </w:rPr>
              <w:t>ouane een rol bij de handhaving van het verbod</w:t>
            </w:r>
            <w:r>
              <w:rPr>
                <w:rFonts w:ascii="Verdana" w:hAnsi="Verdana"/>
                <w:sz w:val="16"/>
                <w:szCs w:val="16"/>
              </w:rPr>
              <w:t>.</w:t>
            </w:r>
          </w:p>
        </w:tc>
      </w:tr>
      <w:tr w:rsidRPr="004E3EEC" w:rsidR="0043166A" w:rsidTr="005157AC" w14:paraId="47DAB575" w14:textId="77777777">
        <w:trPr>
          <w:trHeight w:val="1235"/>
          <w:jc w:val="center"/>
        </w:trPr>
        <w:tc>
          <w:tcPr>
            <w:tcW w:w="2552" w:type="dxa"/>
            <w:tcBorders>
              <w:top w:val="single" w:color="121469" w:themeColor="accent1" w:sz="6" w:space="0"/>
              <w:left w:val="single" w:color="121469" w:themeColor="accent1" w:sz="2" w:space="0"/>
              <w:bottom w:val="single" w:color="121469" w:themeColor="accent1" w:sz="2" w:space="0"/>
              <w:right w:val="single" w:color="121469" w:themeColor="accent1" w:sz="6" w:space="0"/>
            </w:tcBorders>
            <w:shd w:val="clear" w:color="auto" w:fill="FFFFFF" w:themeFill="background1"/>
          </w:tcPr>
          <w:p w:rsidRPr="002F57BA" w:rsidR="0043166A" w:rsidP="0043166A" w:rsidRDefault="0043166A" w14:paraId="3717B316" w14:textId="77777777">
            <w:pPr>
              <w:spacing w:line="200" w:lineRule="atLeast"/>
              <w:rPr>
                <w:rFonts w:ascii="Verdana" w:hAnsi="Verdana"/>
                <w:b/>
                <w:bCs/>
                <w:sz w:val="16"/>
                <w:szCs w:val="16"/>
              </w:rPr>
            </w:pPr>
            <w:r w:rsidRPr="002F57BA">
              <w:rPr>
                <w:rFonts w:ascii="Verdana" w:hAnsi="Verdana"/>
                <w:b/>
                <w:bCs/>
                <w:sz w:val="16"/>
                <w:szCs w:val="16"/>
              </w:rPr>
              <w:t xml:space="preserve">Gevolgen schending </w:t>
            </w:r>
          </w:p>
          <w:p w:rsidRPr="002F57BA" w:rsidR="0043166A" w:rsidP="0043166A" w:rsidRDefault="0043166A" w14:paraId="233E1E26" w14:textId="77777777">
            <w:pPr>
              <w:spacing w:line="200" w:lineRule="atLeast"/>
              <w:rPr>
                <w:rFonts w:ascii="Verdana" w:hAnsi="Verdana"/>
                <w:sz w:val="16"/>
                <w:szCs w:val="16"/>
              </w:rPr>
            </w:pPr>
          </w:p>
          <w:p w:rsidRPr="002F57BA" w:rsidR="0043166A" w:rsidP="00497AFD" w:rsidRDefault="0043166A" w14:paraId="3FD336CF" w14:textId="77777777">
            <w:pPr>
              <w:spacing w:line="200" w:lineRule="atLeast"/>
              <w:rPr>
                <w:rFonts w:ascii="Verdana" w:hAnsi="Verdana"/>
                <w:b/>
                <w:bCs/>
                <w:sz w:val="16"/>
                <w:szCs w:val="16"/>
              </w:rPr>
            </w:pPr>
          </w:p>
        </w:tc>
        <w:tc>
          <w:tcPr>
            <w:tcW w:w="3686" w:type="dxa"/>
            <w:tcBorders>
              <w:top w:val="single" w:color="121469" w:themeColor="accent1" w:sz="6" w:space="0"/>
              <w:left w:val="single" w:color="121469" w:themeColor="accent1" w:sz="6" w:space="0"/>
              <w:bottom w:val="single" w:color="121469" w:themeColor="accent1" w:sz="2" w:space="0"/>
              <w:right w:val="single" w:color="121469" w:themeColor="accent1" w:sz="6" w:space="0"/>
            </w:tcBorders>
            <w:shd w:val="clear" w:color="auto" w:fill="FFFFFF" w:themeFill="background1"/>
          </w:tcPr>
          <w:p w:rsidRPr="002F57BA" w:rsidR="0043166A" w:rsidP="0043166A" w:rsidRDefault="0043166A" w14:paraId="24EA6E81" w14:textId="6C1871C6">
            <w:pPr>
              <w:spacing w:line="200" w:lineRule="atLeast"/>
              <w:rPr>
                <w:rFonts w:ascii="Verdana" w:hAnsi="Verdana"/>
                <w:sz w:val="16"/>
                <w:szCs w:val="16"/>
              </w:rPr>
            </w:pPr>
            <w:r w:rsidRPr="002F57BA">
              <w:rPr>
                <w:rFonts w:ascii="Verdana" w:hAnsi="Verdana"/>
                <w:sz w:val="16"/>
                <w:szCs w:val="16"/>
              </w:rPr>
              <w:t>De toezichthouder kan bij een constatering van niet-naleving overgaan tot mediation of het opleggen van boetes. Als een bedrijf tweemaal binnen vijf jaar tijd een boete is opgelegd door de bestuursrechter, kan het OM het bestuur vervolgen en voor de strafrechter dagen.</w:t>
            </w:r>
          </w:p>
        </w:tc>
        <w:tc>
          <w:tcPr>
            <w:tcW w:w="3686" w:type="dxa"/>
            <w:tcBorders>
              <w:top w:val="single" w:color="121469" w:themeColor="accent1" w:sz="6" w:space="0"/>
              <w:left w:val="single" w:color="121469" w:themeColor="accent1" w:sz="6" w:space="0"/>
              <w:bottom w:val="single" w:color="121469" w:themeColor="accent1" w:sz="2" w:space="0"/>
              <w:right w:val="single" w:color="121469" w:themeColor="accent1" w:sz="6" w:space="0"/>
            </w:tcBorders>
            <w:shd w:val="clear" w:color="auto" w:fill="FFFFFF" w:themeFill="background1"/>
          </w:tcPr>
          <w:p w:rsidR="00257C2C" w:rsidP="0027012C" w:rsidRDefault="0027012C" w14:paraId="4F2156BC" w14:textId="77777777">
            <w:pPr>
              <w:spacing w:line="200" w:lineRule="atLeast"/>
              <w:rPr>
                <w:rFonts w:ascii="Verdana" w:hAnsi="Verdana"/>
                <w:sz w:val="16"/>
                <w:szCs w:val="16"/>
              </w:rPr>
            </w:pPr>
            <w:r w:rsidRPr="002F57BA">
              <w:rPr>
                <w:rFonts w:ascii="Verdana" w:hAnsi="Verdana"/>
                <w:sz w:val="16"/>
                <w:szCs w:val="16"/>
              </w:rPr>
              <w:t xml:space="preserve">De richtlijn schrijft voor dat de toezichthoudende autoriteit bij de uitvoering van hun taken ten </w:t>
            </w:r>
          </w:p>
          <w:p w:rsidRPr="002F57BA" w:rsidR="0027012C" w:rsidP="0027012C" w:rsidRDefault="0027012C" w14:paraId="4436195C" w14:textId="7262B0B0">
            <w:pPr>
              <w:spacing w:line="200" w:lineRule="atLeast"/>
              <w:rPr>
                <w:rFonts w:ascii="Verdana" w:hAnsi="Verdana"/>
                <w:sz w:val="16"/>
                <w:szCs w:val="16"/>
              </w:rPr>
            </w:pPr>
            <w:r w:rsidRPr="002F57BA">
              <w:rPr>
                <w:rFonts w:ascii="Verdana" w:hAnsi="Verdana"/>
                <w:sz w:val="16"/>
                <w:szCs w:val="16"/>
              </w:rPr>
              <w:t>minste over de bevoegdheden moet beschikken om:</w:t>
            </w:r>
          </w:p>
          <w:p w:rsidR="00F358F3" w:rsidP="007D341B" w:rsidRDefault="0027012C" w14:paraId="1BA8A32C" w14:textId="77777777">
            <w:pPr>
              <w:pStyle w:val="Lijstalinea"/>
              <w:numPr>
                <w:ilvl w:val="0"/>
                <w:numId w:val="40"/>
              </w:numPr>
              <w:spacing w:line="200" w:lineRule="atLeast"/>
              <w:rPr>
                <w:rFonts w:ascii="Verdana" w:hAnsi="Verdana"/>
                <w:sz w:val="16"/>
                <w:szCs w:val="16"/>
              </w:rPr>
            </w:pPr>
            <w:r w:rsidRPr="00F358F3">
              <w:rPr>
                <w:rFonts w:ascii="Verdana" w:hAnsi="Verdana"/>
                <w:sz w:val="16"/>
                <w:szCs w:val="16"/>
              </w:rPr>
              <w:t xml:space="preserve">De onderneming te gelasten: </w:t>
            </w:r>
          </w:p>
          <w:p w:rsidR="00F358F3" w:rsidP="007D341B" w:rsidRDefault="0027012C" w14:paraId="22F35B30" w14:textId="4E5F98F3">
            <w:pPr>
              <w:pStyle w:val="Lijstalinea"/>
              <w:numPr>
                <w:ilvl w:val="1"/>
                <w:numId w:val="40"/>
              </w:numPr>
              <w:spacing w:line="200" w:lineRule="atLeast"/>
              <w:rPr>
                <w:rFonts w:ascii="Verdana" w:hAnsi="Verdana"/>
                <w:sz w:val="16"/>
                <w:szCs w:val="16"/>
              </w:rPr>
            </w:pPr>
            <w:r w:rsidRPr="00F358F3">
              <w:rPr>
                <w:rFonts w:ascii="Verdana" w:hAnsi="Verdana"/>
                <w:sz w:val="16"/>
                <w:szCs w:val="16"/>
              </w:rPr>
              <w:t>de inbreuk te beëindigen door ofwel een handeling te verrichten ofwel een gedraging te beëindigen</w:t>
            </w:r>
            <w:r w:rsidR="007D341B">
              <w:rPr>
                <w:rFonts w:ascii="Verdana" w:hAnsi="Verdana"/>
                <w:sz w:val="16"/>
                <w:szCs w:val="16"/>
              </w:rPr>
              <w:t>;</w:t>
            </w:r>
          </w:p>
          <w:p w:rsidR="00F358F3" w:rsidP="007D341B" w:rsidRDefault="0027012C" w14:paraId="688866E4" w14:textId="1B5C1C2E">
            <w:pPr>
              <w:pStyle w:val="Lijstalinea"/>
              <w:numPr>
                <w:ilvl w:val="1"/>
                <w:numId w:val="40"/>
              </w:numPr>
              <w:spacing w:line="200" w:lineRule="atLeast"/>
              <w:rPr>
                <w:rFonts w:ascii="Verdana" w:hAnsi="Verdana"/>
                <w:sz w:val="16"/>
                <w:szCs w:val="16"/>
              </w:rPr>
            </w:pPr>
            <w:r w:rsidRPr="00F358F3">
              <w:rPr>
                <w:rFonts w:ascii="Verdana" w:hAnsi="Verdana"/>
                <w:sz w:val="16"/>
                <w:szCs w:val="16"/>
              </w:rPr>
              <w:t>de gedraging in kwestie niet te herhalen</w:t>
            </w:r>
            <w:r w:rsidR="007D341B">
              <w:rPr>
                <w:rFonts w:ascii="Verdana" w:hAnsi="Verdana"/>
                <w:sz w:val="16"/>
                <w:szCs w:val="16"/>
              </w:rPr>
              <w:t>;</w:t>
            </w:r>
            <w:r w:rsidRPr="00F358F3">
              <w:rPr>
                <w:rFonts w:ascii="Verdana" w:hAnsi="Verdana"/>
                <w:sz w:val="16"/>
                <w:szCs w:val="16"/>
              </w:rPr>
              <w:t xml:space="preserve"> en </w:t>
            </w:r>
          </w:p>
          <w:p w:rsidRPr="00F358F3" w:rsidR="0027012C" w:rsidP="007D341B" w:rsidRDefault="0027012C" w14:paraId="6A77BF27" w14:textId="37B1C46A">
            <w:pPr>
              <w:pStyle w:val="Lijstalinea"/>
              <w:numPr>
                <w:ilvl w:val="1"/>
                <w:numId w:val="40"/>
              </w:numPr>
              <w:spacing w:line="200" w:lineRule="atLeast"/>
              <w:rPr>
                <w:rFonts w:ascii="Verdana" w:hAnsi="Verdana"/>
                <w:sz w:val="16"/>
                <w:szCs w:val="16"/>
              </w:rPr>
            </w:pPr>
            <w:r w:rsidRPr="00F358F3">
              <w:rPr>
                <w:rFonts w:ascii="Verdana" w:hAnsi="Verdana"/>
                <w:sz w:val="16"/>
                <w:szCs w:val="16"/>
              </w:rPr>
              <w:t>in voorkomend geval, herstel te bieden dat in verhouding staat tot de inbreuk en noodzakelijk is om de inbreuk te beëindigen</w:t>
            </w:r>
            <w:r w:rsidR="007D341B">
              <w:rPr>
                <w:rFonts w:ascii="Verdana" w:hAnsi="Verdana"/>
                <w:sz w:val="16"/>
                <w:szCs w:val="16"/>
              </w:rPr>
              <w:t xml:space="preserve">. </w:t>
            </w:r>
          </w:p>
          <w:p w:rsidRPr="00FE062D" w:rsidR="0027012C" w:rsidP="007D341B" w:rsidRDefault="0027012C" w14:paraId="0EED281E" w14:textId="37CD831C">
            <w:pPr>
              <w:pStyle w:val="Lijstalinea"/>
              <w:numPr>
                <w:ilvl w:val="0"/>
                <w:numId w:val="40"/>
              </w:numPr>
              <w:spacing w:line="200" w:lineRule="atLeast"/>
              <w:rPr>
                <w:rFonts w:ascii="Verdana" w:hAnsi="Verdana"/>
                <w:sz w:val="16"/>
                <w:szCs w:val="16"/>
              </w:rPr>
            </w:pPr>
            <w:r w:rsidRPr="00FE062D">
              <w:rPr>
                <w:rFonts w:ascii="Verdana" w:hAnsi="Verdana"/>
                <w:sz w:val="16"/>
                <w:szCs w:val="16"/>
              </w:rPr>
              <w:lastRenderedPageBreak/>
              <w:t>Sancties op te leggen volgens artikel 27 van de richtlijn (geldboete en publieke verklaring);</w:t>
            </w:r>
          </w:p>
          <w:p w:rsidRPr="00FE062D" w:rsidR="0027012C" w:rsidP="007D341B" w:rsidRDefault="0027012C" w14:paraId="3B28BE6C" w14:textId="538C7C87">
            <w:pPr>
              <w:pStyle w:val="Lijstalinea"/>
              <w:numPr>
                <w:ilvl w:val="0"/>
                <w:numId w:val="40"/>
              </w:numPr>
              <w:spacing w:line="200" w:lineRule="atLeast"/>
              <w:rPr>
                <w:rFonts w:ascii="Verdana" w:hAnsi="Verdana"/>
                <w:sz w:val="16"/>
                <w:szCs w:val="16"/>
              </w:rPr>
            </w:pPr>
            <w:r w:rsidRPr="00FE062D">
              <w:rPr>
                <w:rFonts w:ascii="Verdana" w:hAnsi="Verdana"/>
                <w:sz w:val="16"/>
                <w:szCs w:val="16"/>
              </w:rPr>
              <w:t xml:space="preserve">Voorlopige maatregelen vast te stellen in geval van een dreigend risico op ernstige en onherstelbare schade. </w:t>
            </w:r>
          </w:p>
          <w:p w:rsidRPr="002F57BA" w:rsidR="0027012C" w:rsidP="0027012C" w:rsidRDefault="0027012C" w14:paraId="251DFF91" w14:textId="77777777">
            <w:pPr>
              <w:spacing w:line="200" w:lineRule="atLeast"/>
              <w:rPr>
                <w:rFonts w:ascii="Verdana" w:hAnsi="Verdana"/>
                <w:sz w:val="16"/>
                <w:szCs w:val="16"/>
              </w:rPr>
            </w:pPr>
          </w:p>
          <w:p w:rsidRPr="002F57BA" w:rsidR="0043166A" w:rsidP="0027012C" w:rsidRDefault="0027012C" w14:paraId="509E1365" w14:textId="0AE21859">
            <w:pPr>
              <w:spacing w:line="200" w:lineRule="atLeast"/>
              <w:rPr>
                <w:rFonts w:ascii="Verdana" w:hAnsi="Verdana"/>
                <w:sz w:val="16"/>
                <w:szCs w:val="16"/>
              </w:rPr>
            </w:pPr>
            <w:r w:rsidRPr="002F57BA">
              <w:rPr>
                <w:rFonts w:ascii="Verdana" w:hAnsi="Verdana"/>
                <w:sz w:val="16"/>
                <w:szCs w:val="16"/>
              </w:rPr>
              <w:t>De bewoording ‘ten minste’ geeft aan dat lidstaten meer bevoegdheden mogen toekennen dan expliciet in de richtlijn genoemd.</w:t>
            </w:r>
          </w:p>
        </w:tc>
        <w:tc>
          <w:tcPr>
            <w:tcW w:w="3686" w:type="dxa"/>
            <w:tcBorders>
              <w:top w:val="single" w:color="121469" w:themeColor="accent1" w:sz="6" w:space="0"/>
              <w:left w:val="single" w:color="121469" w:themeColor="accent1" w:sz="6" w:space="0"/>
              <w:bottom w:val="single" w:color="121469" w:themeColor="accent1" w:sz="2" w:space="0"/>
              <w:right w:val="single" w:color="121469" w:themeColor="accent1" w:sz="2" w:space="0"/>
            </w:tcBorders>
            <w:shd w:val="clear" w:color="auto" w:fill="FFFFFF" w:themeFill="background1"/>
          </w:tcPr>
          <w:p w:rsidRPr="002F57BA" w:rsidR="0043166A" w:rsidP="0043166A" w:rsidRDefault="0027012C" w14:paraId="5B5ADCEF" w14:textId="6A69AC90">
            <w:pPr>
              <w:spacing w:line="200" w:lineRule="atLeast"/>
              <w:rPr>
                <w:rFonts w:ascii="Verdana" w:hAnsi="Verdana"/>
                <w:sz w:val="16"/>
                <w:szCs w:val="16"/>
              </w:rPr>
            </w:pPr>
            <w:r w:rsidRPr="002F57BA">
              <w:rPr>
                <w:rFonts w:ascii="Verdana" w:hAnsi="Verdana"/>
                <w:sz w:val="16"/>
                <w:szCs w:val="16"/>
              </w:rPr>
              <w:lastRenderedPageBreak/>
              <w:t>De toezichthouder dient bij een constatering van schending van het verbod onverwijld het besluit vast te stellen dat de marktdeelnemer het product van de markt moet halen. Indien de marktdeelnemer geen gehoor geeft aan het besluit, dan moet de toezichthouder het besluit handhaven en waar nodig producten van de markt halen. Daarnaast kunnen de lidstaten sancties opleggen aan marktdeelnemers.</w:t>
            </w:r>
          </w:p>
        </w:tc>
      </w:tr>
      <w:tr w:rsidRPr="004E3EEC" w:rsidR="00523AE5" w:rsidTr="005157AC" w14:paraId="40D60F10" w14:textId="77777777">
        <w:trPr>
          <w:trHeight w:val="1235"/>
          <w:jc w:val="center"/>
        </w:trPr>
        <w:tc>
          <w:tcPr>
            <w:tcW w:w="2552" w:type="dxa"/>
            <w:tcBorders>
              <w:left w:val="single" w:color="121469" w:themeColor="accent1" w:sz="2" w:space="0"/>
              <w:bottom w:val="single" w:color="121469" w:themeColor="accent1" w:sz="6" w:space="0"/>
              <w:right w:val="single" w:color="121469" w:themeColor="accent1" w:sz="6" w:space="0"/>
            </w:tcBorders>
            <w:shd w:val="clear" w:color="auto" w:fill="F0F2F4" w:themeFill="accent3" w:themeFillTint="33"/>
          </w:tcPr>
          <w:p w:rsidRPr="002F57BA" w:rsidR="00523AE5" w:rsidP="00523AE5" w:rsidRDefault="00523AE5" w14:paraId="6E049BCA" w14:textId="77777777">
            <w:pPr>
              <w:spacing w:line="200" w:lineRule="atLeast"/>
              <w:rPr>
                <w:rFonts w:ascii="Verdana" w:hAnsi="Verdana"/>
                <w:b/>
                <w:bCs/>
                <w:sz w:val="16"/>
                <w:szCs w:val="16"/>
              </w:rPr>
            </w:pPr>
            <w:r w:rsidRPr="002F57BA">
              <w:rPr>
                <w:rFonts w:ascii="Verdana" w:hAnsi="Verdana"/>
                <w:b/>
                <w:bCs/>
                <w:sz w:val="16"/>
                <w:szCs w:val="16"/>
              </w:rPr>
              <w:t>Aansprakelijkheid</w:t>
            </w:r>
          </w:p>
          <w:p w:rsidRPr="002F57BA" w:rsidR="00523AE5" w:rsidP="00523AE5" w:rsidRDefault="00523AE5" w14:paraId="41D97EEE" w14:textId="77777777">
            <w:pPr>
              <w:spacing w:line="200" w:lineRule="atLeast"/>
              <w:rPr>
                <w:rFonts w:ascii="Verdana" w:hAnsi="Verdana"/>
                <w:b/>
                <w:bCs/>
                <w:sz w:val="16"/>
                <w:szCs w:val="16"/>
              </w:rPr>
            </w:pPr>
          </w:p>
          <w:p w:rsidRPr="002F57BA" w:rsidR="00523AE5" w:rsidP="00523AE5" w:rsidRDefault="00523AE5" w14:paraId="7E3E5357" w14:textId="289F930C">
            <w:pPr>
              <w:spacing w:line="200" w:lineRule="atLeast"/>
              <w:rPr>
                <w:rFonts w:ascii="Verdana" w:hAnsi="Verdana"/>
                <w:b/>
                <w:bCs/>
                <w:sz w:val="16"/>
                <w:szCs w:val="16"/>
              </w:rPr>
            </w:pPr>
          </w:p>
        </w:tc>
        <w:tc>
          <w:tcPr>
            <w:tcW w:w="3686" w:type="dxa"/>
            <w:tcBorders>
              <w:left w:val="single" w:color="121469" w:themeColor="accent1" w:sz="6" w:space="0"/>
              <w:bottom w:val="single" w:color="121469" w:themeColor="accent1" w:sz="6" w:space="0"/>
              <w:right w:val="single" w:color="121469" w:themeColor="accent1" w:sz="6" w:space="0"/>
            </w:tcBorders>
            <w:shd w:val="clear" w:color="auto" w:fill="F0F2F4" w:themeFill="accent3" w:themeFillTint="33"/>
          </w:tcPr>
          <w:p w:rsidRPr="002F57BA" w:rsidR="00523AE5" w:rsidP="0043166A" w:rsidRDefault="00523AE5" w14:paraId="38102412" w14:textId="657A30D5">
            <w:pPr>
              <w:spacing w:line="200" w:lineRule="atLeast"/>
              <w:rPr>
                <w:rFonts w:ascii="Verdana" w:hAnsi="Verdana"/>
                <w:sz w:val="16"/>
                <w:szCs w:val="16"/>
              </w:rPr>
            </w:pPr>
            <w:r w:rsidRPr="002F57BA">
              <w:rPr>
                <w:rFonts w:ascii="Verdana" w:hAnsi="Verdana"/>
                <w:sz w:val="16"/>
                <w:szCs w:val="16"/>
              </w:rPr>
              <w:t>De wet regelt zowel bestuursrechtelijke handhaving (bestuurlijke boete) als strafrechtelijke handhaving van de verplichtingen voor passende zorgvuldigheid</w:t>
            </w:r>
            <w:r>
              <w:rPr>
                <w:rFonts w:ascii="Verdana" w:hAnsi="Verdana"/>
                <w:sz w:val="16"/>
                <w:szCs w:val="16"/>
              </w:rPr>
              <w:t xml:space="preserve">. </w:t>
            </w:r>
          </w:p>
        </w:tc>
        <w:tc>
          <w:tcPr>
            <w:tcW w:w="3686" w:type="dxa"/>
            <w:tcBorders>
              <w:left w:val="single" w:color="121469" w:themeColor="accent1" w:sz="6" w:space="0"/>
              <w:bottom w:val="single" w:color="121469" w:themeColor="accent1" w:sz="6" w:space="0"/>
              <w:right w:val="single" w:color="121469" w:themeColor="accent1" w:sz="6" w:space="0"/>
            </w:tcBorders>
            <w:shd w:val="clear" w:color="auto" w:fill="F0F2F4" w:themeFill="accent3" w:themeFillTint="33"/>
          </w:tcPr>
          <w:p w:rsidR="0010724C" w:rsidP="006F2D09" w:rsidRDefault="006F2D09" w14:paraId="52451B40" w14:textId="2CF3EAF6">
            <w:pPr>
              <w:spacing w:line="200" w:lineRule="atLeast"/>
              <w:rPr>
                <w:rFonts w:ascii="Verdana" w:hAnsi="Verdana"/>
                <w:sz w:val="16"/>
                <w:szCs w:val="16"/>
              </w:rPr>
            </w:pPr>
            <w:r w:rsidRPr="002F57BA">
              <w:rPr>
                <w:rFonts w:ascii="Verdana" w:hAnsi="Verdana"/>
                <w:sz w:val="16"/>
                <w:szCs w:val="16"/>
              </w:rPr>
              <w:t xml:space="preserve">De richtlijn stelt geen regels ten aanzien van wettelijke civiele aansprakelijkheid maar laat dit ter invulling aan de lidstaten (geen harmonisatie van civiele aansprakelijkheid). </w:t>
            </w:r>
          </w:p>
          <w:p w:rsidR="0010724C" w:rsidP="006F2D09" w:rsidRDefault="0010724C" w14:paraId="09BB5DB2" w14:textId="77777777">
            <w:pPr>
              <w:spacing w:line="200" w:lineRule="atLeast"/>
              <w:rPr>
                <w:rFonts w:ascii="Verdana" w:hAnsi="Verdana"/>
                <w:sz w:val="16"/>
                <w:szCs w:val="16"/>
              </w:rPr>
            </w:pPr>
          </w:p>
          <w:p w:rsidR="006F2D09" w:rsidP="006F2D09" w:rsidRDefault="006F2D09" w14:paraId="1546F46B" w14:textId="403343C3">
            <w:pPr>
              <w:spacing w:line="200" w:lineRule="atLeast"/>
              <w:rPr>
                <w:rFonts w:ascii="Verdana" w:hAnsi="Verdana"/>
                <w:sz w:val="16"/>
                <w:szCs w:val="16"/>
              </w:rPr>
            </w:pPr>
            <w:r w:rsidRPr="002F57BA">
              <w:rPr>
                <w:rFonts w:ascii="Verdana" w:hAnsi="Verdana"/>
                <w:sz w:val="16"/>
                <w:szCs w:val="16"/>
              </w:rPr>
              <w:t>Lidstaten zijn wel verplicht ervoor te zorgen dat natuurlijke of rechtspersonen een volledige schadevergoeding ontvangen als de onderneming aansprakelijk wordt gesteld voor een schending.</w:t>
            </w:r>
          </w:p>
          <w:p w:rsidR="0069634E" w:rsidP="006F2D09" w:rsidRDefault="0069634E" w14:paraId="447D5218" w14:textId="77777777">
            <w:pPr>
              <w:spacing w:line="200" w:lineRule="atLeast"/>
              <w:rPr>
                <w:rFonts w:ascii="Verdana" w:hAnsi="Verdana"/>
                <w:sz w:val="16"/>
                <w:szCs w:val="16"/>
              </w:rPr>
            </w:pPr>
          </w:p>
          <w:p w:rsidRPr="002F57BA" w:rsidR="00523AE5" w:rsidP="000F6D25" w:rsidRDefault="0069634E" w14:paraId="5E449CEE" w14:textId="45B86C55">
            <w:pPr>
              <w:spacing w:line="200" w:lineRule="atLeast"/>
              <w:rPr>
                <w:rFonts w:ascii="Verdana" w:hAnsi="Verdana"/>
                <w:sz w:val="16"/>
                <w:szCs w:val="16"/>
              </w:rPr>
            </w:pPr>
            <w:r>
              <w:rPr>
                <w:rFonts w:ascii="Verdana" w:hAnsi="Verdana"/>
                <w:sz w:val="16"/>
                <w:szCs w:val="16"/>
              </w:rPr>
              <w:t>In Nederland zullen de al bestaande regels opgenomen in het Burgerlijk Wetboek van toepassing zijn op civiele proce</w:t>
            </w:r>
            <w:r w:rsidR="00E53C0D">
              <w:rPr>
                <w:rFonts w:ascii="Verdana" w:hAnsi="Verdana"/>
                <w:sz w:val="16"/>
                <w:szCs w:val="16"/>
              </w:rPr>
              <w:t xml:space="preserve">dures. </w:t>
            </w:r>
            <w:r w:rsidR="00CF59AE">
              <w:rPr>
                <w:rFonts w:ascii="Verdana" w:hAnsi="Verdana"/>
                <w:sz w:val="16"/>
                <w:szCs w:val="16"/>
              </w:rPr>
              <w:t>Wel word</w:t>
            </w:r>
            <w:r w:rsidR="00551058">
              <w:rPr>
                <w:rFonts w:ascii="Verdana" w:hAnsi="Verdana"/>
                <w:sz w:val="16"/>
                <w:szCs w:val="16"/>
              </w:rPr>
              <w:t>t een afwijkende</w:t>
            </w:r>
            <w:r w:rsidR="00CF59AE">
              <w:rPr>
                <w:rFonts w:ascii="Verdana" w:hAnsi="Verdana"/>
                <w:sz w:val="16"/>
                <w:szCs w:val="16"/>
              </w:rPr>
              <w:t xml:space="preserve"> verjaringstermijn</w:t>
            </w:r>
            <w:r w:rsidR="00473B56">
              <w:rPr>
                <w:rFonts w:ascii="Verdana" w:hAnsi="Verdana"/>
                <w:sz w:val="16"/>
                <w:szCs w:val="16"/>
              </w:rPr>
              <w:t xml:space="preserve"> </w:t>
            </w:r>
            <w:r w:rsidR="002F72BA">
              <w:rPr>
                <w:rFonts w:ascii="Verdana" w:hAnsi="Verdana"/>
                <w:sz w:val="16"/>
                <w:szCs w:val="16"/>
              </w:rPr>
              <w:t>en uitzonderingen op aansprakelijkheid</w:t>
            </w:r>
            <w:r w:rsidR="000225DD">
              <w:rPr>
                <w:rFonts w:ascii="Verdana" w:hAnsi="Verdana"/>
                <w:sz w:val="16"/>
                <w:szCs w:val="16"/>
              </w:rPr>
              <w:t xml:space="preserve"> </w:t>
            </w:r>
            <w:r w:rsidR="002F72BA">
              <w:rPr>
                <w:rFonts w:ascii="Verdana" w:hAnsi="Verdana"/>
                <w:sz w:val="16"/>
                <w:szCs w:val="16"/>
              </w:rPr>
              <w:t xml:space="preserve">voorgesteld in de conceptimplementatiewet. </w:t>
            </w:r>
            <w:r w:rsidR="00896A87">
              <w:rPr>
                <w:rFonts w:ascii="Verdana" w:hAnsi="Verdana"/>
                <w:sz w:val="16"/>
                <w:szCs w:val="16"/>
              </w:rPr>
              <w:t xml:space="preserve"> </w:t>
            </w:r>
          </w:p>
        </w:tc>
        <w:tc>
          <w:tcPr>
            <w:tcW w:w="3686" w:type="dxa"/>
            <w:tcBorders>
              <w:left w:val="single" w:color="121469" w:themeColor="accent1" w:sz="6" w:space="0"/>
              <w:bottom w:val="single" w:color="121469" w:themeColor="accent1" w:sz="6" w:space="0"/>
              <w:right w:val="single" w:color="121469" w:themeColor="accent1" w:sz="2" w:space="0"/>
            </w:tcBorders>
            <w:shd w:val="clear" w:color="auto" w:fill="F0F2F4" w:themeFill="accent3" w:themeFillTint="33"/>
          </w:tcPr>
          <w:p w:rsidRPr="002F57BA" w:rsidR="006F2D09" w:rsidP="006F2D09" w:rsidRDefault="006F2D09" w14:paraId="3EF00C10" w14:textId="77777777">
            <w:pPr>
              <w:spacing w:line="200" w:lineRule="atLeast"/>
              <w:rPr>
                <w:rFonts w:ascii="Verdana" w:hAnsi="Verdana"/>
                <w:sz w:val="16"/>
                <w:szCs w:val="16"/>
              </w:rPr>
            </w:pPr>
            <w:r w:rsidRPr="002F57BA">
              <w:rPr>
                <w:rFonts w:ascii="Verdana" w:hAnsi="Verdana"/>
                <w:sz w:val="16"/>
                <w:szCs w:val="16"/>
              </w:rPr>
              <w:t xml:space="preserve">De verordening schrijft voor dat lidstaten regels dienen vast te stellen voor de sancties die van toepassing zijn op marktdeelnemers bij niet-naleving van het verbod. </w:t>
            </w:r>
          </w:p>
          <w:p w:rsidRPr="002F57BA" w:rsidR="006F2D09" w:rsidP="006F2D09" w:rsidRDefault="006F2D09" w14:paraId="1A0B84CD" w14:textId="77777777">
            <w:pPr>
              <w:spacing w:line="200" w:lineRule="atLeast"/>
              <w:rPr>
                <w:rFonts w:ascii="Verdana" w:hAnsi="Verdana"/>
                <w:sz w:val="16"/>
                <w:szCs w:val="16"/>
              </w:rPr>
            </w:pPr>
          </w:p>
          <w:p w:rsidRPr="002F57BA" w:rsidR="00523AE5" w:rsidP="006F2D09" w:rsidRDefault="006F2D09" w14:paraId="094540DD" w14:textId="46F26EC9">
            <w:pPr>
              <w:spacing w:line="200" w:lineRule="atLeast"/>
              <w:rPr>
                <w:rFonts w:ascii="Verdana" w:hAnsi="Verdana"/>
                <w:sz w:val="16"/>
                <w:szCs w:val="16"/>
              </w:rPr>
            </w:pPr>
            <w:r w:rsidRPr="002F57BA">
              <w:rPr>
                <w:rFonts w:ascii="Verdana" w:hAnsi="Verdana"/>
                <w:sz w:val="16"/>
                <w:szCs w:val="16"/>
              </w:rPr>
              <w:t xml:space="preserve">De invulling hiervan moet nog worden vastgelegd in de uitvoeringswet.  </w:t>
            </w:r>
          </w:p>
        </w:tc>
      </w:tr>
      <w:tr w:rsidRPr="004E3EEC" w:rsidR="000975C4" w:rsidTr="005157AC" w14:paraId="29219006" w14:textId="77777777">
        <w:trPr>
          <w:trHeight w:val="1235"/>
          <w:jc w:val="center"/>
        </w:trPr>
        <w:tc>
          <w:tcPr>
            <w:tcW w:w="2552" w:type="dxa"/>
            <w:tcBorders>
              <w:top w:val="single" w:color="121469" w:themeColor="accent1" w:sz="6" w:space="0"/>
              <w:left w:val="single" w:color="121469" w:themeColor="accent1" w:sz="2" w:space="0"/>
              <w:bottom w:val="single" w:color="121469" w:themeColor="accent1" w:sz="6" w:space="0"/>
              <w:right w:val="single" w:color="121469" w:themeColor="accent1" w:sz="6" w:space="0"/>
            </w:tcBorders>
            <w:shd w:val="clear" w:color="auto" w:fill="FFFFFF" w:themeFill="background1"/>
          </w:tcPr>
          <w:p w:rsidRPr="002F57BA" w:rsidR="000975C4" w:rsidP="000975C4" w:rsidRDefault="000975C4" w14:paraId="40A06154" w14:textId="77777777">
            <w:pPr>
              <w:spacing w:line="200" w:lineRule="atLeast"/>
              <w:rPr>
                <w:rFonts w:ascii="Verdana" w:hAnsi="Verdana"/>
                <w:b/>
                <w:bCs/>
                <w:sz w:val="16"/>
                <w:szCs w:val="16"/>
              </w:rPr>
            </w:pPr>
            <w:r w:rsidRPr="002F57BA">
              <w:rPr>
                <w:rFonts w:ascii="Verdana" w:hAnsi="Verdana"/>
                <w:b/>
                <w:bCs/>
                <w:sz w:val="16"/>
                <w:szCs w:val="16"/>
              </w:rPr>
              <w:t xml:space="preserve">Hoogte boetes </w:t>
            </w:r>
          </w:p>
          <w:p w:rsidRPr="002F57BA" w:rsidR="000975C4" w:rsidP="000975C4" w:rsidRDefault="000975C4" w14:paraId="63C2A5DC" w14:textId="77777777">
            <w:pPr>
              <w:spacing w:line="200" w:lineRule="atLeast"/>
              <w:rPr>
                <w:rFonts w:ascii="Verdana" w:hAnsi="Verdana"/>
                <w:b/>
                <w:bCs/>
                <w:sz w:val="16"/>
                <w:szCs w:val="16"/>
              </w:rPr>
            </w:pPr>
          </w:p>
          <w:p w:rsidRPr="002F57BA" w:rsidR="000975C4" w:rsidP="00497AFD" w:rsidRDefault="000975C4" w14:paraId="0E6831A5" w14:textId="77777777">
            <w:pPr>
              <w:spacing w:line="200" w:lineRule="atLeast"/>
              <w:rPr>
                <w:rFonts w:ascii="Verdana" w:hAnsi="Verdana"/>
                <w:b/>
                <w:bCs/>
                <w:sz w:val="16"/>
                <w:szCs w:val="16"/>
              </w:rPr>
            </w:pPr>
          </w:p>
        </w:tc>
        <w:tc>
          <w:tcPr>
            <w:tcW w:w="3686" w:type="dxa"/>
            <w:tcBorders>
              <w:top w:val="single" w:color="121469" w:themeColor="accent1" w:sz="6" w:space="0"/>
              <w:left w:val="single" w:color="121469" w:themeColor="accent1" w:sz="6" w:space="0"/>
              <w:bottom w:val="single" w:color="121469" w:themeColor="accent1" w:sz="6" w:space="0"/>
              <w:right w:val="single" w:color="121469" w:themeColor="accent1" w:sz="6" w:space="0"/>
            </w:tcBorders>
            <w:shd w:val="clear" w:color="auto" w:fill="FFFFFF" w:themeFill="background1"/>
          </w:tcPr>
          <w:p w:rsidRPr="002F57BA" w:rsidR="000975C4" w:rsidP="000975C4" w:rsidRDefault="000975C4" w14:paraId="3D03018C" w14:textId="506F2B59">
            <w:pPr>
              <w:spacing w:line="200" w:lineRule="atLeast"/>
              <w:rPr>
                <w:rFonts w:ascii="Verdana" w:hAnsi="Verdana"/>
                <w:sz w:val="16"/>
                <w:szCs w:val="16"/>
                <w:u w:val="single"/>
              </w:rPr>
            </w:pPr>
            <w:r w:rsidRPr="002F57BA">
              <w:rPr>
                <w:rFonts w:ascii="Verdana" w:hAnsi="Verdana"/>
                <w:sz w:val="16"/>
                <w:szCs w:val="16"/>
                <w:u w:val="single"/>
              </w:rPr>
              <w:t xml:space="preserve">Schending </w:t>
            </w:r>
            <w:r w:rsidR="005210CA">
              <w:rPr>
                <w:rFonts w:ascii="Verdana" w:hAnsi="Verdana"/>
                <w:sz w:val="16"/>
                <w:szCs w:val="16"/>
                <w:u w:val="single"/>
              </w:rPr>
              <w:t>verklaringsverplichting</w:t>
            </w:r>
            <w:r w:rsidRPr="002F57BA">
              <w:rPr>
                <w:rFonts w:ascii="Verdana" w:hAnsi="Verdana"/>
                <w:sz w:val="16"/>
                <w:szCs w:val="16"/>
                <w:u w:val="single"/>
              </w:rPr>
              <w:t>:</w:t>
            </w:r>
          </w:p>
          <w:p w:rsidRPr="002F57BA" w:rsidR="000975C4" w:rsidP="000975C4" w:rsidRDefault="000975C4" w14:paraId="375F2EC7" w14:textId="77777777">
            <w:pPr>
              <w:spacing w:line="200" w:lineRule="atLeast"/>
              <w:rPr>
                <w:rFonts w:ascii="Verdana" w:hAnsi="Verdana"/>
                <w:sz w:val="16"/>
                <w:szCs w:val="16"/>
              </w:rPr>
            </w:pPr>
            <w:r w:rsidRPr="002F57BA">
              <w:rPr>
                <w:rFonts w:ascii="Verdana" w:hAnsi="Verdana"/>
                <w:sz w:val="16"/>
                <w:szCs w:val="16"/>
              </w:rPr>
              <w:t>Geldboete van de tweede categorie van artikel 23, vierde lid, van het Wetboek van Strafrecht = €5.150</w:t>
            </w:r>
          </w:p>
          <w:p w:rsidRPr="002F57BA" w:rsidR="000975C4" w:rsidP="000975C4" w:rsidRDefault="000975C4" w14:paraId="599256BE" w14:textId="77777777">
            <w:pPr>
              <w:spacing w:line="200" w:lineRule="atLeast"/>
              <w:rPr>
                <w:rFonts w:ascii="Verdana" w:hAnsi="Verdana"/>
                <w:sz w:val="16"/>
                <w:szCs w:val="16"/>
              </w:rPr>
            </w:pPr>
          </w:p>
          <w:p w:rsidRPr="002F57BA" w:rsidR="000975C4" w:rsidP="000975C4" w:rsidRDefault="000975C4" w14:paraId="5E1697AE" w14:textId="53DEC401">
            <w:pPr>
              <w:spacing w:line="200" w:lineRule="atLeast"/>
              <w:rPr>
                <w:rFonts w:ascii="Verdana" w:hAnsi="Verdana"/>
                <w:sz w:val="16"/>
                <w:szCs w:val="16"/>
                <w:u w:val="single"/>
              </w:rPr>
            </w:pPr>
            <w:r w:rsidRPr="002F57BA">
              <w:rPr>
                <w:rFonts w:ascii="Verdana" w:hAnsi="Verdana"/>
                <w:sz w:val="16"/>
                <w:szCs w:val="16"/>
                <w:u w:val="single"/>
              </w:rPr>
              <w:t xml:space="preserve">Schending </w:t>
            </w:r>
            <w:r w:rsidR="005210CA">
              <w:rPr>
                <w:rFonts w:ascii="Verdana" w:hAnsi="Verdana"/>
                <w:sz w:val="16"/>
                <w:szCs w:val="16"/>
                <w:u w:val="single"/>
              </w:rPr>
              <w:t>gepaste zorgvuldigheid</w:t>
            </w:r>
            <w:r w:rsidRPr="002F57BA">
              <w:rPr>
                <w:rFonts w:ascii="Verdana" w:hAnsi="Verdana"/>
                <w:sz w:val="16"/>
                <w:szCs w:val="16"/>
                <w:u w:val="single"/>
              </w:rPr>
              <w:t>:</w:t>
            </w:r>
          </w:p>
          <w:p w:rsidRPr="002F57BA" w:rsidR="000975C4" w:rsidP="000975C4" w:rsidRDefault="000975C4" w14:paraId="4E454368" w14:textId="23C5D431">
            <w:pPr>
              <w:spacing w:line="200" w:lineRule="atLeast"/>
              <w:rPr>
                <w:rFonts w:ascii="Verdana" w:hAnsi="Verdana"/>
                <w:sz w:val="16"/>
                <w:szCs w:val="16"/>
              </w:rPr>
            </w:pPr>
            <w:r w:rsidRPr="002F57BA">
              <w:rPr>
                <w:rFonts w:ascii="Verdana" w:hAnsi="Verdana"/>
                <w:sz w:val="16"/>
                <w:szCs w:val="16"/>
              </w:rPr>
              <w:t>Geldboete van de zesde categorie van artikel 23, vierde lid, van het Wetboek van Strafrecht = €1.030.000</w:t>
            </w:r>
          </w:p>
        </w:tc>
        <w:tc>
          <w:tcPr>
            <w:tcW w:w="3686" w:type="dxa"/>
            <w:tcBorders>
              <w:top w:val="single" w:color="121469" w:themeColor="accent1" w:sz="6" w:space="0"/>
              <w:left w:val="single" w:color="121469" w:themeColor="accent1" w:sz="6" w:space="0"/>
              <w:bottom w:val="single" w:color="121469" w:themeColor="accent1" w:sz="6" w:space="0"/>
              <w:right w:val="single" w:color="121469" w:themeColor="accent1" w:sz="6" w:space="0"/>
            </w:tcBorders>
            <w:shd w:val="clear" w:color="auto" w:fill="FFFFFF" w:themeFill="background1"/>
          </w:tcPr>
          <w:p w:rsidRPr="002F57BA" w:rsidR="000975C4" w:rsidP="000975C4" w:rsidRDefault="000975C4" w14:paraId="041B1883" w14:textId="77777777">
            <w:pPr>
              <w:spacing w:line="200" w:lineRule="atLeast"/>
              <w:rPr>
                <w:rFonts w:ascii="Verdana" w:hAnsi="Verdana"/>
                <w:sz w:val="16"/>
                <w:szCs w:val="16"/>
              </w:rPr>
            </w:pPr>
            <w:r w:rsidRPr="002F57BA">
              <w:rPr>
                <w:rFonts w:ascii="Verdana" w:hAnsi="Verdana"/>
                <w:sz w:val="16"/>
                <w:szCs w:val="16"/>
              </w:rPr>
              <w:t xml:space="preserve">De maximumgrens voor geldboeten bedraagt op basis van de richtlijn ten hoogste 3% van de wereldwijde netto-omzet van de onderneming in het boekjaar dat voorafgaat aan het jaar van het besluit tot opleggen van de geldboete. </w:t>
            </w:r>
          </w:p>
          <w:p w:rsidRPr="002F57BA" w:rsidR="000975C4" w:rsidP="006F2D09" w:rsidRDefault="000975C4" w14:paraId="5237DD06" w14:textId="77777777">
            <w:pPr>
              <w:spacing w:line="200" w:lineRule="atLeast"/>
              <w:rPr>
                <w:rFonts w:ascii="Verdana" w:hAnsi="Verdana"/>
                <w:sz w:val="16"/>
                <w:szCs w:val="16"/>
              </w:rPr>
            </w:pPr>
          </w:p>
        </w:tc>
        <w:tc>
          <w:tcPr>
            <w:tcW w:w="3686" w:type="dxa"/>
            <w:tcBorders>
              <w:top w:val="single" w:color="121469" w:themeColor="accent1" w:sz="6" w:space="0"/>
              <w:left w:val="single" w:color="121469" w:themeColor="accent1" w:sz="6" w:space="0"/>
              <w:bottom w:val="single" w:color="121469" w:themeColor="accent1" w:sz="6" w:space="0"/>
              <w:right w:val="single" w:color="121469" w:themeColor="accent1" w:sz="2" w:space="0"/>
            </w:tcBorders>
            <w:shd w:val="clear" w:color="auto" w:fill="FFFFFF" w:themeFill="background1"/>
          </w:tcPr>
          <w:p w:rsidRPr="002F57BA" w:rsidR="000975C4" w:rsidP="006F2D09" w:rsidRDefault="000975C4" w14:paraId="44270CC4" w14:textId="6A45B1BC">
            <w:pPr>
              <w:spacing w:line="200" w:lineRule="atLeast"/>
              <w:rPr>
                <w:rFonts w:ascii="Verdana" w:hAnsi="Verdana"/>
                <w:sz w:val="16"/>
                <w:szCs w:val="16"/>
              </w:rPr>
            </w:pPr>
            <w:r w:rsidRPr="002F57BA">
              <w:rPr>
                <w:rFonts w:ascii="Verdana" w:hAnsi="Verdana"/>
                <w:sz w:val="16"/>
                <w:szCs w:val="16"/>
              </w:rPr>
              <w:t>De verordening schrijft voor dat sancties doeltreffend, evenredig en afschrikkend moeten zijn, maar stelt geen hoogte vast. Het is aan lidstaten zelf om dit te bepalen. De lidstaten moeten hun sanctie</w:t>
            </w:r>
            <w:r w:rsidR="00194981">
              <w:rPr>
                <w:rFonts w:ascii="Verdana" w:hAnsi="Verdana"/>
                <w:sz w:val="16"/>
                <w:szCs w:val="16"/>
              </w:rPr>
              <w:t>beleid</w:t>
            </w:r>
            <w:r w:rsidRPr="002F57BA">
              <w:rPr>
                <w:rFonts w:ascii="Verdana" w:hAnsi="Verdana"/>
                <w:sz w:val="16"/>
                <w:szCs w:val="16"/>
              </w:rPr>
              <w:t xml:space="preserve"> uiterlijk voor 14 december 2026 </w:t>
            </w:r>
            <w:r w:rsidR="00194981">
              <w:rPr>
                <w:rFonts w:ascii="Verdana" w:hAnsi="Verdana"/>
                <w:sz w:val="16"/>
                <w:szCs w:val="16"/>
              </w:rPr>
              <w:t xml:space="preserve">melden aan de EC. </w:t>
            </w:r>
          </w:p>
        </w:tc>
      </w:tr>
      <w:tr w:rsidRPr="004E3EEC" w:rsidR="000F7F89" w:rsidTr="005157AC" w14:paraId="2858F04B" w14:textId="77777777">
        <w:trPr>
          <w:trHeight w:val="1235"/>
          <w:jc w:val="center"/>
        </w:trPr>
        <w:tc>
          <w:tcPr>
            <w:tcW w:w="2552" w:type="dxa"/>
            <w:tcBorders>
              <w:top w:val="single" w:color="121469" w:themeColor="accent1" w:sz="6" w:space="0"/>
              <w:left w:val="single" w:color="121469" w:themeColor="accent1" w:sz="2" w:space="0"/>
              <w:bottom w:val="single" w:color="121469" w:themeColor="accent1" w:sz="6" w:space="0"/>
              <w:right w:val="single" w:color="121469" w:themeColor="accent1" w:sz="6" w:space="0"/>
            </w:tcBorders>
            <w:shd w:val="clear" w:color="auto" w:fill="F0F2F4" w:themeFill="accent3" w:themeFillTint="33"/>
          </w:tcPr>
          <w:p w:rsidRPr="002F57BA" w:rsidR="000F7F89" w:rsidP="000F7F89" w:rsidRDefault="000F7F89" w14:paraId="299A5551" w14:textId="77777777">
            <w:pPr>
              <w:spacing w:line="200" w:lineRule="atLeast"/>
              <w:rPr>
                <w:rFonts w:ascii="Verdana" w:hAnsi="Verdana"/>
                <w:b/>
                <w:bCs/>
                <w:sz w:val="16"/>
                <w:szCs w:val="16"/>
              </w:rPr>
            </w:pPr>
            <w:r w:rsidRPr="002F57BA">
              <w:rPr>
                <w:rFonts w:ascii="Verdana" w:hAnsi="Verdana"/>
                <w:b/>
                <w:bCs/>
                <w:sz w:val="16"/>
                <w:szCs w:val="16"/>
              </w:rPr>
              <w:lastRenderedPageBreak/>
              <w:t xml:space="preserve">Monitoring </w:t>
            </w:r>
          </w:p>
          <w:p w:rsidRPr="002F57BA" w:rsidR="000F7F89" w:rsidP="000F7F89" w:rsidRDefault="000F7F89" w14:paraId="20C7C458" w14:textId="77777777">
            <w:pPr>
              <w:spacing w:line="200" w:lineRule="atLeast"/>
              <w:rPr>
                <w:rFonts w:ascii="Verdana" w:hAnsi="Verdana"/>
                <w:i/>
                <w:iCs/>
                <w:sz w:val="16"/>
                <w:szCs w:val="16"/>
              </w:rPr>
            </w:pPr>
          </w:p>
          <w:p w:rsidRPr="002F57BA" w:rsidR="000F7F89" w:rsidP="00497AFD" w:rsidRDefault="000F7F89" w14:paraId="2066C494" w14:textId="77777777">
            <w:pPr>
              <w:spacing w:line="200" w:lineRule="atLeast"/>
              <w:rPr>
                <w:rFonts w:ascii="Verdana" w:hAnsi="Verdana"/>
                <w:b/>
                <w:bCs/>
                <w:sz w:val="16"/>
                <w:szCs w:val="16"/>
              </w:rPr>
            </w:pPr>
          </w:p>
        </w:tc>
        <w:tc>
          <w:tcPr>
            <w:tcW w:w="3686" w:type="dxa"/>
            <w:tcBorders>
              <w:top w:val="single" w:color="121469" w:themeColor="accent1" w:sz="6" w:space="0"/>
              <w:left w:val="single" w:color="121469" w:themeColor="accent1" w:sz="6" w:space="0"/>
              <w:bottom w:val="single" w:color="121469" w:themeColor="accent1" w:sz="6" w:space="0"/>
              <w:right w:val="single" w:color="121469" w:themeColor="accent1" w:sz="6" w:space="0"/>
            </w:tcBorders>
            <w:shd w:val="clear" w:color="auto" w:fill="F0F2F4" w:themeFill="accent3" w:themeFillTint="33"/>
          </w:tcPr>
          <w:p w:rsidRPr="002F57BA" w:rsidR="000F7F89" w:rsidP="000975C4" w:rsidRDefault="000F7F89" w14:paraId="21902C2D" w14:textId="13374772">
            <w:pPr>
              <w:spacing w:line="200" w:lineRule="atLeast"/>
              <w:rPr>
                <w:rFonts w:ascii="Verdana" w:hAnsi="Verdana"/>
                <w:sz w:val="16"/>
                <w:szCs w:val="16"/>
                <w:u w:val="single"/>
              </w:rPr>
            </w:pPr>
            <w:r w:rsidRPr="002F57BA">
              <w:rPr>
                <w:rFonts w:ascii="Verdana" w:hAnsi="Verdana"/>
                <w:sz w:val="16"/>
                <w:szCs w:val="16"/>
              </w:rPr>
              <w:t>Ondernemingen worden niet verplicht hun beleid te monitoren.</w:t>
            </w:r>
          </w:p>
        </w:tc>
        <w:tc>
          <w:tcPr>
            <w:tcW w:w="3686" w:type="dxa"/>
            <w:tcBorders>
              <w:top w:val="single" w:color="121469" w:themeColor="accent1" w:sz="6" w:space="0"/>
              <w:left w:val="single" w:color="121469" w:themeColor="accent1" w:sz="6" w:space="0"/>
              <w:bottom w:val="single" w:color="121469" w:themeColor="accent1" w:sz="6" w:space="0"/>
              <w:right w:val="single" w:color="121469" w:themeColor="accent1" w:sz="6" w:space="0"/>
            </w:tcBorders>
            <w:shd w:val="clear" w:color="auto" w:fill="F0F2F4" w:themeFill="accent3" w:themeFillTint="33"/>
          </w:tcPr>
          <w:p w:rsidRPr="002F57BA" w:rsidR="000F7F89" w:rsidP="000975C4" w:rsidRDefault="000F7F89" w14:paraId="32FB6CA0" w14:textId="36CE4947">
            <w:pPr>
              <w:spacing w:line="200" w:lineRule="atLeast"/>
              <w:rPr>
                <w:rFonts w:ascii="Verdana" w:hAnsi="Verdana"/>
                <w:sz w:val="16"/>
                <w:szCs w:val="16"/>
              </w:rPr>
            </w:pPr>
            <w:r w:rsidRPr="002F57BA">
              <w:rPr>
                <w:rFonts w:ascii="Verdana" w:hAnsi="Verdana"/>
                <w:sz w:val="16"/>
                <w:szCs w:val="16"/>
              </w:rPr>
              <w:t>Ondernemingen worden verplicht iedere vijf jaar hun gepaste zorgvuldigheidsinspanningen en de doeltreffendheid van deze inspanning te monitoren.</w:t>
            </w:r>
          </w:p>
        </w:tc>
        <w:tc>
          <w:tcPr>
            <w:tcW w:w="3686" w:type="dxa"/>
            <w:tcBorders>
              <w:top w:val="single" w:color="121469" w:themeColor="accent1" w:sz="6" w:space="0"/>
              <w:left w:val="single" w:color="121469" w:themeColor="accent1" w:sz="6" w:space="0"/>
              <w:bottom w:val="single" w:color="121469" w:themeColor="accent1" w:sz="6" w:space="0"/>
              <w:right w:val="single" w:color="121469" w:themeColor="accent1" w:sz="2" w:space="0"/>
            </w:tcBorders>
            <w:shd w:val="clear" w:color="auto" w:fill="F0F2F4" w:themeFill="accent3" w:themeFillTint="33"/>
          </w:tcPr>
          <w:p w:rsidRPr="002F57BA" w:rsidR="000F7F89" w:rsidP="006F2D09" w:rsidRDefault="000F7F89" w14:paraId="72830B64" w14:textId="3CEE36E6">
            <w:pPr>
              <w:spacing w:line="200" w:lineRule="atLeast"/>
              <w:rPr>
                <w:rFonts w:ascii="Verdana" w:hAnsi="Verdana"/>
                <w:sz w:val="16"/>
                <w:szCs w:val="16"/>
              </w:rPr>
            </w:pPr>
            <w:r w:rsidRPr="002F57BA">
              <w:rPr>
                <w:rFonts w:ascii="Verdana" w:hAnsi="Verdana"/>
                <w:sz w:val="16"/>
                <w:szCs w:val="16"/>
              </w:rPr>
              <w:t>Marktdeelnemers worden niet verplicht hun beleid te monitoren.</w:t>
            </w:r>
          </w:p>
        </w:tc>
      </w:tr>
      <w:tr w:rsidRPr="004E3EEC" w:rsidR="000F7F89" w:rsidTr="005157AC" w14:paraId="01FAF7C3" w14:textId="77777777">
        <w:trPr>
          <w:trHeight w:val="1235"/>
          <w:jc w:val="center"/>
        </w:trPr>
        <w:tc>
          <w:tcPr>
            <w:tcW w:w="2552" w:type="dxa"/>
            <w:tcBorders>
              <w:top w:val="single" w:color="121469" w:themeColor="accent1" w:sz="6" w:space="0"/>
              <w:left w:val="single" w:color="121469" w:themeColor="accent1" w:sz="2" w:space="0"/>
              <w:right w:val="single" w:color="121469" w:themeColor="accent1" w:sz="6" w:space="0"/>
            </w:tcBorders>
            <w:shd w:val="clear" w:color="auto" w:fill="FFFFFF" w:themeFill="background1"/>
          </w:tcPr>
          <w:p w:rsidRPr="002F57BA" w:rsidR="000F7F89" w:rsidP="000F7F89" w:rsidRDefault="000F7F89" w14:paraId="5B037B81" w14:textId="77777777">
            <w:pPr>
              <w:spacing w:line="200" w:lineRule="atLeast"/>
              <w:rPr>
                <w:rFonts w:ascii="Verdana" w:hAnsi="Verdana"/>
                <w:b/>
                <w:bCs/>
                <w:sz w:val="16"/>
                <w:szCs w:val="16"/>
              </w:rPr>
            </w:pPr>
            <w:r w:rsidRPr="002F57BA">
              <w:rPr>
                <w:rFonts w:ascii="Verdana" w:hAnsi="Verdana"/>
                <w:b/>
                <w:bCs/>
                <w:sz w:val="16"/>
                <w:szCs w:val="16"/>
              </w:rPr>
              <w:t xml:space="preserve">Transparantie </w:t>
            </w:r>
          </w:p>
          <w:p w:rsidRPr="002F57BA" w:rsidR="000F7F89" w:rsidP="000F7F89" w:rsidRDefault="000F7F89" w14:paraId="2FA5FC6D" w14:textId="77777777">
            <w:pPr>
              <w:spacing w:line="200" w:lineRule="atLeast"/>
              <w:rPr>
                <w:rFonts w:ascii="Verdana" w:hAnsi="Verdana"/>
                <w:b/>
                <w:bCs/>
                <w:sz w:val="16"/>
                <w:szCs w:val="16"/>
              </w:rPr>
            </w:pPr>
          </w:p>
          <w:p w:rsidRPr="002F57BA" w:rsidR="000F7F89" w:rsidP="000F7F89" w:rsidRDefault="000F7F89" w14:paraId="7CBD07D9" w14:textId="191E6151">
            <w:pPr>
              <w:spacing w:line="200" w:lineRule="atLeast"/>
              <w:rPr>
                <w:rFonts w:ascii="Verdana" w:hAnsi="Verdana"/>
                <w:b/>
                <w:bCs/>
                <w:sz w:val="16"/>
                <w:szCs w:val="16"/>
              </w:rPr>
            </w:pPr>
          </w:p>
        </w:tc>
        <w:tc>
          <w:tcPr>
            <w:tcW w:w="3686" w:type="dxa"/>
            <w:tcBorders>
              <w:top w:val="single" w:color="121469" w:themeColor="accent1" w:sz="6" w:space="0"/>
              <w:left w:val="single" w:color="121469" w:themeColor="accent1" w:sz="6" w:space="0"/>
              <w:right w:val="single" w:color="121469" w:themeColor="accent1" w:sz="6" w:space="0"/>
            </w:tcBorders>
            <w:shd w:val="clear" w:color="auto" w:fill="FFFFFF" w:themeFill="background1"/>
          </w:tcPr>
          <w:p w:rsidRPr="002F57BA" w:rsidR="000F7F89" w:rsidP="000975C4" w:rsidRDefault="000F7F89" w14:paraId="7AE30B9C" w14:textId="046112FD">
            <w:pPr>
              <w:spacing w:line="200" w:lineRule="atLeast"/>
              <w:rPr>
                <w:rFonts w:ascii="Verdana" w:hAnsi="Verdana"/>
                <w:sz w:val="16"/>
                <w:szCs w:val="16"/>
              </w:rPr>
            </w:pPr>
            <w:r w:rsidRPr="002F57BA">
              <w:rPr>
                <w:rFonts w:ascii="Verdana" w:hAnsi="Verdana"/>
                <w:sz w:val="16"/>
                <w:szCs w:val="16"/>
              </w:rPr>
              <w:t>De toezichthouder is verplicht de verklaringen van de ondernemingen te publiceren in een openbaar register op zijn website.</w:t>
            </w:r>
          </w:p>
        </w:tc>
        <w:tc>
          <w:tcPr>
            <w:tcW w:w="3686" w:type="dxa"/>
            <w:tcBorders>
              <w:top w:val="single" w:color="121469" w:themeColor="accent1" w:sz="6" w:space="0"/>
              <w:left w:val="single" w:color="121469" w:themeColor="accent1" w:sz="6" w:space="0"/>
              <w:right w:val="single" w:color="121469" w:themeColor="accent1" w:sz="6" w:space="0"/>
            </w:tcBorders>
            <w:shd w:val="clear" w:color="auto" w:fill="FFFFFF" w:themeFill="background1"/>
          </w:tcPr>
          <w:p w:rsidR="000F7F89" w:rsidP="000F7F89" w:rsidRDefault="00AC4D74" w14:paraId="659073E2" w14:textId="70931A31">
            <w:pPr>
              <w:spacing w:line="200" w:lineRule="atLeast"/>
              <w:rPr>
                <w:rFonts w:ascii="Verdana" w:hAnsi="Verdana"/>
                <w:sz w:val="16"/>
                <w:szCs w:val="16"/>
              </w:rPr>
            </w:pPr>
            <w:r w:rsidRPr="00AC4D74">
              <w:rPr>
                <w:rFonts w:ascii="Verdana" w:hAnsi="Verdana"/>
                <w:sz w:val="16"/>
                <w:szCs w:val="16"/>
              </w:rPr>
              <w:t>Als een onderneming een opgelegde geldboete niet binnen de gestelde termijn betaalt, moeten lidstaten ervoor zorgen dat openbaar wordt gemaakt welke onderneming de overtreding heeft begaan en waaruit die overtreding bestaat</w:t>
            </w:r>
            <w:r>
              <w:rPr>
                <w:rFonts w:ascii="Verdana" w:hAnsi="Verdana"/>
                <w:sz w:val="16"/>
                <w:szCs w:val="16"/>
              </w:rPr>
              <w:t xml:space="preserve">. </w:t>
            </w:r>
          </w:p>
          <w:p w:rsidRPr="002F57BA" w:rsidR="00AC4D74" w:rsidP="000F7F89" w:rsidRDefault="00AC4D74" w14:paraId="5AC7D362" w14:textId="77777777">
            <w:pPr>
              <w:spacing w:line="200" w:lineRule="atLeast"/>
              <w:rPr>
                <w:rFonts w:ascii="Verdana" w:hAnsi="Verdana"/>
                <w:sz w:val="16"/>
                <w:szCs w:val="16"/>
              </w:rPr>
            </w:pPr>
          </w:p>
          <w:p w:rsidRPr="002F57BA" w:rsidR="000F7F89" w:rsidP="000F7F89" w:rsidRDefault="000F7F89" w14:paraId="73416292" w14:textId="3DCC8333">
            <w:pPr>
              <w:spacing w:line="200" w:lineRule="atLeast"/>
              <w:rPr>
                <w:rFonts w:ascii="Verdana" w:hAnsi="Verdana"/>
                <w:sz w:val="16"/>
                <w:szCs w:val="16"/>
              </w:rPr>
            </w:pPr>
            <w:r w:rsidRPr="002F57BA">
              <w:rPr>
                <w:rFonts w:ascii="Verdana" w:hAnsi="Verdana"/>
                <w:sz w:val="16"/>
                <w:szCs w:val="16"/>
              </w:rPr>
              <w:t xml:space="preserve">Besluiten over sancties in verband met inbreuken op de implementatiewet moeten daarnaast </w:t>
            </w:r>
            <w:r w:rsidR="004A091F">
              <w:rPr>
                <w:rFonts w:ascii="Verdana" w:hAnsi="Verdana"/>
                <w:sz w:val="16"/>
                <w:szCs w:val="16"/>
              </w:rPr>
              <w:t xml:space="preserve">openbaar worden gemaakt. </w:t>
            </w:r>
          </w:p>
        </w:tc>
        <w:tc>
          <w:tcPr>
            <w:tcW w:w="3686" w:type="dxa"/>
            <w:tcBorders>
              <w:top w:val="single" w:color="121469" w:themeColor="accent1" w:sz="6" w:space="0"/>
              <w:left w:val="single" w:color="121469" w:themeColor="accent1" w:sz="6" w:space="0"/>
              <w:right w:val="single" w:color="121469" w:themeColor="accent1" w:sz="2" w:space="0"/>
            </w:tcBorders>
            <w:shd w:val="clear" w:color="auto" w:fill="FFFFFF" w:themeFill="background1"/>
          </w:tcPr>
          <w:p w:rsidRPr="002F57BA" w:rsidR="000F7F89" w:rsidP="006F2D09" w:rsidRDefault="000F7F89" w14:paraId="2E6F6178" w14:textId="32FA0A70">
            <w:pPr>
              <w:spacing w:line="200" w:lineRule="atLeast"/>
              <w:rPr>
                <w:rFonts w:ascii="Verdana" w:hAnsi="Verdana"/>
                <w:sz w:val="16"/>
                <w:szCs w:val="16"/>
              </w:rPr>
            </w:pPr>
            <w:r w:rsidRPr="002F57BA">
              <w:rPr>
                <w:rFonts w:ascii="Verdana" w:hAnsi="Verdana"/>
                <w:sz w:val="16"/>
                <w:szCs w:val="16"/>
              </w:rPr>
              <w:t>De toezichthouder is verplicht het besluit tot het uit de handel halen van een product te publiceren.</w:t>
            </w:r>
          </w:p>
        </w:tc>
      </w:tr>
    </w:tbl>
    <w:p w:rsidRPr="00075744" w:rsidR="00075744" w:rsidP="001A2CD7" w:rsidRDefault="00075744" w14:paraId="28816F55" w14:textId="7BF8C6C1">
      <w:pPr>
        <w:tabs>
          <w:tab w:val="clear" w:pos="284"/>
          <w:tab w:val="clear" w:pos="567"/>
          <w:tab w:val="clear" w:pos="851"/>
          <w:tab w:val="clear" w:pos="1134"/>
          <w:tab w:val="clear" w:pos="4111"/>
          <w:tab w:val="clear" w:pos="8222"/>
        </w:tabs>
        <w:spacing w:line="278" w:lineRule="auto"/>
        <w:contextualSpacing w:val="0"/>
      </w:pPr>
    </w:p>
    <w:sectPr w:rsidRPr="00075744" w:rsidR="00075744" w:rsidSect="00291B4A">
      <w:pgSz w:w="16838" w:h="11906" w:orient="landscape" w:code="9"/>
      <w:pgMar w:top="1985" w:right="2325" w:bottom="1701" w:left="1134" w:header="1134" w:footer="567"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4C4BA" w14:textId="77777777" w:rsidR="00D43CC3" w:rsidRDefault="00D43CC3" w:rsidP="007046EB">
      <w:pPr>
        <w:spacing w:after="0" w:line="240" w:lineRule="auto"/>
      </w:pPr>
      <w:r>
        <w:separator/>
      </w:r>
    </w:p>
  </w:endnote>
  <w:endnote w:type="continuationSeparator" w:id="0">
    <w:p w14:paraId="4C3C7614" w14:textId="77777777" w:rsidR="00D43CC3" w:rsidRDefault="00D43CC3" w:rsidP="00704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6C767" w14:textId="77777777" w:rsidR="00771D5E" w:rsidRDefault="00771D5E" w:rsidP="00771D5E">
    <w:pPr>
      <w:pStyle w:val="Voettekst"/>
    </w:pPr>
  </w:p>
  <w:p w14:paraId="711CC2DC" w14:textId="77777777" w:rsidR="00771D5E" w:rsidRDefault="00771D5E" w:rsidP="00771D5E">
    <w:pPr>
      <w:pStyle w:val="Voettekst"/>
    </w:pPr>
  </w:p>
  <w:p w14:paraId="776C6948" w14:textId="77777777" w:rsidR="00771D5E" w:rsidRPr="00771D5E" w:rsidRDefault="00771D5E" w:rsidP="00771D5E">
    <w:pPr>
      <w:pStyle w:val="Voettekst"/>
    </w:pPr>
    <w:r>
      <w:tab/>
    </w:r>
    <w:r>
      <w:tab/>
    </w:r>
    <w:sdt>
      <w:sdtPr>
        <w:tag w:val="lblPagina"/>
        <w:id w:val="885538617"/>
        <w:text/>
      </w:sdtPr>
      <w:sdtEndPr/>
      <w:sdtContent>
        <w:r w:rsidR="00572EBC">
          <w:t>Pagina</w:t>
        </w:r>
      </w:sdtContent>
    </w:sdt>
    <w:r>
      <w:t xml:space="preserve"> </w:t>
    </w:r>
    <w:r>
      <w:fldChar w:fldCharType="begin"/>
    </w:r>
    <w:r>
      <w:instrText xml:space="preserve"> Page </w:instrText>
    </w:r>
    <w:r>
      <w:fldChar w:fldCharType="separate"/>
    </w:r>
    <w:r>
      <w:rPr>
        <w:noProof/>
      </w:rPr>
      <w:t>2</w:t>
    </w:r>
    <w:r>
      <w:fldChar w:fldCharType="end"/>
    </w:r>
    <w:r>
      <w:t xml:space="preserve"> </w:t>
    </w:r>
    <w:sdt>
      <w:sdtPr>
        <w:tag w:val="lblPaginaVan"/>
        <w:id w:val="-973135890"/>
        <w:text/>
      </w:sdtPr>
      <w:sdtEndPr/>
      <w:sdtContent>
        <w:r w:rsidR="00572EBC">
          <w:t>van</w:t>
        </w:r>
      </w:sdtContent>
    </w:sdt>
    <w:r>
      <w:t xml:space="preserve"> </w:t>
    </w:r>
    <w:fldSimple w:instr=" NumPages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AB592" w14:textId="77777777" w:rsidR="00A54B1A" w:rsidRDefault="00A54B1A" w:rsidP="00E341B7">
    <w:pPr>
      <w:pStyle w:val="Voettekst"/>
    </w:pPr>
  </w:p>
  <w:p w14:paraId="775477FB" w14:textId="77777777" w:rsidR="00E341B7" w:rsidRDefault="00E341B7" w:rsidP="00E341B7">
    <w:pPr>
      <w:pStyle w:val="Voettekst"/>
    </w:pPr>
  </w:p>
  <w:p w14:paraId="7E8BBF22" w14:textId="77777777" w:rsidR="00577A05" w:rsidRPr="00135EC6" w:rsidRDefault="00577A05" w:rsidP="00E341B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5BD77" w14:textId="77777777" w:rsidR="00D43CC3" w:rsidRDefault="00D43CC3" w:rsidP="007046EB">
      <w:pPr>
        <w:spacing w:after="0" w:line="240" w:lineRule="auto"/>
      </w:pPr>
      <w:r>
        <w:separator/>
      </w:r>
    </w:p>
  </w:footnote>
  <w:footnote w:type="continuationSeparator" w:id="0">
    <w:p w14:paraId="358ED021" w14:textId="77777777" w:rsidR="00D43CC3" w:rsidRDefault="00D43CC3" w:rsidP="007046EB">
      <w:pPr>
        <w:spacing w:after="0" w:line="240" w:lineRule="auto"/>
      </w:pPr>
      <w:r>
        <w:continuationSeparator/>
      </w:r>
    </w:p>
  </w:footnote>
  <w:footnote w:id="1">
    <w:p w14:paraId="023F05ED" w14:textId="0BDB5D15" w:rsidR="00F76C14" w:rsidRDefault="00F76C14">
      <w:pPr>
        <w:pStyle w:val="Voetnoottekst"/>
      </w:pPr>
      <w:r>
        <w:rPr>
          <w:rStyle w:val="Voetnootmarkering"/>
        </w:rPr>
        <w:footnoteRef/>
      </w:r>
      <w:r>
        <w:t xml:space="preserve"> Zie voor meer informatie </w:t>
      </w:r>
      <w:r w:rsidRPr="00D141A7">
        <w:t>ook</w:t>
      </w:r>
      <w:r w:rsidR="00E81BBF">
        <w:t>:</w:t>
      </w:r>
      <w:r w:rsidRPr="00D141A7">
        <w:t xml:space="preserve"> </w:t>
      </w:r>
      <w:hyperlink r:id="rId1" w:history="1">
        <w:r w:rsidRPr="00E81BBF">
          <w:rPr>
            <w:rStyle w:val="Hyperlink"/>
          </w:rPr>
          <w:t>het tussentijds</w:t>
        </w:r>
        <w:r w:rsidR="00E81BBF" w:rsidRPr="00E81BBF">
          <w:rPr>
            <w:rStyle w:val="Hyperlink"/>
          </w:rPr>
          <w:t xml:space="preserve"> </w:t>
        </w:r>
        <w:r w:rsidRPr="00E81BBF">
          <w:rPr>
            <w:rStyle w:val="Hyperlink"/>
          </w:rPr>
          <w:t xml:space="preserve">verslag van de rapporteurs CSDDD van </w:t>
        </w:r>
        <w:r w:rsidR="008143B5" w:rsidRPr="00E81BBF">
          <w:rPr>
            <w:rStyle w:val="Hyperlink"/>
          </w:rPr>
          <w:t>16 september 2026</w:t>
        </w:r>
      </w:hyperlink>
      <w:r w:rsidR="008143B5">
        <w:t xml:space="preserve">. </w:t>
      </w:r>
      <w:r>
        <w:t xml:space="preserve"> </w:t>
      </w:r>
    </w:p>
  </w:footnote>
  <w:footnote w:id="2">
    <w:p w14:paraId="7B5CB40B" w14:textId="77777777" w:rsidR="00EF3BC3" w:rsidRDefault="00EF3BC3" w:rsidP="00EF3BC3">
      <w:pPr>
        <w:pStyle w:val="Voetnoottekst"/>
      </w:pPr>
      <w:r>
        <w:rPr>
          <w:rStyle w:val="Voetnootmarkering"/>
        </w:rPr>
        <w:footnoteRef/>
      </w:r>
      <w:r>
        <w:t xml:space="preserve"> Zie voor meer informatie ook het </w:t>
      </w:r>
      <w:hyperlink r:id="rId2" w:history="1">
        <w:r>
          <w:rPr>
            <w:rStyle w:val="Hyperlink"/>
          </w:rPr>
          <w:t>v</w:t>
        </w:r>
        <w:r w:rsidRPr="009903BC">
          <w:rPr>
            <w:rStyle w:val="Hyperlink"/>
          </w:rPr>
          <w:t>erslag van een werkbezoek aan Brussel in het kader van het EU-</w:t>
        </w:r>
        <w:proofErr w:type="spellStart"/>
        <w:r w:rsidRPr="009903BC">
          <w:rPr>
            <w:rStyle w:val="Hyperlink"/>
          </w:rPr>
          <w:t>rapporteurschap</w:t>
        </w:r>
        <w:proofErr w:type="spellEnd"/>
        <w:r w:rsidRPr="009903BC">
          <w:rPr>
            <w:rStyle w:val="Hyperlink"/>
          </w:rPr>
          <w:t xml:space="preserve"> CSDDD op 30 januari 2026</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EF381" w14:textId="2027361B" w:rsidR="00B739F8" w:rsidRPr="00CA5024" w:rsidRDefault="007046EB" w:rsidP="00B739F8">
    <w:pPr>
      <w:pStyle w:val="Koptekst"/>
      <w:spacing w:before="40" w:line="280" w:lineRule="atLeast"/>
    </w:pPr>
    <w:r w:rsidRPr="00CA5024">
      <w:rPr>
        <w:noProof/>
      </w:rPr>
      <w:drawing>
        <wp:anchor distT="0" distB="0" distL="114300" distR="114300" simplePos="0" relativeHeight="251658752" behindDoc="0" locked="1" layoutInCell="1" allowOverlap="1" wp14:anchorId="00FBA9F3" wp14:editId="27DC3C1A">
          <wp:simplePos x="0" y="0"/>
          <wp:positionH relativeFrom="page">
            <wp:posOffset>0</wp:posOffset>
          </wp:positionH>
          <wp:positionV relativeFrom="page">
            <wp:posOffset>0</wp:posOffset>
          </wp:positionV>
          <wp:extent cx="1177200" cy="1342800"/>
          <wp:effectExtent l="0" t="0" r="4445" b="0"/>
          <wp:wrapNone/>
          <wp:docPr id="1562924342" name="Afbeelding 1562924342" descr="Logo Tweede Kamer der Staten-Genera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fbeelding 26" descr="Logo Tweede Kamer der Staten-Generaal"/>
                  <pic:cNvPicPr>
                    <a:picLocks noChangeAspect="1" noChangeArrowheads="1"/>
                  </pic:cNvPicPr>
                </pic:nvPicPr>
                <pic:blipFill rotWithShape="1">
                  <a:blip r:embed="rId1" r:link="rId2" cstate="print">
                    <a:extLst>
                      <a:ext uri="{28A0092B-C50C-407E-A947-70E740481C1C}">
                        <a14:useLocalDpi xmlns:a14="http://schemas.microsoft.com/office/drawing/2010/main" val="0"/>
                      </a:ext>
                    </a:extLst>
                  </a:blip>
                  <a:srcRect/>
                  <a:stretch/>
                </pic:blipFill>
                <pic:spPr bwMode="auto">
                  <a:xfrm>
                    <a:off x="0" y="0"/>
                    <a:ext cx="1177200" cy="1342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739F8">
      <w:tab/>
    </w:r>
    <w:r w:rsidR="00B739F8" w:rsidRPr="00CA5024">
      <w:tab/>
    </w:r>
    <w:sdt>
      <w:sdtPr>
        <w:tag w:val="dtmDatum"/>
        <w:id w:val="792028287"/>
        <w:lock w:val="sdtContentLocked"/>
        <w:showingPlcHdr/>
        <w:dataBinding w:prefixMappings="xmlns:ns0='urn:tweedekamer.nl:da:wd:templates:2025:85c5' " w:xpath="/data[1]/datum[1]" w:storeItemID="{5B489D38-C4AB-47B8-8F75-5BDEF252216E}"/>
        <w:date w:fullDate="2026-09-17T00:00:00Z">
          <w:dateFormat w:val="d MMMM yyyy"/>
          <w:lid w:val="nl-NL"/>
          <w:storeMappedDataAs w:val="dateTime"/>
          <w:calendar w:val="gregorian"/>
        </w:date>
      </w:sdtPr>
      <w:sdtEndPr/>
      <w:sdtContent>
        <w:r w:rsidR="00291B4A">
          <w:t xml:space="preserve">     </w:t>
        </w:r>
      </w:sdtContent>
    </w:sdt>
  </w:p>
  <w:p w14:paraId="529079AC" w14:textId="04B6A9D1" w:rsidR="007046EB" w:rsidRDefault="00B739F8">
    <w:pPr>
      <w:pStyle w:val="Koptekst"/>
    </w:pPr>
    <w:r>
      <w:tab/>
    </w:r>
    <w:r w:rsidRPr="00CA5024">
      <w:tab/>
    </w:r>
    <w:sdt>
      <w:sdtPr>
        <w:tag w:val="txtOnderwerp"/>
        <w:id w:val="-37744090"/>
        <w:lock w:val="sdtContentLocked"/>
        <w:dataBinding w:prefixMappings="xmlns:ns0='urn:tweedekamer.nl:da:wd:templates:2025:85c5' " w:xpath="/data[1]/onderwerp[1]" w:storeItemID="{5B489D38-C4AB-47B8-8F75-5BDEF252216E}"/>
        <w:text/>
      </w:sdtPr>
      <w:sdtEndPr/>
      <w:sdtContent>
        <w:r w:rsidR="001A79FB">
          <w:t>Juridische analyse Wet zorgplicht kinderarbeid, CSDDD (Omnibus I) en Anti-dwangarbeidverordening</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9D8D9" w14:textId="77777777" w:rsidR="00B739F8" w:rsidRDefault="00B739F8" w:rsidP="00B739F8">
    <w:pPr>
      <w:pStyle w:val="KoptekstEerstepagina"/>
    </w:pPr>
  </w:p>
  <w:p w14:paraId="5DF0C80F" w14:textId="77777777" w:rsidR="00B739F8" w:rsidRDefault="00B739F8" w:rsidP="00B739F8">
    <w:pPr>
      <w:pStyle w:val="KoptekstEerstepagina"/>
    </w:pPr>
  </w:p>
  <w:p w14:paraId="7937CF5F" w14:textId="39150176" w:rsidR="007046EB" w:rsidRDefault="007046EB" w:rsidP="00B739F8">
    <w:pPr>
      <w:pStyle w:val="KoptekstEerstepagina"/>
    </w:pPr>
    <w:r>
      <w:rPr>
        <w:noProof/>
      </w:rPr>
      <w:drawing>
        <wp:anchor distT="0" distB="0" distL="114300" distR="114300" simplePos="0" relativeHeight="251658240" behindDoc="0" locked="1" layoutInCell="1" allowOverlap="1" wp14:anchorId="3948BCAB" wp14:editId="04146314">
          <wp:simplePos x="0" y="0"/>
          <wp:positionH relativeFrom="page">
            <wp:posOffset>0</wp:posOffset>
          </wp:positionH>
          <wp:positionV relativeFrom="page">
            <wp:posOffset>0</wp:posOffset>
          </wp:positionV>
          <wp:extent cx="3715200" cy="1342800"/>
          <wp:effectExtent l="0" t="0" r="0" b="0"/>
          <wp:wrapNone/>
          <wp:docPr id="1061102327" name="Afbeelding 1061102327" descr="Logo Tweede Kamer der Staten-Genera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fbeelding 26" descr="Logo Tweede Kamer der Staten-Generaal"/>
                  <pic:cNvPicPr>
                    <a:picLocks noChangeAspect="1" noChangeArrowheads="1"/>
                  </pic:cNvPicPr>
                </pic:nvPicPr>
                <pic:blipFill rotWithShape="1">
                  <a:blip r:embed="rId1" r:link="rId2" cstate="print">
                    <a:extLst>
                      <a:ext uri="{28A0092B-C50C-407E-A947-70E740481C1C}">
                        <a14:useLocalDpi xmlns:a14="http://schemas.microsoft.com/office/drawing/2010/main" val="0"/>
                      </a:ext>
                    </a:extLst>
                  </a:blip>
                  <a:srcRect/>
                  <a:stretch/>
                </pic:blipFill>
                <pic:spPr bwMode="auto">
                  <a:xfrm>
                    <a:off x="0" y="0"/>
                    <a:ext cx="3715200" cy="1342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739F8">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99CB748"/>
    <w:lvl w:ilvl="0">
      <w:start w:val="1"/>
      <w:numFmt w:val="decimal"/>
      <w:pStyle w:val="Lijstnummering"/>
      <w:lvlText w:val="%1."/>
      <w:lvlJc w:val="left"/>
      <w:pPr>
        <w:tabs>
          <w:tab w:val="num" w:pos="360"/>
        </w:tabs>
        <w:ind w:left="360" w:hanging="360"/>
      </w:pPr>
    </w:lvl>
  </w:abstractNum>
  <w:abstractNum w:abstractNumId="1" w15:restartNumberingAfterBreak="0">
    <w:nsid w:val="037A1537"/>
    <w:multiLevelType w:val="multilevel"/>
    <w:tmpl w:val="2B826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D85C91"/>
    <w:multiLevelType w:val="multilevel"/>
    <w:tmpl w:val="EF367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E305F9"/>
    <w:multiLevelType w:val="hybridMultilevel"/>
    <w:tmpl w:val="6AB2A210"/>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16741F7"/>
    <w:multiLevelType w:val="multilevel"/>
    <w:tmpl w:val="D5302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D1123E"/>
    <w:multiLevelType w:val="multilevel"/>
    <w:tmpl w:val="0B1A1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E03394"/>
    <w:multiLevelType w:val="multilevel"/>
    <w:tmpl w:val="E74E2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8138B4"/>
    <w:multiLevelType w:val="multilevel"/>
    <w:tmpl w:val="FB5A4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9F1F7D"/>
    <w:multiLevelType w:val="hybridMultilevel"/>
    <w:tmpl w:val="7E2CE046"/>
    <w:lvl w:ilvl="0" w:tplc="04130015">
      <w:start w:val="1"/>
      <w:numFmt w:val="upp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9" w15:restartNumberingAfterBreak="0">
    <w:nsid w:val="1E474E13"/>
    <w:multiLevelType w:val="multilevel"/>
    <w:tmpl w:val="EB747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B27894"/>
    <w:multiLevelType w:val="multilevel"/>
    <w:tmpl w:val="55900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014866"/>
    <w:multiLevelType w:val="multilevel"/>
    <w:tmpl w:val="B1B291F6"/>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2" w15:restartNumberingAfterBreak="0">
    <w:nsid w:val="308A57B2"/>
    <w:multiLevelType w:val="multilevel"/>
    <w:tmpl w:val="CDA274DC"/>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13" w15:restartNumberingAfterBreak="0">
    <w:nsid w:val="3B22479F"/>
    <w:multiLevelType w:val="multilevel"/>
    <w:tmpl w:val="E88A8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18657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2ED3DEC"/>
    <w:multiLevelType w:val="hybridMultilevel"/>
    <w:tmpl w:val="2A9C30EE"/>
    <w:lvl w:ilvl="0" w:tplc="04130015">
      <w:start w:val="1"/>
      <w:numFmt w:val="upperLetter"/>
      <w:lvlText w:val="%1."/>
      <w:lvlJc w:val="left"/>
      <w:pPr>
        <w:ind w:left="720" w:hanging="360"/>
      </w:pPr>
    </w:lvl>
    <w:lvl w:ilvl="1" w:tplc="96E0941A">
      <w:start w:val="1"/>
      <w:numFmt w:val="decimal"/>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4FC4496"/>
    <w:multiLevelType w:val="hybridMultilevel"/>
    <w:tmpl w:val="F81CEB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5800B10"/>
    <w:multiLevelType w:val="multilevel"/>
    <w:tmpl w:val="1EB69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B5622C"/>
    <w:multiLevelType w:val="hybridMultilevel"/>
    <w:tmpl w:val="E0745546"/>
    <w:lvl w:ilvl="0" w:tplc="22847166">
      <w:start w:val="1"/>
      <w:numFmt w:val="bullet"/>
      <w:lvlText w:val=""/>
      <w:lvlJc w:val="left"/>
      <w:pPr>
        <w:ind w:left="720" w:hanging="360"/>
      </w:pPr>
      <w:rPr>
        <w:rFonts w:ascii="Symbol" w:eastAsia="Aptos"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32A4111"/>
    <w:multiLevelType w:val="hybridMultilevel"/>
    <w:tmpl w:val="ECE82F16"/>
    <w:lvl w:ilvl="0" w:tplc="0413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46618FE"/>
    <w:multiLevelType w:val="hybridMultilevel"/>
    <w:tmpl w:val="B636DDEC"/>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E4B3801"/>
    <w:multiLevelType w:val="hybridMultilevel"/>
    <w:tmpl w:val="CCE2799C"/>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FBC6803"/>
    <w:multiLevelType w:val="multilevel"/>
    <w:tmpl w:val="EC169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2B6BC1"/>
    <w:multiLevelType w:val="multilevel"/>
    <w:tmpl w:val="12F6B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A016D0"/>
    <w:multiLevelType w:val="multilevel"/>
    <w:tmpl w:val="74EAC6D8"/>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none"/>
      <w:pStyle w:val="Kop4"/>
      <w:lvlText w:val=""/>
      <w:lvlJc w:val="left"/>
      <w:pPr>
        <w:ind w:left="0" w:firstLine="0"/>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5" w15:restartNumberingAfterBreak="0">
    <w:nsid w:val="6B6D0CE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B893363"/>
    <w:multiLevelType w:val="hybridMultilevel"/>
    <w:tmpl w:val="60DA27F8"/>
    <w:lvl w:ilvl="0" w:tplc="041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C1B0992"/>
    <w:multiLevelType w:val="hybridMultilevel"/>
    <w:tmpl w:val="10B2BE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3485588"/>
    <w:multiLevelType w:val="multilevel"/>
    <w:tmpl w:val="A5648E96"/>
    <w:lvl w:ilvl="0">
      <w:start w:val="1"/>
      <w:numFmt w:val="decimal"/>
      <w:lvlText w:val="%1."/>
      <w:lvlJc w:val="left"/>
      <w:pPr>
        <w:ind w:left="340" w:hanging="340"/>
      </w:pPr>
      <w:rPr>
        <w:rFonts w:asciiTheme="minorHAnsi" w:hAnsiTheme="minorHAnsi" w:hint="default"/>
      </w:rPr>
    </w:lvl>
    <w:lvl w:ilvl="1">
      <w:start w:val="1"/>
      <w:numFmt w:val="lowerLetter"/>
      <w:lvlText w:val="%2."/>
      <w:lvlJc w:val="left"/>
      <w:pPr>
        <w:ind w:left="680" w:hanging="340"/>
      </w:pPr>
      <w:rPr>
        <w:rFonts w:asciiTheme="minorHAnsi" w:hAnsiTheme="minorHAnsi" w:hint="default"/>
      </w:rPr>
    </w:lvl>
    <w:lvl w:ilvl="2">
      <w:start w:val="1"/>
      <w:numFmt w:val="lowerRoman"/>
      <w:lvlText w:val="%3."/>
      <w:lvlJc w:val="left"/>
      <w:pPr>
        <w:ind w:left="1020" w:hanging="340"/>
      </w:pPr>
      <w:rPr>
        <w:rFonts w:asciiTheme="minorHAnsi" w:hAnsiTheme="minorHAnsi" w:hint="default"/>
      </w:rPr>
    </w:lvl>
    <w:lvl w:ilvl="3">
      <w:start w:val="1"/>
      <w:numFmt w:val="lowerRoman"/>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lowerRoman"/>
      <w:lvlText w:val="%6."/>
      <w:lvlJc w:val="left"/>
      <w:pPr>
        <w:ind w:left="2040" w:hanging="340"/>
      </w:pPr>
      <w:rPr>
        <w:rFonts w:asciiTheme="minorHAnsi" w:hAnsiTheme="minorHAnsi" w:hint="default"/>
      </w:rPr>
    </w:lvl>
    <w:lvl w:ilvl="6">
      <w:start w:val="1"/>
      <w:numFmt w:val="lowerRoman"/>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lowerRoman"/>
      <w:lvlText w:val="%9."/>
      <w:lvlJc w:val="left"/>
      <w:pPr>
        <w:ind w:left="3060" w:hanging="340"/>
      </w:pPr>
      <w:rPr>
        <w:rFonts w:asciiTheme="minorHAnsi" w:hAnsiTheme="minorHAnsi" w:hint="default"/>
      </w:rPr>
    </w:lvl>
  </w:abstractNum>
  <w:abstractNum w:abstractNumId="29" w15:restartNumberingAfterBreak="0">
    <w:nsid w:val="775D0801"/>
    <w:multiLevelType w:val="multilevel"/>
    <w:tmpl w:val="751652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0" w15:restartNumberingAfterBreak="0">
    <w:nsid w:val="7CA81F0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7DC66668"/>
    <w:multiLevelType w:val="hybridMultilevel"/>
    <w:tmpl w:val="CECACDD0"/>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17339369">
    <w:abstractNumId w:val="24"/>
  </w:num>
  <w:num w:numId="2" w16cid:durableId="698505785">
    <w:abstractNumId w:val="11"/>
  </w:num>
  <w:num w:numId="3" w16cid:durableId="1042825869">
    <w:abstractNumId w:val="25"/>
  </w:num>
  <w:num w:numId="4" w16cid:durableId="2014725336">
    <w:abstractNumId w:val="30"/>
  </w:num>
  <w:num w:numId="5" w16cid:durableId="268506779">
    <w:abstractNumId w:val="14"/>
  </w:num>
  <w:num w:numId="6" w16cid:durableId="1517110265">
    <w:abstractNumId w:val="28"/>
  </w:num>
  <w:num w:numId="7" w16cid:durableId="1102917549">
    <w:abstractNumId w:val="12"/>
  </w:num>
  <w:num w:numId="8" w16cid:durableId="1255505779">
    <w:abstractNumId w:val="29"/>
  </w:num>
  <w:num w:numId="9" w16cid:durableId="178158523">
    <w:abstractNumId w:val="27"/>
  </w:num>
  <w:num w:numId="10" w16cid:durableId="1697659201">
    <w:abstractNumId w:val="0"/>
  </w:num>
  <w:num w:numId="11" w16cid:durableId="834806144">
    <w:abstractNumId w:val="0"/>
  </w:num>
  <w:num w:numId="12" w16cid:durableId="100997544">
    <w:abstractNumId w:val="0"/>
  </w:num>
  <w:num w:numId="13" w16cid:durableId="987824242">
    <w:abstractNumId w:val="12"/>
  </w:num>
  <w:num w:numId="14" w16cid:durableId="762990316">
    <w:abstractNumId w:val="12"/>
  </w:num>
  <w:num w:numId="15" w16cid:durableId="190920409">
    <w:abstractNumId w:val="24"/>
  </w:num>
  <w:num w:numId="16" w16cid:durableId="1509364302">
    <w:abstractNumId w:val="24"/>
  </w:num>
  <w:num w:numId="17" w16cid:durableId="2005626516">
    <w:abstractNumId w:val="0"/>
  </w:num>
  <w:num w:numId="18" w16cid:durableId="1304114961">
    <w:abstractNumId w:val="12"/>
  </w:num>
  <w:num w:numId="19" w16cid:durableId="987175430">
    <w:abstractNumId w:val="7"/>
  </w:num>
  <w:num w:numId="20" w16cid:durableId="539629086">
    <w:abstractNumId w:val="22"/>
  </w:num>
  <w:num w:numId="21" w16cid:durableId="1885750876">
    <w:abstractNumId w:val="4"/>
  </w:num>
  <w:num w:numId="22" w16cid:durableId="996497944">
    <w:abstractNumId w:val="10"/>
  </w:num>
  <w:num w:numId="23" w16cid:durableId="456680601">
    <w:abstractNumId w:val="5"/>
  </w:num>
  <w:num w:numId="24" w16cid:durableId="198322274">
    <w:abstractNumId w:val="6"/>
  </w:num>
  <w:num w:numId="25" w16cid:durableId="1297032931">
    <w:abstractNumId w:val="9"/>
  </w:num>
  <w:num w:numId="26" w16cid:durableId="2122259906">
    <w:abstractNumId w:val="23"/>
  </w:num>
  <w:num w:numId="27" w16cid:durableId="542791621">
    <w:abstractNumId w:val="13"/>
  </w:num>
  <w:num w:numId="28" w16cid:durableId="32655388">
    <w:abstractNumId w:val="17"/>
  </w:num>
  <w:num w:numId="29" w16cid:durableId="1567764353">
    <w:abstractNumId w:val="1"/>
  </w:num>
  <w:num w:numId="30" w16cid:durableId="535629517">
    <w:abstractNumId w:val="2"/>
  </w:num>
  <w:num w:numId="31" w16cid:durableId="164368442">
    <w:abstractNumId w:val="26"/>
  </w:num>
  <w:num w:numId="32" w16cid:durableId="721517811">
    <w:abstractNumId w:val="3"/>
  </w:num>
  <w:num w:numId="33" w16cid:durableId="1793665770">
    <w:abstractNumId w:val="18"/>
  </w:num>
  <w:num w:numId="34" w16cid:durableId="954798279">
    <w:abstractNumId w:val="16"/>
  </w:num>
  <w:num w:numId="35" w16cid:durableId="243035232">
    <w:abstractNumId w:val="21"/>
  </w:num>
  <w:num w:numId="36" w16cid:durableId="1601797217">
    <w:abstractNumId w:val="19"/>
  </w:num>
  <w:num w:numId="37" w16cid:durableId="619461515">
    <w:abstractNumId w:val="31"/>
  </w:num>
  <w:num w:numId="38" w16cid:durableId="1118336233">
    <w:abstractNumId w:val="20"/>
  </w:num>
  <w:num w:numId="39" w16cid:durableId="1774737841">
    <w:abstractNumId w:val="8"/>
  </w:num>
  <w:num w:numId="40" w16cid:durableId="8487166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9FB"/>
    <w:rsid w:val="00000DE5"/>
    <w:rsid w:val="0000286B"/>
    <w:rsid w:val="00003A43"/>
    <w:rsid w:val="000047FA"/>
    <w:rsid w:val="00006ACE"/>
    <w:rsid w:val="000070D7"/>
    <w:rsid w:val="00010061"/>
    <w:rsid w:val="00012F88"/>
    <w:rsid w:val="000134D0"/>
    <w:rsid w:val="0001793A"/>
    <w:rsid w:val="000211BE"/>
    <w:rsid w:val="000215DB"/>
    <w:rsid w:val="000225DD"/>
    <w:rsid w:val="000250E8"/>
    <w:rsid w:val="0002606A"/>
    <w:rsid w:val="000308A0"/>
    <w:rsid w:val="000368F6"/>
    <w:rsid w:val="00037CCC"/>
    <w:rsid w:val="00043026"/>
    <w:rsid w:val="0004373F"/>
    <w:rsid w:val="000440D6"/>
    <w:rsid w:val="00044F26"/>
    <w:rsid w:val="00046974"/>
    <w:rsid w:val="00047FC3"/>
    <w:rsid w:val="00052207"/>
    <w:rsid w:val="0006026D"/>
    <w:rsid w:val="00061DFA"/>
    <w:rsid w:val="000674C6"/>
    <w:rsid w:val="000678E6"/>
    <w:rsid w:val="0007340E"/>
    <w:rsid w:val="00073DBD"/>
    <w:rsid w:val="00074422"/>
    <w:rsid w:val="00074510"/>
    <w:rsid w:val="00074EE7"/>
    <w:rsid w:val="00075082"/>
    <w:rsid w:val="00075744"/>
    <w:rsid w:val="000778D2"/>
    <w:rsid w:val="000852CA"/>
    <w:rsid w:val="000870A2"/>
    <w:rsid w:val="0009449D"/>
    <w:rsid w:val="000975C4"/>
    <w:rsid w:val="000A038B"/>
    <w:rsid w:val="000A175C"/>
    <w:rsid w:val="000A44E9"/>
    <w:rsid w:val="000B15E6"/>
    <w:rsid w:val="000B2FB7"/>
    <w:rsid w:val="000B2FC7"/>
    <w:rsid w:val="000B4A82"/>
    <w:rsid w:val="000B5873"/>
    <w:rsid w:val="000D0327"/>
    <w:rsid w:val="000D39E0"/>
    <w:rsid w:val="000D4FDC"/>
    <w:rsid w:val="000D58FE"/>
    <w:rsid w:val="000E53FD"/>
    <w:rsid w:val="000E747D"/>
    <w:rsid w:val="000F39D5"/>
    <w:rsid w:val="000F506D"/>
    <w:rsid w:val="000F57BF"/>
    <w:rsid w:val="000F6D25"/>
    <w:rsid w:val="000F7F89"/>
    <w:rsid w:val="00100304"/>
    <w:rsid w:val="00103D08"/>
    <w:rsid w:val="001044F5"/>
    <w:rsid w:val="0010724C"/>
    <w:rsid w:val="00110B76"/>
    <w:rsid w:val="00115334"/>
    <w:rsid w:val="00115B19"/>
    <w:rsid w:val="00116397"/>
    <w:rsid w:val="0012179C"/>
    <w:rsid w:val="00130C33"/>
    <w:rsid w:val="001314D7"/>
    <w:rsid w:val="001338FF"/>
    <w:rsid w:val="001349EB"/>
    <w:rsid w:val="001371D4"/>
    <w:rsid w:val="00144120"/>
    <w:rsid w:val="00146251"/>
    <w:rsid w:val="00152E78"/>
    <w:rsid w:val="00153837"/>
    <w:rsid w:val="00166E01"/>
    <w:rsid w:val="0016702F"/>
    <w:rsid w:val="001853A9"/>
    <w:rsid w:val="0019128B"/>
    <w:rsid w:val="00192FAA"/>
    <w:rsid w:val="00194981"/>
    <w:rsid w:val="00194D64"/>
    <w:rsid w:val="00195E49"/>
    <w:rsid w:val="001A184E"/>
    <w:rsid w:val="001A18D0"/>
    <w:rsid w:val="001A2CD7"/>
    <w:rsid w:val="001A3979"/>
    <w:rsid w:val="001A600B"/>
    <w:rsid w:val="001A79FB"/>
    <w:rsid w:val="001B7B55"/>
    <w:rsid w:val="001C2EAD"/>
    <w:rsid w:val="001C3C28"/>
    <w:rsid w:val="001C7F44"/>
    <w:rsid w:val="001D0F88"/>
    <w:rsid w:val="001E3CF0"/>
    <w:rsid w:val="001F505D"/>
    <w:rsid w:val="001F6537"/>
    <w:rsid w:val="00200165"/>
    <w:rsid w:val="002008AF"/>
    <w:rsid w:val="0020153B"/>
    <w:rsid w:val="002055EE"/>
    <w:rsid w:val="00207ED4"/>
    <w:rsid w:val="00213359"/>
    <w:rsid w:val="0021528A"/>
    <w:rsid w:val="00217243"/>
    <w:rsid w:val="00224A1E"/>
    <w:rsid w:val="0024252C"/>
    <w:rsid w:val="002453E1"/>
    <w:rsid w:val="00257C2C"/>
    <w:rsid w:val="002631EF"/>
    <w:rsid w:val="002636AD"/>
    <w:rsid w:val="00267A04"/>
    <w:rsid w:val="0027012C"/>
    <w:rsid w:val="00271C16"/>
    <w:rsid w:val="00282125"/>
    <w:rsid w:val="002902B6"/>
    <w:rsid w:val="0029054D"/>
    <w:rsid w:val="002906E2"/>
    <w:rsid w:val="00291B4A"/>
    <w:rsid w:val="002925FD"/>
    <w:rsid w:val="002A6346"/>
    <w:rsid w:val="002B1727"/>
    <w:rsid w:val="002B1FF3"/>
    <w:rsid w:val="002B276A"/>
    <w:rsid w:val="002B2973"/>
    <w:rsid w:val="002C3670"/>
    <w:rsid w:val="002C48C2"/>
    <w:rsid w:val="002D5157"/>
    <w:rsid w:val="002E0DEA"/>
    <w:rsid w:val="002E19AF"/>
    <w:rsid w:val="002E2A65"/>
    <w:rsid w:val="002E3379"/>
    <w:rsid w:val="002E3C59"/>
    <w:rsid w:val="002F0DC2"/>
    <w:rsid w:val="002F536E"/>
    <w:rsid w:val="002F7033"/>
    <w:rsid w:val="002F72BA"/>
    <w:rsid w:val="00300653"/>
    <w:rsid w:val="00302017"/>
    <w:rsid w:val="00302A70"/>
    <w:rsid w:val="00306674"/>
    <w:rsid w:val="003105DB"/>
    <w:rsid w:val="00311AAA"/>
    <w:rsid w:val="00316021"/>
    <w:rsid w:val="00317DBC"/>
    <w:rsid w:val="00320ECF"/>
    <w:rsid w:val="003232F6"/>
    <w:rsid w:val="003322FA"/>
    <w:rsid w:val="0034047F"/>
    <w:rsid w:val="003425E1"/>
    <w:rsid w:val="003467B9"/>
    <w:rsid w:val="003519A2"/>
    <w:rsid w:val="003546A2"/>
    <w:rsid w:val="0035765E"/>
    <w:rsid w:val="00360D0E"/>
    <w:rsid w:val="00363916"/>
    <w:rsid w:val="00370F19"/>
    <w:rsid w:val="00372025"/>
    <w:rsid w:val="0037223C"/>
    <w:rsid w:val="00374E38"/>
    <w:rsid w:val="00376D22"/>
    <w:rsid w:val="0038247D"/>
    <w:rsid w:val="00384E73"/>
    <w:rsid w:val="0038625C"/>
    <w:rsid w:val="0038764A"/>
    <w:rsid w:val="00387E12"/>
    <w:rsid w:val="00393507"/>
    <w:rsid w:val="003A4B70"/>
    <w:rsid w:val="003B7F9F"/>
    <w:rsid w:val="003C6AB3"/>
    <w:rsid w:val="003D74E7"/>
    <w:rsid w:val="003E02EA"/>
    <w:rsid w:val="003E2C5C"/>
    <w:rsid w:val="003E65F1"/>
    <w:rsid w:val="003E6F24"/>
    <w:rsid w:val="003E744A"/>
    <w:rsid w:val="003F1DCE"/>
    <w:rsid w:val="003F352A"/>
    <w:rsid w:val="004024D3"/>
    <w:rsid w:val="00402F5D"/>
    <w:rsid w:val="00406267"/>
    <w:rsid w:val="00413895"/>
    <w:rsid w:val="00414784"/>
    <w:rsid w:val="00414B83"/>
    <w:rsid w:val="00417B31"/>
    <w:rsid w:val="00421BD6"/>
    <w:rsid w:val="00422CD4"/>
    <w:rsid w:val="00423D59"/>
    <w:rsid w:val="0043166A"/>
    <w:rsid w:val="00435E27"/>
    <w:rsid w:val="0043686B"/>
    <w:rsid w:val="004409C3"/>
    <w:rsid w:val="004411B4"/>
    <w:rsid w:val="004416E9"/>
    <w:rsid w:val="00444354"/>
    <w:rsid w:val="004456A8"/>
    <w:rsid w:val="00452D91"/>
    <w:rsid w:val="004576E6"/>
    <w:rsid w:val="00462813"/>
    <w:rsid w:val="0046492E"/>
    <w:rsid w:val="00467071"/>
    <w:rsid w:val="00467FCD"/>
    <w:rsid w:val="00470273"/>
    <w:rsid w:val="00471A46"/>
    <w:rsid w:val="00471CAE"/>
    <w:rsid w:val="00473147"/>
    <w:rsid w:val="00473B56"/>
    <w:rsid w:val="0047561E"/>
    <w:rsid w:val="00483FFB"/>
    <w:rsid w:val="00491C98"/>
    <w:rsid w:val="00492031"/>
    <w:rsid w:val="00495184"/>
    <w:rsid w:val="00496D7A"/>
    <w:rsid w:val="00497AFD"/>
    <w:rsid w:val="004A0341"/>
    <w:rsid w:val="004A091F"/>
    <w:rsid w:val="004A0BA3"/>
    <w:rsid w:val="004A15C5"/>
    <w:rsid w:val="004A4B10"/>
    <w:rsid w:val="004A59EB"/>
    <w:rsid w:val="004B024D"/>
    <w:rsid w:val="004B1106"/>
    <w:rsid w:val="004B13CC"/>
    <w:rsid w:val="004B373A"/>
    <w:rsid w:val="004B3961"/>
    <w:rsid w:val="004B49D1"/>
    <w:rsid w:val="004C1C43"/>
    <w:rsid w:val="004C44D4"/>
    <w:rsid w:val="004C7085"/>
    <w:rsid w:val="004C7750"/>
    <w:rsid w:val="004D0B93"/>
    <w:rsid w:val="004D3868"/>
    <w:rsid w:val="004D5487"/>
    <w:rsid w:val="004F0068"/>
    <w:rsid w:val="004F0CCF"/>
    <w:rsid w:val="004F1BE7"/>
    <w:rsid w:val="004F44EE"/>
    <w:rsid w:val="004F6DFF"/>
    <w:rsid w:val="004F71C0"/>
    <w:rsid w:val="004F7EEF"/>
    <w:rsid w:val="00501C3A"/>
    <w:rsid w:val="00506B95"/>
    <w:rsid w:val="00514AEF"/>
    <w:rsid w:val="005157AC"/>
    <w:rsid w:val="0051643E"/>
    <w:rsid w:val="005168CC"/>
    <w:rsid w:val="005210CA"/>
    <w:rsid w:val="00523AE5"/>
    <w:rsid w:val="00524D83"/>
    <w:rsid w:val="00530051"/>
    <w:rsid w:val="005339DA"/>
    <w:rsid w:val="00541B82"/>
    <w:rsid w:val="00547B9B"/>
    <w:rsid w:val="00547CFE"/>
    <w:rsid w:val="00551058"/>
    <w:rsid w:val="00551E9A"/>
    <w:rsid w:val="005520F8"/>
    <w:rsid w:val="00556E35"/>
    <w:rsid w:val="0056154C"/>
    <w:rsid w:val="00562049"/>
    <w:rsid w:val="00563758"/>
    <w:rsid w:val="0056596A"/>
    <w:rsid w:val="00570969"/>
    <w:rsid w:val="00572EBC"/>
    <w:rsid w:val="00574FF4"/>
    <w:rsid w:val="00577A05"/>
    <w:rsid w:val="00577EA5"/>
    <w:rsid w:val="005812DB"/>
    <w:rsid w:val="00583B67"/>
    <w:rsid w:val="005864C9"/>
    <w:rsid w:val="00593B16"/>
    <w:rsid w:val="00595A59"/>
    <w:rsid w:val="005A427C"/>
    <w:rsid w:val="005A504B"/>
    <w:rsid w:val="005B5963"/>
    <w:rsid w:val="005C00B9"/>
    <w:rsid w:val="005C3DCF"/>
    <w:rsid w:val="005C7085"/>
    <w:rsid w:val="005D0E71"/>
    <w:rsid w:val="005D23AE"/>
    <w:rsid w:val="005E2314"/>
    <w:rsid w:val="005E35D0"/>
    <w:rsid w:val="005E36DA"/>
    <w:rsid w:val="005F3B3E"/>
    <w:rsid w:val="005F3D64"/>
    <w:rsid w:val="005F5D27"/>
    <w:rsid w:val="005F75DC"/>
    <w:rsid w:val="00605B97"/>
    <w:rsid w:val="006068D6"/>
    <w:rsid w:val="00607036"/>
    <w:rsid w:val="00614D6A"/>
    <w:rsid w:val="00616DA9"/>
    <w:rsid w:val="006175F4"/>
    <w:rsid w:val="0062371B"/>
    <w:rsid w:val="00623CD0"/>
    <w:rsid w:val="00624E90"/>
    <w:rsid w:val="00640E0D"/>
    <w:rsid w:val="0064217E"/>
    <w:rsid w:val="006444A7"/>
    <w:rsid w:val="006452E0"/>
    <w:rsid w:val="00645F9E"/>
    <w:rsid w:val="006515CC"/>
    <w:rsid w:val="0066141F"/>
    <w:rsid w:val="00677040"/>
    <w:rsid w:val="00681580"/>
    <w:rsid w:val="0069085C"/>
    <w:rsid w:val="00693652"/>
    <w:rsid w:val="0069457C"/>
    <w:rsid w:val="006962ED"/>
    <w:rsid w:val="0069634E"/>
    <w:rsid w:val="006A0F64"/>
    <w:rsid w:val="006A179B"/>
    <w:rsid w:val="006A3EF8"/>
    <w:rsid w:val="006A5BD4"/>
    <w:rsid w:val="006A77F6"/>
    <w:rsid w:val="006B3C67"/>
    <w:rsid w:val="006B4F6F"/>
    <w:rsid w:val="006B548E"/>
    <w:rsid w:val="006C0CDA"/>
    <w:rsid w:val="006C7D5D"/>
    <w:rsid w:val="006D376C"/>
    <w:rsid w:val="006D3D97"/>
    <w:rsid w:val="006D498D"/>
    <w:rsid w:val="006E1042"/>
    <w:rsid w:val="006E2FC7"/>
    <w:rsid w:val="006E3A7F"/>
    <w:rsid w:val="006E599B"/>
    <w:rsid w:val="006E5D02"/>
    <w:rsid w:val="006E7492"/>
    <w:rsid w:val="006F0D38"/>
    <w:rsid w:val="006F1648"/>
    <w:rsid w:val="006F2D09"/>
    <w:rsid w:val="006F71E1"/>
    <w:rsid w:val="006F7943"/>
    <w:rsid w:val="00700821"/>
    <w:rsid w:val="00700D7E"/>
    <w:rsid w:val="007046EB"/>
    <w:rsid w:val="00704DB9"/>
    <w:rsid w:val="00705AC6"/>
    <w:rsid w:val="00713BCD"/>
    <w:rsid w:val="00715D43"/>
    <w:rsid w:val="00716674"/>
    <w:rsid w:val="007268FA"/>
    <w:rsid w:val="00731130"/>
    <w:rsid w:val="00732529"/>
    <w:rsid w:val="00741783"/>
    <w:rsid w:val="00743ED4"/>
    <w:rsid w:val="00745FBE"/>
    <w:rsid w:val="007479F0"/>
    <w:rsid w:val="00751F1E"/>
    <w:rsid w:val="007537DE"/>
    <w:rsid w:val="00763B31"/>
    <w:rsid w:val="00766F32"/>
    <w:rsid w:val="00771D5E"/>
    <w:rsid w:val="00780DE6"/>
    <w:rsid w:val="00783F64"/>
    <w:rsid w:val="00783F85"/>
    <w:rsid w:val="00785329"/>
    <w:rsid w:val="00786536"/>
    <w:rsid w:val="0079762E"/>
    <w:rsid w:val="007A1077"/>
    <w:rsid w:val="007A1F7D"/>
    <w:rsid w:val="007A6183"/>
    <w:rsid w:val="007A7129"/>
    <w:rsid w:val="007B16EB"/>
    <w:rsid w:val="007C1261"/>
    <w:rsid w:val="007C1951"/>
    <w:rsid w:val="007C56E7"/>
    <w:rsid w:val="007D341B"/>
    <w:rsid w:val="007D5839"/>
    <w:rsid w:val="007E02CB"/>
    <w:rsid w:val="007E1102"/>
    <w:rsid w:val="007E2AC7"/>
    <w:rsid w:val="007E509F"/>
    <w:rsid w:val="007F3DDB"/>
    <w:rsid w:val="007F4DCD"/>
    <w:rsid w:val="007F5A99"/>
    <w:rsid w:val="007F6C91"/>
    <w:rsid w:val="00804415"/>
    <w:rsid w:val="008046B6"/>
    <w:rsid w:val="00810DD7"/>
    <w:rsid w:val="00810EAF"/>
    <w:rsid w:val="008139D0"/>
    <w:rsid w:val="008143B5"/>
    <w:rsid w:val="00822C98"/>
    <w:rsid w:val="0082615F"/>
    <w:rsid w:val="00827664"/>
    <w:rsid w:val="00831D72"/>
    <w:rsid w:val="008343F2"/>
    <w:rsid w:val="00835B96"/>
    <w:rsid w:val="0083776E"/>
    <w:rsid w:val="008414B3"/>
    <w:rsid w:val="00845BC0"/>
    <w:rsid w:val="00845ECF"/>
    <w:rsid w:val="00846E3C"/>
    <w:rsid w:val="00847222"/>
    <w:rsid w:val="008479A7"/>
    <w:rsid w:val="00847FAE"/>
    <w:rsid w:val="008522C7"/>
    <w:rsid w:val="00854DE8"/>
    <w:rsid w:val="00857989"/>
    <w:rsid w:val="00862E95"/>
    <w:rsid w:val="008648A3"/>
    <w:rsid w:val="0087090F"/>
    <w:rsid w:val="0087269F"/>
    <w:rsid w:val="008751F6"/>
    <w:rsid w:val="008808BA"/>
    <w:rsid w:val="008815E2"/>
    <w:rsid w:val="00882A8F"/>
    <w:rsid w:val="0088528D"/>
    <w:rsid w:val="00892292"/>
    <w:rsid w:val="008934F3"/>
    <w:rsid w:val="00896A87"/>
    <w:rsid w:val="008A2855"/>
    <w:rsid w:val="008A3C33"/>
    <w:rsid w:val="008A3E68"/>
    <w:rsid w:val="008A644D"/>
    <w:rsid w:val="008B16BB"/>
    <w:rsid w:val="008B2834"/>
    <w:rsid w:val="008B6B4D"/>
    <w:rsid w:val="008C354D"/>
    <w:rsid w:val="008C3B2E"/>
    <w:rsid w:val="008D2948"/>
    <w:rsid w:val="008D6A74"/>
    <w:rsid w:val="008D73E3"/>
    <w:rsid w:val="008E4673"/>
    <w:rsid w:val="008F4133"/>
    <w:rsid w:val="008F54D6"/>
    <w:rsid w:val="008F7E52"/>
    <w:rsid w:val="00907C47"/>
    <w:rsid w:val="009106C5"/>
    <w:rsid w:val="00916944"/>
    <w:rsid w:val="00920A3E"/>
    <w:rsid w:val="00924B97"/>
    <w:rsid w:val="00924BD1"/>
    <w:rsid w:val="00926700"/>
    <w:rsid w:val="00933732"/>
    <w:rsid w:val="00933E7A"/>
    <w:rsid w:val="009424B7"/>
    <w:rsid w:val="0094435F"/>
    <w:rsid w:val="00946B66"/>
    <w:rsid w:val="009526B6"/>
    <w:rsid w:val="00966BC8"/>
    <w:rsid w:val="00975D57"/>
    <w:rsid w:val="009824F0"/>
    <w:rsid w:val="0098453D"/>
    <w:rsid w:val="00985DCF"/>
    <w:rsid w:val="009903BC"/>
    <w:rsid w:val="00993208"/>
    <w:rsid w:val="009A090D"/>
    <w:rsid w:val="009A0AF3"/>
    <w:rsid w:val="009A167B"/>
    <w:rsid w:val="009A3C61"/>
    <w:rsid w:val="009A58A5"/>
    <w:rsid w:val="009A62B5"/>
    <w:rsid w:val="009B1EFD"/>
    <w:rsid w:val="009B4FBA"/>
    <w:rsid w:val="009C5C76"/>
    <w:rsid w:val="009C6CEC"/>
    <w:rsid w:val="009D016F"/>
    <w:rsid w:val="009D28EA"/>
    <w:rsid w:val="009D4595"/>
    <w:rsid w:val="009D6127"/>
    <w:rsid w:val="009E1AFB"/>
    <w:rsid w:val="009E35B2"/>
    <w:rsid w:val="009E3D37"/>
    <w:rsid w:val="009F4C7F"/>
    <w:rsid w:val="00A03BD9"/>
    <w:rsid w:val="00A05D52"/>
    <w:rsid w:val="00A06918"/>
    <w:rsid w:val="00A07181"/>
    <w:rsid w:val="00A12E38"/>
    <w:rsid w:val="00A14DDA"/>
    <w:rsid w:val="00A17A19"/>
    <w:rsid w:val="00A258EA"/>
    <w:rsid w:val="00A26D3D"/>
    <w:rsid w:val="00A270B6"/>
    <w:rsid w:val="00A277DD"/>
    <w:rsid w:val="00A30888"/>
    <w:rsid w:val="00A33B29"/>
    <w:rsid w:val="00A34258"/>
    <w:rsid w:val="00A34C94"/>
    <w:rsid w:val="00A41568"/>
    <w:rsid w:val="00A41ADB"/>
    <w:rsid w:val="00A43C55"/>
    <w:rsid w:val="00A44361"/>
    <w:rsid w:val="00A456A1"/>
    <w:rsid w:val="00A544B6"/>
    <w:rsid w:val="00A54B1A"/>
    <w:rsid w:val="00A55FC2"/>
    <w:rsid w:val="00A60401"/>
    <w:rsid w:val="00A607BA"/>
    <w:rsid w:val="00A621A3"/>
    <w:rsid w:val="00A644F5"/>
    <w:rsid w:val="00A64B11"/>
    <w:rsid w:val="00A7297A"/>
    <w:rsid w:val="00A74489"/>
    <w:rsid w:val="00A77B63"/>
    <w:rsid w:val="00A82880"/>
    <w:rsid w:val="00A861F6"/>
    <w:rsid w:val="00A8694D"/>
    <w:rsid w:val="00A87501"/>
    <w:rsid w:val="00A91525"/>
    <w:rsid w:val="00A92655"/>
    <w:rsid w:val="00A958BA"/>
    <w:rsid w:val="00AA216D"/>
    <w:rsid w:val="00AA4F6F"/>
    <w:rsid w:val="00AA5968"/>
    <w:rsid w:val="00AB0A7A"/>
    <w:rsid w:val="00AB2DBE"/>
    <w:rsid w:val="00AB4B8F"/>
    <w:rsid w:val="00AB6F83"/>
    <w:rsid w:val="00AC25EC"/>
    <w:rsid w:val="00AC271D"/>
    <w:rsid w:val="00AC413A"/>
    <w:rsid w:val="00AC4D74"/>
    <w:rsid w:val="00AD3616"/>
    <w:rsid w:val="00AE26A1"/>
    <w:rsid w:val="00AE3C98"/>
    <w:rsid w:val="00AE5411"/>
    <w:rsid w:val="00AF02B7"/>
    <w:rsid w:val="00AF4C56"/>
    <w:rsid w:val="00AF4E52"/>
    <w:rsid w:val="00AF7C8A"/>
    <w:rsid w:val="00B00341"/>
    <w:rsid w:val="00B05CA5"/>
    <w:rsid w:val="00B07CDE"/>
    <w:rsid w:val="00B10AEC"/>
    <w:rsid w:val="00B12500"/>
    <w:rsid w:val="00B1562E"/>
    <w:rsid w:val="00B24B87"/>
    <w:rsid w:val="00B34F93"/>
    <w:rsid w:val="00B355C3"/>
    <w:rsid w:val="00B3629C"/>
    <w:rsid w:val="00B43727"/>
    <w:rsid w:val="00B50E49"/>
    <w:rsid w:val="00B5124D"/>
    <w:rsid w:val="00B52B03"/>
    <w:rsid w:val="00B537D5"/>
    <w:rsid w:val="00B53C17"/>
    <w:rsid w:val="00B57F8B"/>
    <w:rsid w:val="00B649D6"/>
    <w:rsid w:val="00B739F8"/>
    <w:rsid w:val="00B777B2"/>
    <w:rsid w:val="00B849B2"/>
    <w:rsid w:val="00B916A3"/>
    <w:rsid w:val="00B94A75"/>
    <w:rsid w:val="00B94BB6"/>
    <w:rsid w:val="00BB15A8"/>
    <w:rsid w:val="00BB1FF0"/>
    <w:rsid w:val="00BB514D"/>
    <w:rsid w:val="00BB72AC"/>
    <w:rsid w:val="00BC0DBA"/>
    <w:rsid w:val="00BC6D93"/>
    <w:rsid w:val="00BD6C1D"/>
    <w:rsid w:val="00BF13BE"/>
    <w:rsid w:val="00BF6FFC"/>
    <w:rsid w:val="00BF73FF"/>
    <w:rsid w:val="00BF79D6"/>
    <w:rsid w:val="00C00951"/>
    <w:rsid w:val="00C00EA8"/>
    <w:rsid w:val="00C03DAE"/>
    <w:rsid w:val="00C048E1"/>
    <w:rsid w:val="00C0609E"/>
    <w:rsid w:val="00C07236"/>
    <w:rsid w:val="00C134F9"/>
    <w:rsid w:val="00C1606B"/>
    <w:rsid w:val="00C17652"/>
    <w:rsid w:val="00C20EB4"/>
    <w:rsid w:val="00C215B4"/>
    <w:rsid w:val="00C217F1"/>
    <w:rsid w:val="00C26D27"/>
    <w:rsid w:val="00C273FD"/>
    <w:rsid w:val="00C30FAB"/>
    <w:rsid w:val="00C320D2"/>
    <w:rsid w:val="00C353CB"/>
    <w:rsid w:val="00C42484"/>
    <w:rsid w:val="00C43394"/>
    <w:rsid w:val="00C444E2"/>
    <w:rsid w:val="00C54212"/>
    <w:rsid w:val="00C60633"/>
    <w:rsid w:val="00C60F7D"/>
    <w:rsid w:val="00C72BAB"/>
    <w:rsid w:val="00C759CB"/>
    <w:rsid w:val="00C75C6F"/>
    <w:rsid w:val="00C83C4A"/>
    <w:rsid w:val="00C840B0"/>
    <w:rsid w:val="00C841A2"/>
    <w:rsid w:val="00C96D1A"/>
    <w:rsid w:val="00CA1878"/>
    <w:rsid w:val="00CA1963"/>
    <w:rsid w:val="00CA36C0"/>
    <w:rsid w:val="00CA47C3"/>
    <w:rsid w:val="00CB6D13"/>
    <w:rsid w:val="00CC390D"/>
    <w:rsid w:val="00CC5C66"/>
    <w:rsid w:val="00CC68ED"/>
    <w:rsid w:val="00CD14AC"/>
    <w:rsid w:val="00CD20E2"/>
    <w:rsid w:val="00CD39E0"/>
    <w:rsid w:val="00CE7B69"/>
    <w:rsid w:val="00CF59AE"/>
    <w:rsid w:val="00D03F57"/>
    <w:rsid w:val="00D0418E"/>
    <w:rsid w:val="00D0443B"/>
    <w:rsid w:val="00D063F3"/>
    <w:rsid w:val="00D06CE7"/>
    <w:rsid w:val="00D1058B"/>
    <w:rsid w:val="00D141A7"/>
    <w:rsid w:val="00D14B78"/>
    <w:rsid w:val="00D15DCB"/>
    <w:rsid w:val="00D32E9E"/>
    <w:rsid w:val="00D36B9B"/>
    <w:rsid w:val="00D3705C"/>
    <w:rsid w:val="00D40FCC"/>
    <w:rsid w:val="00D43CC3"/>
    <w:rsid w:val="00D5099D"/>
    <w:rsid w:val="00D54EF7"/>
    <w:rsid w:val="00D60412"/>
    <w:rsid w:val="00D61B34"/>
    <w:rsid w:val="00D62118"/>
    <w:rsid w:val="00D62558"/>
    <w:rsid w:val="00D66C00"/>
    <w:rsid w:val="00D67FDB"/>
    <w:rsid w:val="00D712DA"/>
    <w:rsid w:val="00D7182A"/>
    <w:rsid w:val="00D7224E"/>
    <w:rsid w:val="00D74B32"/>
    <w:rsid w:val="00D81E5E"/>
    <w:rsid w:val="00D81EE1"/>
    <w:rsid w:val="00D85565"/>
    <w:rsid w:val="00D87A93"/>
    <w:rsid w:val="00D902E1"/>
    <w:rsid w:val="00D91EB4"/>
    <w:rsid w:val="00D95C94"/>
    <w:rsid w:val="00D97726"/>
    <w:rsid w:val="00DA2E94"/>
    <w:rsid w:val="00DA3750"/>
    <w:rsid w:val="00DA6A3D"/>
    <w:rsid w:val="00DB0740"/>
    <w:rsid w:val="00DB316D"/>
    <w:rsid w:val="00DB657D"/>
    <w:rsid w:val="00DC0BC7"/>
    <w:rsid w:val="00DC2A02"/>
    <w:rsid w:val="00DC4231"/>
    <w:rsid w:val="00DC4CF9"/>
    <w:rsid w:val="00DD0325"/>
    <w:rsid w:val="00DD2A90"/>
    <w:rsid w:val="00DD2E6D"/>
    <w:rsid w:val="00DD4944"/>
    <w:rsid w:val="00DD52B7"/>
    <w:rsid w:val="00DE1AF2"/>
    <w:rsid w:val="00DE65ED"/>
    <w:rsid w:val="00DF1E0A"/>
    <w:rsid w:val="00E0163B"/>
    <w:rsid w:val="00E025A2"/>
    <w:rsid w:val="00E0707D"/>
    <w:rsid w:val="00E079BB"/>
    <w:rsid w:val="00E1145A"/>
    <w:rsid w:val="00E2042A"/>
    <w:rsid w:val="00E227A5"/>
    <w:rsid w:val="00E26E7E"/>
    <w:rsid w:val="00E305A2"/>
    <w:rsid w:val="00E30B59"/>
    <w:rsid w:val="00E341B7"/>
    <w:rsid w:val="00E35BE2"/>
    <w:rsid w:val="00E406CB"/>
    <w:rsid w:val="00E508D6"/>
    <w:rsid w:val="00E53C0D"/>
    <w:rsid w:val="00E63470"/>
    <w:rsid w:val="00E7168F"/>
    <w:rsid w:val="00E73EC5"/>
    <w:rsid w:val="00E80CE9"/>
    <w:rsid w:val="00E81BBF"/>
    <w:rsid w:val="00E8627F"/>
    <w:rsid w:val="00E971D8"/>
    <w:rsid w:val="00EA09BB"/>
    <w:rsid w:val="00EA7954"/>
    <w:rsid w:val="00EB036F"/>
    <w:rsid w:val="00EB19F9"/>
    <w:rsid w:val="00EB378D"/>
    <w:rsid w:val="00EB4A1D"/>
    <w:rsid w:val="00EB5F0C"/>
    <w:rsid w:val="00EB641C"/>
    <w:rsid w:val="00ED3EF9"/>
    <w:rsid w:val="00ED502C"/>
    <w:rsid w:val="00ED7FC0"/>
    <w:rsid w:val="00EE62E8"/>
    <w:rsid w:val="00EF1AD0"/>
    <w:rsid w:val="00EF2297"/>
    <w:rsid w:val="00EF3BC3"/>
    <w:rsid w:val="00EF6E12"/>
    <w:rsid w:val="00EF7401"/>
    <w:rsid w:val="00F00A44"/>
    <w:rsid w:val="00F00B9C"/>
    <w:rsid w:val="00F0458D"/>
    <w:rsid w:val="00F05E2E"/>
    <w:rsid w:val="00F068C8"/>
    <w:rsid w:val="00F07CB1"/>
    <w:rsid w:val="00F10964"/>
    <w:rsid w:val="00F16394"/>
    <w:rsid w:val="00F2027D"/>
    <w:rsid w:val="00F24676"/>
    <w:rsid w:val="00F30CC7"/>
    <w:rsid w:val="00F33A3C"/>
    <w:rsid w:val="00F358F3"/>
    <w:rsid w:val="00F41769"/>
    <w:rsid w:val="00F42029"/>
    <w:rsid w:val="00F5370D"/>
    <w:rsid w:val="00F561FC"/>
    <w:rsid w:val="00F56443"/>
    <w:rsid w:val="00F61675"/>
    <w:rsid w:val="00F652D1"/>
    <w:rsid w:val="00F67368"/>
    <w:rsid w:val="00F72AE2"/>
    <w:rsid w:val="00F746E0"/>
    <w:rsid w:val="00F7542B"/>
    <w:rsid w:val="00F76C14"/>
    <w:rsid w:val="00F8030A"/>
    <w:rsid w:val="00F84245"/>
    <w:rsid w:val="00F8450E"/>
    <w:rsid w:val="00F850B5"/>
    <w:rsid w:val="00F8639E"/>
    <w:rsid w:val="00F87B61"/>
    <w:rsid w:val="00F91974"/>
    <w:rsid w:val="00F92A78"/>
    <w:rsid w:val="00F93E81"/>
    <w:rsid w:val="00F94AB0"/>
    <w:rsid w:val="00F97A79"/>
    <w:rsid w:val="00FA1667"/>
    <w:rsid w:val="00FA26F9"/>
    <w:rsid w:val="00FA499F"/>
    <w:rsid w:val="00FA5147"/>
    <w:rsid w:val="00FA7809"/>
    <w:rsid w:val="00FB1D42"/>
    <w:rsid w:val="00FB37B7"/>
    <w:rsid w:val="00FB5CE6"/>
    <w:rsid w:val="00FC2C6B"/>
    <w:rsid w:val="00FC3045"/>
    <w:rsid w:val="00FC4057"/>
    <w:rsid w:val="00FC74B7"/>
    <w:rsid w:val="00FC7ADA"/>
    <w:rsid w:val="00FD06E8"/>
    <w:rsid w:val="00FD43B6"/>
    <w:rsid w:val="00FE062D"/>
    <w:rsid w:val="00FE3C07"/>
    <w:rsid w:val="00FE4B01"/>
    <w:rsid w:val="00FF3193"/>
    <w:rsid w:val="00FF6746"/>
    <w:rsid w:val="00FF6765"/>
    <w:rsid w:val="00FF78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7D7030C"/>
  <w14:defaultImageDpi w14:val="32767"/>
  <w15:chartTrackingRefBased/>
  <w15:docId w15:val="{804679AD-766E-4254-A3DC-7F4461D5C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5" w:unhideWhenUsed="1" w:qFormat="1"/>
    <w:lsdException w:name="heading 5" w:semiHidden="1" w:uiPriority="6" w:unhideWhenUsed="1" w:qFormat="1"/>
    <w:lsdException w:name="heading 6" w:semiHidden="1" w:uiPriority="7" w:unhideWhenUsed="1" w:qFormat="1"/>
    <w:lsdException w:name="heading 7" w:semiHidden="1" w:uiPriority="8" w:unhideWhenUsed="1" w:qFormat="1"/>
    <w:lsdException w:name="heading 8" w:semiHidden="1" w:uiPriority="9"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0418E"/>
    <w:pPr>
      <w:tabs>
        <w:tab w:val="left" w:pos="284"/>
        <w:tab w:val="left" w:pos="567"/>
        <w:tab w:val="left" w:pos="851"/>
        <w:tab w:val="left" w:pos="1134"/>
        <w:tab w:val="center" w:pos="4111"/>
        <w:tab w:val="right" w:pos="8222"/>
      </w:tabs>
      <w:spacing w:line="280" w:lineRule="atLeast"/>
      <w:contextualSpacing/>
    </w:pPr>
    <w:rPr>
      <w:sz w:val="18"/>
    </w:rPr>
  </w:style>
  <w:style w:type="paragraph" w:styleId="Kop1">
    <w:name w:val="heading 1"/>
    <w:next w:val="Standaard"/>
    <w:link w:val="Kop1Char"/>
    <w:uiPriority w:val="9"/>
    <w:unhideWhenUsed/>
    <w:qFormat/>
    <w:rsid w:val="006C7D5D"/>
    <w:pPr>
      <w:keepNext/>
      <w:keepLines/>
      <w:numPr>
        <w:numId w:val="16"/>
      </w:numPr>
      <w:spacing w:before="480" w:after="240" w:line="320" w:lineRule="atLeast"/>
      <w:contextualSpacing/>
      <w:outlineLvl w:val="0"/>
    </w:pPr>
    <w:rPr>
      <w:rFonts w:ascii="Verdana" w:eastAsiaTheme="majorEastAsia" w:hAnsi="Verdana" w:cstheme="majorBidi"/>
      <w:b/>
      <w:bCs/>
      <w:color w:val="121469" w:themeColor="accent1"/>
      <w:spacing w:val="3"/>
      <w:kern w:val="0"/>
      <w:sz w:val="22"/>
      <w:szCs w:val="32"/>
      <w:lang w:eastAsia="nl-NL"/>
      <w14:ligatures w14:val="none"/>
    </w:rPr>
  </w:style>
  <w:style w:type="paragraph" w:styleId="Kop2">
    <w:name w:val="heading 2"/>
    <w:basedOn w:val="Kop1"/>
    <w:next w:val="Standaard"/>
    <w:link w:val="Kop2Char"/>
    <w:uiPriority w:val="9"/>
    <w:unhideWhenUsed/>
    <w:qFormat/>
    <w:rsid w:val="006C7D5D"/>
    <w:pPr>
      <w:numPr>
        <w:ilvl w:val="1"/>
      </w:numPr>
      <w:spacing w:before="280" w:after="200" w:line="280" w:lineRule="atLeast"/>
      <w:contextualSpacing w:val="0"/>
      <w:outlineLvl w:val="1"/>
    </w:pPr>
    <w:rPr>
      <w:sz w:val="18"/>
      <w:szCs w:val="26"/>
    </w:rPr>
  </w:style>
  <w:style w:type="paragraph" w:styleId="Kop3">
    <w:name w:val="heading 3"/>
    <w:basedOn w:val="Kop2"/>
    <w:next w:val="Standaard"/>
    <w:link w:val="Kop3Char"/>
    <w:uiPriority w:val="9"/>
    <w:unhideWhenUsed/>
    <w:qFormat/>
    <w:rsid w:val="002E2A65"/>
    <w:pPr>
      <w:numPr>
        <w:ilvl w:val="2"/>
      </w:numPr>
      <w:ind w:left="709" w:hanging="709"/>
      <w:outlineLvl w:val="2"/>
    </w:pPr>
    <w:rPr>
      <w:b w:val="0"/>
      <w:szCs w:val="24"/>
    </w:rPr>
  </w:style>
  <w:style w:type="paragraph" w:styleId="Kop4">
    <w:name w:val="heading 4"/>
    <w:basedOn w:val="Kop3"/>
    <w:next w:val="Standaard"/>
    <w:link w:val="Kop4Char"/>
    <w:uiPriority w:val="5"/>
    <w:unhideWhenUsed/>
    <w:rsid w:val="002E2A65"/>
    <w:pPr>
      <w:numPr>
        <w:ilvl w:val="3"/>
      </w:numPr>
      <w:outlineLvl w:val="3"/>
    </w:pPr>
    <w:rPr>
      <w:b/>
      <w:color w:val="000000" w:themeColor="text1"/>
      <w:sz w:val="20"/>
    </w:rPr>
  </w:style>
  <w:style w:type="paragraph" w:styleId="Kop5">
    <w:name w:val="heading 5"/>
    <w:basedOn w:val="Kop4"/>
    <w:next w:val="Standaard"/>
    <w:link w:val="Kop5Char"/>
    <w:uiPriority w:val="6"/>
    <w:unhideWhenUsed/>
    <w:rsid w:val="002E2A65"/>
    <w:pPr>
      <w:numPr>
        <w:ilvl w:val="4"/>
      </w:numPr>
      <w:outlineLvl w:val="4"/>
    </w:pPr>
    <w:rPr>
      <w:b w:val="0"/>
      <w:color w:val="548166" w:themeColor="accent5"/>
    </w:rPr>
  </w:style>
  <w:style w:type="paragraph" w:styleId="Kop6">
    <w:name w:val="heading 6"/>
    <w:basedOn w:val="Kop5"/>
    <w:next w:val="Standaard"/>
    <w:link w:val="Kop6Char"/>
    <w:uiPriority w:val="7"/>
    <w:unhideWhenUsed/>
    <w:rsid w:val="002E2A65"/>
    <w:pPr>
      <w:numPr>
        <w:ilvl w:val="5"/>
      </w:numPr>
      <w:outlineLvl w:val="5"/>
    </w:pPr>
    <w:rPr>
      <w:i/>
      <w:u w:val="single"/>
    </w:rPr>
  </w:style>
  <w:style w:type="paragraph" w:styleId="Kop7">
    <w:name w:val="heading 7"/>
    <w:basedOn w:val="Kop6"/>
    <w:next w:val="Standaard"/>
    <w:link w:val="Kop7Char"/>
    <w:uiPriority w:val="8"/>
    <w:unhideWhenUsed/>
    <w:rsid w:val="002E2A65"/>
    <w:pPr>
      <w:numPr>
        <w:ilvl w:val="6"/>
      </w:numPr>
      <w:outlineLvl w:val="6"/>
    </w:pPr>
    <w:rPr>
      <w:i w:val="0"/>
      <w:iCs/>
    </w:rPr>
  </w:style>
  <w:style w:type="paragraph" w:styleId="Kop8">
    <w:name w:val="heading 8"/>
    <w:basedOn w:val="Kop7"/>
    <w:next w:val="Standaard"/>
    <w:link w:val="Kop8Char"/>
    <w:uiPriority w:val="9"/>
    <w:unhideWhenUsed/>
    <w:rsid w:val="002E2A65"/>
    <w:pPr>
      <w:numPr>
        <w:ilvl w:val="7"/>
      </w:numPr>
      <w:outlineLvl w:val="7"/>
    </w:pPr>
    <w:rPr>
      <w:color w:val="272727" w:themeColor="text1" w:themeTint="D8"/>
      <w:sz w:val="21"/>
      <w:szCs w:val="21"/>
    </w:rPr>
  </w:style>
  <w:style w:type="paragraph" w:styleId="Kop9">
    <w:name w:val="heading 9"/>
    <w:basedOn w:val="Kop8"/>
    <w:next w:val="Standaard"/>
    <w:link w:val="Kop9Char"/>
    <w:uiPriority w:val="10"/>
    <w:unhideWhenUsed/>
    <w:rsid w:val="002E2A65"/>
    <w:pPr>
      <w:numPr>
        <w:ilvl w:val="8"/>
      </w:numPr>
      <w:outlineLvl w:val="8"/>
    </w:pPr>
    <w:rPr>
      <w:i/>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6C7D5D"/>
    <w:pPr>
      <w:tabs>
        <w:tab w:val="clear" w:pos="284"/>
        <w:tab w:val="clear" w:pos="567"/>
        <w:tab w:val="clear" w:pos="851"/>
        <w:tab w:val="clear" w:pos="1134"/>
        <w:tab w:val="clear" w:pos="4111"/>
        <w:tab w:val="clear" w:pos="8222"/>
      </w:tabs>
      <w:spacing w:after="0" w:line="240" w:lineRule="atLeast"/>
      <w:jc w:val="right"/>
    </w:pPr>
    <w:rPr>
      <w:sz w:val="14"/>
    </w:rPr>
  </w:style>
  <w:style w:type="character" w:customStyle="1" w:styleId="KoptekstChar">
    <w:name w:val="Koptekst Char"/>
    <w:basedOn w:val="Standaardalinea-lettertype"/>
    <w:link w:val="Koptekst"/>
    <w:rsid w:val="006C7D5D"/>
    <w:rPr>
      <w:sz w:val="14"/>
    </w:rPr>
  </w:style>
  <w:style w:type="paragraph" w:styleId="Voettekst">
    <w:name w:val="footer"/>
    <w:basedOn w:val="Standaard"/>
    <w:link w:val="VoettekstChar"/>
    <w:unhideWhenUsed/>
    <w:rsid w:val="006C7D5D"/>
    <w:pPr>
      <w:tabs>
        <w:tab w:val="clear" w:pos="284"/>
        <w:tab w:val="clear" w:pos="567"/>
        <w:tab w:val="clear" w:pos="851"/>
        <w:tab w:val="clear" w:pos="1134"/>
      </w:tabs>
      <w:spacing w:after="0" w:line="240" w:lineRule="atLeast"/>
    </w:pPr>
    <w:rPr>
      <w:color w:val="B6C0C9" w:themeColor="text2"/>
      <w:sz w:val="14"/>
    </w:rPr>
  </w:style>
  <w:style w:type="character" w:customStyle="1" w:styleId="VoettekstChar">
    <w:name w:val="Voettekst Char"/>
    <w:basedOn w:val="Standaardalinea-lettertype"/>
    <w:link w:val="Voettekst"/>
    <w:rsid w:val="006C7D5D"/>
    <w:rPr>
      <w:color w:val="B6C0C9" w:themeColor="text2"/>
      <w:sz w:val="14"/>
    </w:rPr>
  </w:style>
  <w:style w:type="paragraph" w:customStyle="1" w:styleId="KoptekstEerstepagina">
    <w:name w:val="Koptekst Eerste pagina"/>
    <w:basedOn w:val="Koptekst"/>
    <w:rsid w:val="006C7D5D"/>
    <w:pPr>
      <w:tabs>
        <w:tab w:val="right" w:pos="8789"/>
      </w:tabs>
      <w:spacing w:line="280" w:lineRule="atLeast"/>
      <w:ind w:right="-567"/>
    </w:pPr>
    <w:rPr>
      <w:color w:val="B6C0C9" w:themeColor="text2"/>
      <w:sz w:val="22"/>
    </w:rPr>
  </w:style>
  <w:style w:type="character" w:styleId="Tekstvantijdelijkeaanduiding">
    <w:name w:val="Placeholder Text"/>
    <w:basedOn w:val="Standaardalinea-lettertype"/>
    <w:uiPriority w:val="99"/>
    <w:rsid w:val="00B739F8"/>
    <w:rPr>
      <w:color w:val="666666"/>
    </w:rPr>
  </w:style>
  <w:style w:type="table" w:styleId="Tabelraster">
    <w:name w:val="Table Grid"/>
    <w:basedOn w:val="Standaardtabel"/>
    <w:rsid w:val="00771D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ussenkop">
    <w:name w:val="Tussenkop"/>
    <w:basedOn w:val="Standaard"/>
    <w:next w:val="Standaard"/>
    <w:qFormat/>
    <w:rsid w:val="006C7D5D"/>
    <w:pPr>
      <w:spacing w:after="0"/>
    </w:pPr>
    <w:rPr>
      <w:b/>
      <w:color w:val="121469" w:themeColor="accent1"/>
    </w:rPr>
  </w:style>
  <w:style w:type="paragraph" w:customStyle="1" w:styleId="Legendakop">
    <w:name w:val="Legendakop"/>
    <w:basedOn w:val="Standaard"/>
    <w:rsid w:val="00771D5E"/>
    <w:pPr>
      <w:spacing w:after="0"/>
    </w:pPr>
    <w:rPr>
      <w:b/>
      <w:sz w:val="14"/>
    </w:rPr>
  </w:style>
  <w:style w:type="paragraph" w:customStyle="1" w:styleId="Legendatekst">
    <w:name w:val="Legendatekst"/>
    <w:basedOn w:val="Standaard"/>
    <w:rsid w:val="00771D5E"/>
    <w:pPr>
      <w:spacing w:after="0"/>
    </w:pPr>
    <w:rPr>
      <w:sz w:val="16"/>
    </w:rPr>
  </w:style>
  <w:style w:type="paragraph" w:customStyle="1" w:styleId="Scheidingsalinea">
    <w:name w:val="Scheidingsalinea"/>
    <w:basedOn w:val="Standaard"/>
    <w:rsid w:val="00771D5E"/>
    <w:pPr>
      <w:spacing w:after="0" w:line="20" w:lineRule="exact"/>
    </w:pPr>
  </w:style>
  <w:style w:type="paragraph" w:customStyle="1" w:styleId="Afzendergegevens">
    <w:name w:val="Afzendergegevens"/>
    <w:basedOn w:val="Standaard"/>
    <w:rsid w:val="00D712DA"/>
    <w:pPr>
      <w:spacing w:after="0" w:line="200" w:lineRule="atLeast"/>
      <w:jc w:val="right"/>
    </w:pPr>
    <w:rPr>
      <w:sz w:val="16"/>
    </w:rPr>
  </w:style>
  <w:style w:type="paragraph" w:styleId="Titel">
    <w:name w:val="Title"/>
    <w:basedOn w:val="Standaard"/>
    <w:next w:val="Standaard"/>
    <w:link w:val="TitelChar"/>
    <w:unhideWhenUsed/>
    <w:rsid w:val="008C3B2E"/>
    <w:pPr>
      <w:keepNext/>
      <w:keepLines/>
      <w:tabs>
        <w:tab w:val="clear" w:pos="284"/>
        <w:tab w:val="clear" w:pos="567"/>
        <w:tab w:val="clear" w:pos="851"/>
        <w:tab w:val="clear" w:pos="1134"/>
        <w:tab w:val="clear" w:pos="4111"/>
        <w:tab w:val="clear" w:pos="8222"/>
      </w:tabs>
      <w:spacing w:before="480" w:after="360" w:line="320" w:lineRule="atLeast"/>
    </w:pPr>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TitelChar">
    <w:name w:val="Titel Char"/>
    <w:basedOn w:val="Standaardalinea-lettertype"/>
    <w:link w:val="Titel"/>
    <w:rsid w:val="008C3B2E"/>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Kop1Char">
    <w:name w:val="Kop 1 Char"/>
    <w:basedOn w:val="Standaardalinea-lettertype"/>
    <w:link w:val="Kop1"/>
    <w:uiPriority w:val="9"/>
    <w:rsid w:val="006C7D5D"/>
    <w:rPr>
      <w:rFonts w:ascii="Verdana" w:eastAsiaTheme="majorEastAsia" w:hAnsi="Verdana" w:cstheme="majorBidi"/>
      <w:b/>
      <w:bCs/>
      <w:color w:val="121469" w:themeColor="accent1"/>
      <w:spacing w:val="3"/>
      <w:kern w:val="0"/>
      <w:sz w:val="22"/>
      <w:szCs w:val="32"/>
      <w:lang w:eastAsia="nl-NL"/>
      <w14:ligatures w14:val="none"/>
    </w:rPr>
  </w:style>
  <w:style w:type="character" w:customStyle="1" w:styleId="Kop2Char">
    <w:name w:val="Kop 2 Char"/>
    <w:basedOn w:val="Standaardalinea-lettertype"/>
    <w:link w:val="Kop2"/>
    <w:uiPriority w:val="9"/>
    <w:rsid w:val="006C7D5D"/>
    <w:rPr>
      <w:rFonts w:ascii="Verdana" w:eastAsiaTheme="majorEastAsia" w:hAnsi="Verdana" w:cstheme="majorBidi"/>
      <w:b/>
      <w:bCs/>
      <w:color w:val="121469" w:themeColor="accent1"/>
      <w:spacing w:val="3"/>
      <w:kern w:val="0"/>
      <w:sz w:val="18"/>
      <w:szCs w:val="26"/>
      <w:lang w:eastAsia="nl-NL"/>
      <w14:ligatures w14:val="none"/>
    </w:rPr>
  </w:style>
  <w:style w:type="character" w:customStyle="1" w:styleId="Kop3Char">
    <w:name w:val="Kop 3 Char"/>
    <w:basedOn w:val="Standaardalinea-lettertype"/>
    <w:link w:val="Kop3"/>
    <w:uiPriority w:val="9"/>
    <w:rsid w:val="002E2A65"/>
    <w:rPr>
      <w:rFonts w:ascii="Verdana" w:eastAsiaTheme="majorEastAsia" w:hAnsi="Verdana" w:cstheme="majorBidi"/>
      <w:bCs/>
      <w:color w:val="121469" w:themeColor="accent1"/>
      <w:spacing w:val="3"/>
      <w:kern w:val="0"/>
      <w:sz w:val="18"/>
      <w:lang w:eastAsia="nl-NL"/>
      <w14:ligatures w14:val="none"/>
    </w:rPr>
  </w:style>
  <w:style w:type="character" w:customStyle="1" w:styleId="Kop4Char">
    <w:name w:val="Kop 4 Char"/>
    <w:basedOn w:val="Standaardalinea-lettertype"/>
    <w:link w:val="Kop4"/>
    <w:uiPriority w:val="5"/>
    <w:rsid w:val="002E2A65"/>
    <w:rPr>
      <w:rFonts w:ascii="Verdana" w:eastAsiaTheme="majorEastAsia" w:hAnsi="Verdana" w:cstheme="majorBidi"/>
      <w:b/>
      <w:bCs/>
      <w:color w:val="000000" w:themeColor="text1"/>
      <w:spacing w:val="3"/>
      <w:kern w:val="0"/>
      <w:sz w:val="20"/>
      <w:lang w:eastAsia="nl-NL"/>
      <w14:ligatures w14:val="none"/>
    </w:rPr>
  </w:style>
  <w:style w:type="character" w:customStyle="1" w:styleId="Kop5Char">
    <w:name w:val="Kop 5 Char"/>
    <w:basedOn w:val="Standaardalinea-lettertype"/>
    <w:link w:val="Kop5"/>
    <w:uiPriority w:val="6"/>
    <w:rsid w:val="002E2A65"/>
    <w:rPr>
      <w:rFonts w:ascii="Verdana" w:eastAsiaTheme="majorEastAsia" w:hAnsi="Verdana" w:cstheme="majorBidi"/>
      <w:bCs/>
      <w:color w:val="548166" w:themeColor="accent5"/>
      <w:spacing w:val="3"/>
      <w:kern w:val="0"/>
      <w:sz w:val="20"/>
      <w:lang w:eastAsia="nl-NL"/>
      <w14:ligatures w14:val="none"/>
    </w:rPr>
  </w:style>
  <w:style w:type="character" w:customStyle="1" w:styleId="Kop6Char">
    <w:name w:val="Kop 6 Char"/>
    <w:basedOn w:val="Standaardalinea-lettertype"/>
    <w:link w:val="Kop6"/>
    <w:uiPriority w:val="7"/>
    <w:rsid w:val="002E2A65"/>
    <w:rPr>
      <w:rFonts w:ascii="Verdana" w:eastAsiaTheme="majorEastAsia" w:hAnsi="Verdana" w:cstheme="majorBidi"/>
      <w:bCs/>
      <w:i/>
      <w:color w:val="548166" w:themeColor="accent5"/>
      <w:spacing w:val="3"/>
      <w:kern w:val="0"/>
      <w:sz w:val="20"/>
      <w:u w:val="single"/>
      <w:lang w:eastAsia="nl-NL"/>
      <w14:ligatures w14:val="none"/>
    </w:rPr>
  </w:style>
  <w:style w:type="character" w:customStyle="1" w:styleId="Kop7Char">
    <w:name w:val="Kop 7 Char"/>
    <w:basedOn w:val="Standaardalinea-lettertype"/>
    <w:link w:val="Kop7"/>
    <w:uiPriority w:val="8"/>
    <w:rsid w:val="002E2A65"/>
    <w:rPr>
      <w:rFonts w:ascii="Verdana" w:eastAsiaTheme="majorEastAsia" w:hAnsi="Verdana" w:cstheme="majorBidi"/>
      <w:bCs/>
      <w:iCs/>
      <w:color w:val="548166" w:themeColor="accent5"/>
      <w:spacing w:val="3"/>
      <w:kern w:val="0"/>
      <w:sz w:val="20"/>
      <w:u w:val="single"/>
      <w:lang w:eastAsia="nl-NL"/>
      <w14:ligatures w14:val="none"/>
    </w:rPr>
  </w:style>
  <w:style w:type="character" w:customStyle="1" w:styleId="Kop8Char">
    <w:name w:val="Kop 8 Char"/>
    <w:basedOn w:val="Standaardalinea-lettertype"/>
    <w:link w:val="Kop8"/>
    <w:uiPriority w:val="9"/>
    <w:rsid w:val="002E2A65"/>
    <w:rPr>
      <w:rFonts w:ascii="Verdana" w:eastAsiaTheme="majorEastAsia" w:hAnsi="Verdana" w:cstheme="majorBidi"/>
      <w:bCs/>
      <w:iCs/>
      <w:color w:val="272727" w:themeColor="text1" w:themeTint="D8"/>
      <w:spacing w:val="3"/>
      <w:kern w:val="0"/>
      <w:sz w:val="21"/>
      <w:szCs w:val="21"/>
      <w:u w:val="single"/>
      <w:lang w:eastAsia="nl-NL"/>
      <w14:ligatures w14:val="none"/>
    </w:rPr>
  </w:style>
  <w:style w:type="character" w:customStyle="1" w:styleId="Kop9Char">
    <w:name w:val="Kop 9 Char"/>
    <w:basedOn w:val="Standaardalinea-lettertype"/>
    <w:link w:val="Kop9"/>
    <w:uiPriority w:val="10"/>
    <w:rsid w:val="002E2A65"/>
    <w:rPr>
      <w:rFonts w:ascii="Verdana" w:eastAsiaTheme="majorEastAsia" w:hAnsi="Verdana" w:cstheme="majorBidi"/>
      <w:bCs/>
      <w:i/>
      <w:color w:val="272727" w:themeColor="text1" w:themeTint="D8"/>
      <w:spacing w:val="3"/>
      <w:kern w:val="0"/>
      <w:sz w:val="21"/>
      <w:szCs w:val="21"/>
      <w:u w:val="single"/>
      <w:lang w:eastAsia="nl-NL"/>
      <w14:ligatures w14:val="none"/>
    </w:rPr>
  </w:style>
  <w:style w:type="paragraph" w:customStyle="1" w:styleId="Kop1-Zondernummer">
    <w:name w:val="Kop 1 - Zonder nummer"/>
    <w:basedOn w:val="Kop1"/>
    <w:next w:val="Standaard"/>
    <w:qFormat/>
    <w:rsid w:val="006C7D5D"/>
    <w:pPr>
      <w:numPr>
        <w:numId w:val="0"/>
      </w:numPr>
      <w:spacing w:before="240"/>
    </w:pPr>
  </w:style>
  <w:style w:type="paragraph" w:customStyle="1" w:styleId="Kop2-Zondernummer">
    <w:name w:val="Kop 2 - Zonder nummer"/>
    <w:basedOn w:val="Kop2"/>
    <w:next w:val="Standaard"/>
    <w:qFormat/>
    <w:rsid w:val="006C7D5D"/>
    <w:pPr>
      <w:numPr>
        <w:ilvl w:val="0"/>
        <w:numId w:val="0"/>
      </w:numPr>
    </w:pPr>
  </w:style>
  <w:style w:type="character" w:styleId="Hyperlink">
    <w:name w:val="Hyperlink"/>
    <w:basedOn w:val="Standaardalinea-lettertype"/>
    <w:uiPriority w:val="99"/>
    <w:unhideWhenUsed/>
    <w:rsid w:val="00506B95"/>
    <w:rPr>
      <w:color w:val="3E7D98" w:themeColor="hyperlink"/>
      <w:u w:val="single"/>
    </w:rPr>
  </w:style>
  <w:style w:type="character" w:styleId="Onopgelostemelding">
    <w:name w:val="Unresolved Mention"/>
    <w:basedOn w:val="Standaardalinea-lettertype"/>
    <w:uiPriority w:val="99"/>
    <w:semiHidden/>
    <w:unhideWhenUsed/>
    <w:rsid w:val="00506B95"/>
    <w:rPr>
      <w:color w:val="605E5C"/>
      <w:shd w:val="clear" w:color="auto" w:fill="E1DFDD"/>
    </w:rPr>
  </w:style>
  <w:style w:type="paragraph" w:styleId="Voetnoottekst">
    <w:name w:val="footnote text"/>
    <w:basedOn w:val="Standaard"/>
    <w:link w:val="VoetnoottekstChar"/>
    <w:uiPriority w:val="99"/>
    <w:unhideWhenUsed/>
    <w:rsid w:val="004F0068"/>
    <w:pPr>
      <w:spacing w:after="0" w:line="240" w:lineRule="auto"/>
      <w:ind w:left="284" w:hanging="284"/>
    </w:pPr>
    <w:rPr>
      <w:sz w:val="16"/>
      <w:szCs w:val="20"/>
    </w:rPr>
  </w:style>
  <w:style w:type="character" w:customStyle="1" w:styleId="VoetnoottekstChar">
    <w:name w:val="Voetnoottekst Char"/>
    <w:basedOn w:val="Standaardalinea-lettertype"/>
    <w:link w:val="Voetnoottekst"/>
    <w:uiPriority w:val="99"/>
    <w:rsid w:val="004F0068"/>
    <w:rPr>
      <w:sz w:val="16"/>
      <w:szCs w:val="20"/>
    </w:rPr>
  </w:style>
  <w:style w:type="character" w:styleId="Voetnootmarkering">
    <w:name w:val="footnote reference"/>
    <w:basedOn w:val="Standaardalinea-lettertype"/>
    <w:uiPriority w:val="99"/>
    <w:semiHidden/>
    <w:unhideWhenUsed/>
    <w:rsid w:val="00506B95"/>
    <w:rPr>
      <w:sz w:val="20"/>
      <w:vertAlign w:val="superscript"/>
    </w:rPr>
  </w:style>
  <w:style w:type="character" w:styleId="GevolgdeHyperlink">
    <w:name w:val="FollowedHyperlink"/>
    <w:basedOn w:val="Standaardalinea-lettertype"/>
    <w:uiPriority w:val="99"/>
    <w:semiHidden/>
    <w:unhideWhenUsed/>
    <w:rsid w:val="00506B95"/>
    <w:rPr>
      <w:color w:val="6B91A1" w:themeColor="followedHyperlink"/>
      <w:u w:val="single"/>
    </w:rPr>
  </w:style>
  <w:style w:type="paragraph" w:customStyle="1" w:styleId="Tabelkopregel">
    <w:name w:val="Tabel kopregel"/>
    <w:basedOn w:val="Standaard"/>
    <w:unhideWhenUsed/>
    <w:qFormat/>
    <w:rsid w:val="006C7D5D"/>
    <w:pPr>
      <w:tabs>
        <w:tab w:val="left" w:pos="1418"/>
        <w:tab w:val="left" w:pos="4111"/>
      </w:tabs>
      <w:spacing w:after="0" w:line="240" w:lineRule="atLeast"/>
    </w:pPr>
    <w:rPr>
      <w:rFonts w:ascii="Verdana" w:eastAsia="Times New Roman" w:hAnsi="Verdana" w:cs="Times New Roman"/>
      <w:b/>
      <w:color w:val="FFFFFF" w:themeColor="background1"/>
      <w:kern w:val="0"/>
      <w:sz w:val="16"/>
      <w:szCs w:val="18"/>
      <w:lang w:eastAsia="de-DE"/>
      <w14:ligatures w14:val="none"/>
    </w:rPr>
  </w:style>
  <w:style w:type="paragraph" w:customStyle="1" w:styleId="Tabeltekst">
    <w:name w:val="Tabel tekst"/>
    <w:basedOn w:val="Standaard"/>
    <w:unhideWhenUsed/>
    <w:qFormat/>
    <w:rsid w:val="006C7D5D"/>
    <w:pPr>
      <w:tabs>
        <w:tab w:val="left" w:pos="1418"/>
        <w:tab w:val="left" w:pos="4111"/>
      </w:tabs>
      <w:spacing w:after="0" w:line="240" w:lineRule="atLeast"/>
    </w:pPr>
    <w:rPr>
      <w:rFonts w:ascii="Verdana" w:eastAsia="Times New Roman" w:hAnsi="Verdana" w:cs="Times New Roman"/>
      <w:kern w:val="0"/>
      <w:sz w:val="16"/>
      <w:szCs w:val="18"/>
      <w:lang w:eastAsia="de-DE"/>
      <w14:ligatures w14:val="none"/>
    </w:rPr>
  </w:style>
  <w:style w:type="paragraph" w:styleId="Bijschrift">
    <w:name w:val="caption"/>
    <w:basedOn w:val="Standaard"/>
    <w:next w:val="Standaard"/>
    <w:qFormat/>
    <w:rsid w:val="006C7D5D"/>
    <w:pPr>
      <w:tabs>
        <w:tab w:val="clear" w:pos="284"/>
        <w:tab w:val="clear" w:pos="567"/>
        <w:tab w:val="clear" w:pos="1134"/>
        <w:tab w:val="clear" w:pos="4111"/>
        <w:tab w:val="clear" w:pos="8222"/>
      </w:tabs>
      <w:spacing w:before="120" w:after="120" w:line="200" w:lineRule="atLeast"/>
      <w:ind w:left="851" w:hanging="851"/>
    </w:pPr>
    <w:rPr>
      <w:rFonts w:ascii="Verdana" w:eastAsia="Times New Roman" w:hAnsi="Verdana" w:cs="Times New Roman"/>
      <w:iCs/>
      <w:kern w:val="0"/>
      <w:sz w:val="16"/>
      <w:szCs w:val="18"/>
      <w:lang w:eastAsia="de-DE"/>
      <w14:ligatures w14:val="none"/>
    </w:rPr>
  </w:style>
  <w:style w:type="paragraph" w:styleId="Lijstnummering">
    <w:name w:val="List Number"/>
    <w:basedOn w:val="Standaard"/>
    <w:uiPriority w:val="99"/>
    <w:unhideWhenUsed/>
    <w:qFormat/>
    <w:rsid w:val="006C7D5D"/>
    <w:pPr>
      <w:numPr>
        <w:numId w:val="17"/>
      </w:numPr>
      <w:tabs>
        <w:tab w:val="clear" w:pos="284"/>
        <w:tab w:val="clear" w:pos="360"/>
        <w:tab w:val="clear" w:pos="567"/>
        <w:tab w:val="clear" w:pos="851"/>
        <w:tab w:val="clear" w:pos="1134"/>
        <w:tab w:val="clear" w:pos="4111"/>
        <w:tab w:val="clear" w:pos="8222"/>
      </w:tabs>
    </w:pPr>
  </w:style>
  <w:style w:type="paragraph" w:styleId="Lijstalinea">
    <w:name w:val="List Paragraph"/>
    <w:basedOn w:val="Standaard"/>
    <w:uiPriority w:val="34"/>
    <w:qFormat/>
    <w:rsid w:val="006C7D5D"/>
    <w:pPr>
      <w:numPr>
        <w:numId w:val="18"/>
      </w:numPr>
      <w:tabs>
        <w:tab w:val="clear" w:pos="284"/>
        <w:tab w:val="clear" w:pos="567"/>
        <w:tab w:val="clear" w:pos="851"/>
        <w:tab w:val="clear" w:pos="1134"/>
        <w:tab w:val="clear" w:pos="4111"/>
        <w:tab w:val="clear" w:pos="8222"/>
      </w:tabs>
    </w:pPr>
  </w:style>
  <w:style w:type="paragraph" w:styleId="Inhopg1">
    <w:name w:val="toc 1"/>
    <w:basedOn w:val="Standaard"/>
    <w:next w:val="Standaard"/>
    <w:autoRedefine/>
    <w:uiPriority w:val="39"/>
    <w:unhideWhenUsed/>
    <w:rsid w:val="006E1042"/>
    <w:pPr>
      <w:widowControl w:val="0"/>
      <w:tabs>
        <w:tab w:val="clear" w:pos="284"/>
        <w:tab w:val="clear" w:pos="567"/>
        <w:tab w:val="clear" w:pos="851"/>
        <w:tab w:val="clear" w:pos="1134"/>
        <w:tab w:val="clear" w:pos="4111"/>
        <w:tab w:val="left" w:pos="709"/>
      </w:tabs>
      <w:spacing w:before="240" w:after="0" w:line="240" w:lineRule="atLeast"/>
      <w:ind w:left="709" w:hanging="709"/>
      <w:contextualSpacing w:val="0"/>
    </w:pPr>
    <w:rPr>
      <w:rFonts w:ascii="Verdana" w:eastAsiaTheme="minorEastAsia" w:hAnsi="Verdana"/>
      <w:b/>
      <w:noProof/>
      <w:kern w:val="0"/>
      <w:szCs w:val="22"/>
      <w:lang w:eastAsia="nl-NL"/>
      <w14:ligatures w14:val="none"/>
    </w:rPr>
  </w:style>
  <w:style w:type="paragraph" w:styleId="Inhopg2">
    <w:name w:val="toc 2"/>
    <w:basedOn w:val="Standaard"/>
    <w:next w:val="Standaard"/>
    <w:autoRedefine/>
    <w:uiPriority w:val="39"/>
    <w:unhideWhenUsed/>
    <w:rsid w:val="006E1042"/>
    <w:pPr>
      <w:widowControl w:val="0"/>
      <w:tabs>
        <w:tab w:val="clear" w:pos="284"/>
        <w:tab w:val="clear" w:pos="567"/>
        <w:tab w:val="clear" w:pos="851"/>
        <w:tab w:val="clear" w:pos="1134"/>
        <w:tab w:val="clear" w:pos="4111"/>
        <w:tab w:val="left" w:pos="709"/>
      </w:tabs>
      <w:spacing w:after="0" w:line="240" w:lineRule="atLeast"/>
      <w:ind w:left="709" w:hanging="709"/>
    </w:pPr>
    <w:rPr>
      <w:rFonts w:ascii="Verdana" w:eastAsiaTheme="minorEastAsia" w:hAnsi="Verdana"/>
      <w:noProof/>
      <w:kern w:val="0"/>
      <w:szCs w:val="22"/>
      <w:lang w:eastAsia="nl-NL"/>
      <w14:ligatures w14:val="none"/>
    </w:rPr>
  </w:style>
  <w:style w:type="paragraph" w:styleId="Citaat">
    <w:name w:val="Quote"/>
    <w:basedOn w:val="Standaard"/>
    <w:next w:val="Standaard"/>
    <w:link w:val="CitaatChar"/>
    <w:uiPriority w:val="29"/>
    <w:rsid w:val="00116397"/>
    <w:rPr>
      <w:i/>
      <w:iCs/>
      <w:color w:val="404040" w:themeColor="text1" w:themeTint="BF"/>
    </w:rPr>
  </w:style>
  <w:style w:type="character" w:customStyle="1" w:styleId="CitaatChar">
    <w:name w:val="Citaat Char"/>
    <w:basedOn w:val="Standaardalinea-lettertype"/>
    <w:link w:val="Citaat"/>
    <w:uiPriority w:val="29"/>
    <w:rsid w:val="00116397"/>
    <w:rPr>
      <w:i/>
      <w:iCs/>
      <w:color w:val="404040" w:themeColor="text1" w:themeTint="BF"/>
      <w:sz w:val="18"/>
    </w:rPr>
  </w:style>
  <w:style w:type="paragraph" w:customStyle="1" w:styleId="Citaatkop">
    <w:name w:val="Citaatkop"/>
    <w:basedOn w:val="Citaat"/>
    <w:qFormat/>
    <w:rsid w:val="004F0068"/>
    <w:pPr>
      <w:tabs>
        <w:tab w:val="clear" w:pos="284"/>
        <w:tab w:val="clear" w:pos="567"/>
        <w:tab w:val="clear" w:pos="851"/>
        <w:tab w:val="clear" w:pos="1134"/>
        <w:tab w:val="clear" w:pos="4111"/>
        <w:tab w:val="clear" w:pos="8222"/>
      </w:tabs>
      <w:contextualSpacing w:val="0"/>
    </w:pPr>
    <w:rPr>
      <w:b/>
      <w:i w:val="0"/>
      <w:color w:val="auto"/>
    </w:rPr>
  </w:style>
  <w:style w:type="paragraph" w:customStyle="1" w:styleId="Citaatalinea">
    <w:name w:val="Citaatalinea"/>
    <w:basedOn w:val="Lijstalinea"/>
    <w:qFormat/>
    <w:rsid w:val="004F0068"/>
    <w:pPr>
      <w:spacing w:after="0"/>
    </w:pPr>
  </w:style>
  <w:style w:type="paragraph" w:styleId="Normaalweb">
    <w:name w:val="Normal (Web)"/>
    <w:basedOn w:val="Standaard"/>
    <w:uiPriority w:val="99"/>
    <w:semiHidden/>
    <w:unhideWhenUsed/>
    <w:rsid w:val="00C0609E"/>
    <w:pPr>
      <w:tabs>
        <w:tab w:val="clear" w:pos="284"/>
        <w:tab w:val="clear" w:pos="567"/>
        <w:tab w:val="clear" w:pos="851"/>
        <w:tab w:val="clear" w:pos="1134"/>
        <w:tab w:val="clear" w:pos="4111"/>
        <w:tab w:val="clear" w:pos="8222"/>
      </w:tabs>
      <w:spacing w:before="100" w:beforeAutospacing="1" w:after="100" w:afterAutospacing="1" w:line="240" w:lineRule="auto"/>
      <w:contextualSpacing w:val="0"/>
    </w:pPr>
    <w:rPr>
      <w:rFonts w:ascii="Times New Roman" w:eastAsiaTheme="minorEastAsia" w:hAnsi="Times New Roman" w:cs="Times New Roman"/>
      <w:kern w:val="0"/>
      <w:sz w:val="24"/>
      <w:lang w:eastAsia="nl-NL"/>
      <w14:ligatures w14:val="none"/>
    </w:rPr>
  </w:style>
  <w:style w:type="character" w:styleId="Verwijzingopmerking">
    <w:name w:val="annotation reference"/>
    <w:basedOn w:val="Standaardalinea-lettertype"/>
    <w:uiPriority w:val="99"/>
    <w:semiHidden/>
    <w:unhideWhenUsed/>
    <w:rsid w:val="000E747D"/>
    <w:rPr>
      <w:sz w:val="16"/>
      <w:szCs w:val="16"/>
    </w:rPr>
  </w:style>
  <w:style w:type="paragraph" w:styleId="Tekstopmerking">
    <w:name w:val="annotation text"/>
    <w:basedOn w:val="Standaard"/>
    <w:link w:val="TekstopmerkingChar"/>
    <w:uiPriority w:val="99"/>
    <w:unhideWhenUsed/>
    <w:rsid w:val="000E747D"/>
    <w:pPr>
      <w:spacing w:line="240" w:lineRule="auto"/>
    </w:pPr>
    <w:rPr>
      <w:sz w:val="20"/>
      <w:szCs w:val="20"/>
    </w:rPr>
  </w:style>
  <w:style w:type="character" w:customStyle="1" w:styleId="TekstopmerkingChar">
    <w:name w:val="Tekst opmerking Char"/>
    <w:basedOn w:val="Standaardalinea-lettertype"/>
    <w:link w:val="Tekstopmerking"/>
    <w:uiPriority w:val="99"/>
    <w:rsid w:val="000E747D"/>
    <w:rPr>
      <w:sz w:val="20"/>
      <w:szCs w:val="20"/>
    </w:rPr>
  </w:style>
  <w:style w:type="paragraph" w:styleId="Onderwerpvanopmerking">
    <w:name w:val="annotation subject"/>
    <w:basedOn w:val="Tekstopmerking"/>
    <w:next w:val="Tekstopmerking"/>
    <w:link w:val="OnderwerpvanopmerkingChar"/>
    <w:uiPriority w:val="99"/>
    <w:semiHidden/>
    <w:unhideWhenUsed/>
    <w:rsid w:val="000E747D"/>
    <w:rPr>
      <w:b/>
      <w:bCs/>
    </w:rPr>
  </w:style>
  <w:style w:type="character" w:customStyle="1" w:styleId="OnderwerpvanopmerkingChar">
    <w:name w:val="Onderwerp van opmerking Char"/>
    <w:basedOn w:val="TekstopmerkingChar"/>
    <w:link w:val="Onderwerpvanopmerking"/>
    <w:uiPriority w:val="99"/>
    <w:semiHidden/>
    <w:rsid w:val="000E747D"/>
    <w:rPr>
      <w:b/>
      <w:bCs/>
      <w:sz w:val="20"/>
      <w:szCs w:val="20"/>
    </w:rPr>
  </w:style>
  <w:style w:type="paragraph" w:styleId="Kopvaninhoudsopgave">
    <w:name w:val="TOC Heading"/>
    <w:basedOn w:val="Kop1"/>
    <w:next w:val="Standaard"/>
    <w:uiPriority w:val="39"/>
    <w:unhideWhenUsed/>
    <w:qFormat/>
    <w:rsid w:val="000E747D"/>
    <w:pPr>
      <w:numPr>
        <w:numId w:val="0"/>
      </w:numPr>
      <w:spacing w:before="240" w:after="0" w:line="259" w:lineRule="auto"/>
      <w:contextualSpacing w:val="0"/>
      <w:outlineLvl w:val="9"/>
    </w:pPr>
    <w:rPr>
      <w:rFonts w:asciiTheme="majorHAnsi" w:hAnsiTheme="majorHAnsi"/>
      <w:b w:val="0"/>
      <w:bCs w:val="0"/>
      <w:color w:val="0D0E4E" w:themeColor="accent1" w:themeShade="BF"/>
      <w:spacing w:val="0"/>
      <w:sz w:val="32"/>
    </w:rPr>
  </w:style>
  <w:style w:type="paragraph" w:styleId="Revisie">
    <w:name w:val="Revision"/>
    <w:hidden/>
    <w:uiPriority w:val="99"/>
    <w:semiHidden/>
    <w:rsid w:val="00AA4F6F"/>
    <w:pPr>
      <w:spacing w:after="0" w:line="240" w:lineRule="auto"/>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hyperlink" Target="https://zoek.officielebekendmakingen.nl/stb-2019-401.html" TargetMode="External" Id="rId18" /><Relationship Type="http://schemas.openxmlformats.org/officeDocument/2006/relationships/footer" Target="footer2.xml" Id="rId26" /><Relationship Type="http://schemas.openxmlformats.org/officeDocument/2006/relationships/image" Target="media/image1.png" Id="rId21" /><Relationship Type="http://schemas.openxmlformats.org/officeDocument/2006/relationships/footnotes" Target="footnotes.xml" Id="rId12" /><Relationship Type="http://schemas.openxmlformats.org/officeDocument/2006/relationships/hyperlink" Target="https://internetconsultatie.nl/wivo2/b1" TargetMode="External" Id="rId17" /><Relationship Type="http://schemas.openxmlformats.org/officeDocument/2006/relationships/header" Target="header2.xml" Id="rId25" /><Relationship Type="http://schemas.openxmlformats.org/officeDocument/2006/relationships/hyperlink" Target="https://www.oecdwatch.org/updated-alignment-within-reach-remaining-opportunities-to-align-the-eu-csddd-with-the-oecd-guidelines/" TargetMode="External" Id="rId16" /><Relationship Type="http://schemas.openxmlformats.org/officeDocument/2006/relationships/hyperlink" Target="https://internetconsultatie.nl/wivo2/b1" TargetMode="External" Id="rId20" /><Relationship Type="http://schemas.openxmlformats.org/officeDocument/2006/relationships/glossaryDocument" Target="glossary/document.xml" Id="rId29" /><Relationship Type="http://schemas.openxmlformats.org/officeDocument/2006/relationships/webSettings" Target="webSettings.xml" Id="rId11" /><Relationship Type="http://schemas.openxmlformats.org/officeDocument/2006/relationships/footer" Target="footer1.xml" Id="rId24" /><Relationship Type="http://schemas.openxmlformats.org/officeDocument/2006/relationships/hyperlink" Target="https://www.oecd.org/content/dam/oecd/nl/publications/reports/2023/06/oecd-guidelines-for-multinational-enterprises-on-responsible-business-conduct_a0b49990/f3667ab4-nl.pdf" TargetMode="External" Id="rId15" /><Relationship Type="http://schemas.openxmlformats.org/officeDocument/2006/relationships/header" Target="header1.xml" Id="rId23" /><Relationship Type="http://schemas.openxmlformats.org/officeDocument/2006/relationships/fontTable" Target="fontTable.xml" Id="rId28" /><Relationship Type="http://schemas.openxmlformats.org/officeDocument/2006/relationships/settings" Target="settings.xml" Id="rId10" /><Relationship Type="http://schemas.openxmlformats.org/officeDocument/2006/relationships/hyperlink" Target="https://eur-lex.europa.eu/legal-content/nl/TXT/?uri=CELEX:32026L0470" TargetMode="External" Id="rId19" /><Relationship Type="http://schemas.openxmlformats.org/officeDocument/2006/relationships/styles" Target="styles.xml" Id="rId9" /><Relationship Type="http://schemas.openxmlformats.org/officeDocument/2006/relationships/hyperlink" Target="https://www.ohchr.org/sites/default/files/documents/publications/guidingprinciplesbusinesshr_en.pdf" TargetMode="External" Id="rId14" /><Relationship Type="http://schemas.openxmlformats.org/officeDocument/2006/relationships/hyperlink" Target="https://eur-lex.europa.eu/legal-content/NL/TXT/PDF/?uri=OJ:L_202403015" TargetMode="External" Id="rId22" /><Relationship Type="http://schemas.openxmlformats.org/officeDocument/2006/relationships/hyperlink" Target="https://www.tweedekamer.nl/kamerstukken/amendementen/detail?id=2017Z01771&amp;did=2017D03680" TargetMode="External" Id="rId27" /><Relationship Type="http://schemas.openxmlformats.org/officeDocument/2006/relationships/theme" Target="theme/theme1.xml" Id="rId30" /></Relationships>
</file>

<file path=word/_rels/footnotes.xml.rels><?xml version="1.0" encoding="UTF-8" standalone="yes"?>
<Relationships xmlns="http://schemas.openxmlformats.org/package/2006/relationships"><Relationship Id="rId2" Type="http://schemas.openxmlformats.org/officeDocument/2006/relationships/hyperlink" Target="https://www.tweedekamer.nl/kamerstukken/detail?id=2026Z03522&amp;did=2026D08015" TargetMode="External"/><Relationship Id="rId1" Type="http://schemas.openxmlformats.org/officeDocument/2006/relationships/hyperlink" Target="https://parlisweb.tweedekamer.nl/parlis/document.aspx?Id=9514b3e6-e901-4cf0-ac62-e35e8e8f41d4"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1368BAAF-CF66-4F1D-90C5-4780C9586B97"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cid:1368BAAF-CF66-4F1D-90C5-4780C9586B97" TargetMode="External"/><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L1808\AppData\Local\Microsoft\Windows\INetCache\Content.Outlook\KVVJCWT5\05-TK-Stafnotiti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78A7BA47F6E4826B5CF19330D89457C"/>
        <w:category>
          <w:name w:val="Algemeen"/>
          <w:gallery w:val="placeholder"/>
        </w:category>
        <w:types>
          <w:type w:val="bbPlcHdr"/>
        </w:types>
        <w:behaviors>
          <w:behavior w:val="content"/>
        </w:behaviors>
        <w:guid w:val="{1AFD60F7-1D7E-48DA-96B4-21FF9BB60572}"/>
      </w:docPartPr>
      <w:docPartBody>
        <w:p w:rsidR="0078463B" w:rsidRDefault="002925FD">
          <w:pPr>
            <w:pStyle w:val="678A7BA47F6E4826B5CF19330D89457C"/>
          </w:pPr>
          <w:r w:rsidRPr="00841D95">
            <w:rPr>
              <w:rStyle w:val="Tekstvantijdelijkeaanduiding"/>
            </w:rPr>
            <w:t>Typ Titel</w:t>
          </w:r>
        </w:p>
      </w:docPartBody>
    </w:docPart>
    <w:docPart>
      <w:docPartPr>
        <w:name w:val="F4613055E48C46B69EC0172EC51602F3"/>
        <w:category>
          <w:name w:val="Algemeen"/>
          <w:gallery w:val="placeholder"/>
        </w:category>
        <w:types>
          <w:type w:val="bbPlcHdr"/>
        </w:types>
        <w:behaviors>
          <w:behavior w:val="content"/>
        </w:behaviors>
        <w:guid w:val="{FF31563B-3D00-40FF-A0F0-741DBE29D1D3}"/>
      </w:docPartPr>
      <w:docPartBody>
        <w:p w:rsidR="0078463B" w:rsidRDefault="002925FD">
          <w:pPr>
            <w:pStyle w:val="F4613055E48C46B69EC0172EC51602F3"/>
          </w:pPr>
          <w:r w:rsidRPr="00BF4A0B">
            <w:rPr>
              <w:rStyle w:val="Tekstvantijdelijkeaanduiding"/>
            </w:rPr>
            <w:t>Typ Titel van hoofdstuk 1</w:t>
          </w:r>
        </w:p>
      </w:docPartBody>
    </w:docPart>
    <w:docPart>
      <w:docPartPr>
        <w:name w:val="D6957349DC62497F905F635EEBCEE3BA"/>
        <w:category>
          <w:name w:val="Algemeen"/>
          <w:gallery w:val="placeholder"/>
        </w:category>
        <w:types>
          <w:type w:val="bbPlcHdr"/>
        </w:types>
        <w:behaviors>
          <w:behavior w:val="content"/>
        </w:behaviors>
        <w:guid w:val="{98FA5ABB-B59A-400F-BC44-6C63D1499102}"/>
      </w:docPartPr>
      <w:docPartBody>
        <w:p w:rsidR="00F006FC" w:rsidRDefault="009A37C2">
          <w:pPr>
            <w:pStyle w:val="D6957349DC62497F905F635EEBCEE3BA"/>
          </w:pPr>
          <w:r w:rsidRPr="000D5416">
            <w:rPr>
              <w:rStyle w:val="Tekstvantijdelijkeaanduiding"/>
            </w:rPr>
            <w:t>Typ Afzender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39D"/>
    <w:rsid w:val="000A038B"/>
    <w:rsid w:val="00200165"/>
    <w:rsid w:val="00267650"/>
    <w:rsid w:val="002925FD"/>
    <w:rsid w:val="003144A1"/>
    <w:rsid w:val="00467FCD"/>
    <w:rsid w:val="004B1106"/>
    <w:rsid w:val="00514EFB"/>
    <w:rsid w:val="005D23AE"/>
    <w:rsid w:val="005F7FEF"/>
    <w:rsid w:val="007054B6"/>
    <w:rsid w:val="0078463B"/>
    <w:rsid w:val="00827664"/>
    <w:rsid w:val="00830048"/>
    <w:rsid w:val="00847222"/>
    <w:rsid w:val="00896D7C"/>
    <w:rsid w:val="008F239D"/>
    <w:rsid w:val="009A090D"/>
    <w:rsid w:val="009A37C2"/>
    <w:rsid w:val="00B24B87"/>
    <w:rsid w:val="00B916A3"/>
    <w:rsid w:val="00C60633"/>
    <w:rsid w:val="00C964BE"/>
    <w:rsid w:val="00D40FCC"/>
    <w:rsid w:val="00D849D0"/>
    <w:rsid w:val="00E360BC"/>
    <w:rsid w:val="00F006FC"/>
    <w:rsid w:val="00F67368"/>
    <w:rsid w:val="00F84245"/>
    <w:rsid w:val="00F90EE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rPr>
      <w:color w:val="666666"/>
    </w:rPr>
  </w:style>
  <w:style w:type="paragraph" w:customStyle="1" w:styleId="D6772E5883DA49F0A263AFE42F7FD22E">
    <w:name w:val="D6772E5883DA49F0A263AFE42F7FD22E"/>
  </w:style>
  <w:style w:type="paragraph" w:customStyle="1" w:styleId="386047FDEE684B73B86B1835C728022D">
    <w:name w:val="386047FDEE684B73B86B1835C728022D"/>
  </w:style>
  <w:style w:type="paragraph" w:customStyle="1" w:styleId="09EF40BE0E8D4EFCB9C08C2D14A2B50D">
    <w:name w:val="09EF40BE0E8D4EFCB9C08C2D14A2B50D"/>
  </w:style>
  <w:style w:type="paragraph" w:customStyle="1" w:styleId="72796D7223164F74B40AAED59E442785">
    <w:name w:val="72796D7223164F74B40AAED59E442785"/>
  </w:style>
  <w:style w:type="paragraph" w:customStyle="1" w:styleId="B61AD6434AC44074B6FC054AE59F0E3E">
    <w:name w:val="B61AD6434AC44074B6FC054AE59F0E3E"/>
  </w:style>
  <w:style w:type="paragraph" w:customStyle="1" w:styleId="F42287183F0B47DF9AC4BBCF0DC7710F">
    <w:name w:val="F42287183F0B47DF9AC4BBCF0DC7710F"/>
  </w:style>
  <w:style w:type="paragraph" w:customStyle="1" w:styleId="678A7BA47F6E4826B5CF19330D89457C">
    <w:name w:val="678A7BA47F6E4826B5CF19330D89457C"/>
  </w:style>
  <w:style w:type="paragraph" w:customStyle="1" w:styleId="F4613055E48C46B69EC0172EC51602F3">
    <w:name w:val="F4613055E48C46B69EC0172EC51602F3"/>
  </w:style>
  <w:style w:type="paragraph" w:customStyle="1" w:styleId="FDB7489BAE254563A6DC1C441BB1EBB9">
    <w:name w:val="FDB7489BAE254563A6DC1C441BB1EBB9"/>
  </w:style>
  <w:style w:type="paragraph" w:customStyle="1" w:styleId="D6957349DC62497F905F635EEBCEE3BA">
    <w:name w:val="D6957349DC62497F905F635EEBCEE3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TK-365-Color">
      <a:dk1>
        <a:sysClr val="windowText" lastClr="000000"/>
      </a:dk1>
      <a:lt1>
        <a:sysClr val="window" lastClr="FFFFFF"/>
      </a:lt1>
      <a:dk2>
        <a:srgbClr val="B6C0C9"/>
      </a:dk2>
      <a:lt2>
        <a:srgbClr val="FFFFFF"/>
      </a:lt2>
      <a:accent1>
        <a:srgbClr val="121469"/>
      </a:accent1>
      <a:accent2>
        <a:srgbClr val="47A1B7"/>
      </a:accent2>
      <a:accent3>
        <a:srgbClr val="B6C0C9"/>
      </a:accent3>
      <a:accent4>
        <a:srgbClr val="E3A753"/>
      </a:accent4>
      <a:accent5>
        <a:srgbClr val="548166"/>
      </a:accent5>
      <a:accent6>
        <a:srgbClr val="C35C51"/>
      </a:accent6>
      <a:hlink>
        <a:srgbClr val="3E7D98"/>
      </a:hlink>
      <a:folHlink>
        <a:srgbClr val="6B91A1"/>
      </a:folHlink>
    </a:clrScheme>
    <a:fontScheme name="TK-365-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13</ap:Pages>
  <ap:Words>4542</ap:Words>
  <ap:Characters>24986</ap:Characters>
  <ap:DocSecurity>4</ap:DocSecurity>
  <ap:Lines>208</ap:Lines>
  <ap:Paragraphs>58</ap:Paragraphs>
  <ap:ScaleCrop>false</ap:ScaleCrop>
  <ap:LinksUpToDate>false</ap:LinksUpToDate>
  <ap:CharactersWithSpaces>29470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2026-09-18T07:44:00.0000000Z</lastPrinted>
  <dcterms:created xsi:type="dcterms:W3CDTF">2026-10-08T14:38:00.0000000Z</dcterms:created>
  <dcterms:modified xsi:type="dcterms:W3CDTF">2026-10-08T14:38:00.0000000Z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e">
    <vt:lpwstr>2026-1</vt:lpwstr>
  </property>
  <property fmtid="{D5CDD505-2E9C-101B-9397-08002B2CF9AE}" pid="3" name="Versiedatum">
    <vt:filetime>2026-05-19T10:00:00Z</vt:filetime>
  </property>
  <property fmtid="{D5CDD505-2E9C-101B-9397-08002B2CF9AE}" pid="4" name="Sjabloon">
    <vt:lpwstr>TK-Stafnotitie</vt:lpwstr>
  </property>
  <property fmtid="{D5CDD505-2E9C-101B-9397-08002B2CF9AE}" pid="5" name="ContentTypeId">
    <vt:lpwstr>0x010100652B67EEE1A68642A5D50A61AFC14375003DEE5E8563ACFC4E8C7EEB529F9C372E</vt:lpwstr>
  </property>
  <property fmtid="{D5CDD505-2E9C-101B-9397-08002B2CF9AE}" pid="6" name="Selectielijstproces">
    <vt:lpwstr>1;#47. Het structureren, ordenen, analyseren, duiden, overbrengen en presenteren van informatie ten behoeve van parlementaire processen en parlementair onderzoek|c64fbbe8-7c78-42c3-a920-8bb219caf38b</vt:lpwstr>
  </property>
  <property fmtid="{D5CDD505-2E9C-101B-9397-08002B2CF9AE}" pid="7" name="Beperking">
    <vt:lpwstr/>
  </property>
  <property fmtid="{D5CDD505-2E9C-101B-9397-08002B2CF9AE}" pid="8" name="MediaServiceImageTags">
    <vt:lpwstr/>
  </property>
  <property fmtid="{D5CDD505-2E9C-101B-9397-08002B2CF9AE}" pid="9" name="lcf76f155ced4ddcb4097134ff3c332f">
    <vt:lpwstr/>
  </property>
  <property fmtid="{D5CDD505-2E9C-101B-9397-08002B2CF9AE}" pid="10" name="_dlc_DocIdItemGuid">
    <vt:lpwstr>f93f8249-7fb0-40d0-906b-6576d0383dc4</vt:lpwstr>
  </property>
  <property fmtid="{D5CDD505-2E9C-101B-9397-08002B2CF9AE}" pid="11" name="docLang">
    <vt:lpwstr>nl</vt:lpwstr>
  </property>
</Properties>
</file>