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2026Z21560</w:t>
        <w:br/>
      </w:r>
      <w:proofErr w:type="spellEnd"/>
    </w:p>
    <w:p>
      <w:pPr>
        <w:pStyle w:val="Normal"/>
        <w:rPr>
          <w:b w:val="1"/>
          <w:bCs w:val="1"/>
        </w:rPr>
      </w:pPr>
      <w:r w:rsidR="250AE766">
        <w:rPr>
          <w:b w:val="0"/>
          <w:bCs w:val="0"/>
        </w:rPr>
        <w:t>(ingezonden 8 oktober 2026)</w:t>
        <w:br/>
      </w:r>
    </w:p>
    <w:p>
      <w:r>
        <w:t xml:space="preserve">Vragen van de leden Bamenga en Neijenhuis (beiden D66) aan de ministers van Sociale Zaken en Werkgelegenheid en van Binnenlandse Zaken en Koninkrijksrelaties over de berichtgeving over discriminatie bij de afdeling Handhaving van UWV</w:t>
      </w:r>
      <w:r>
        <w:br/>
      </w:r>
    </w:p>
    <w:p>
      <w:pPr>
        <w:pStyle w:val="ListParagraph"/>
        <w:numPr>
          <w:ilvl w:val="0"/>
          <w:numId w:val="100521660"/>
        </w:numPr>
        <w:ind w:left="360"/>
      </w:pPr>
      <w:r>
        <w:t xml:space="preserve">Bent u bekend met de berichtgeving van het Algemeen Dagblad en EenVandaag die wijst op discriminatie, racisme en etnisch profileren bij de afdeling Handhaving van UWV?</w:t>
      </w:r>
      <w:r>
        <w:br/>
      </w:r>
    </w:p>
    <w:p>
      <w:pPr>
        <w:pStyle w:val="ListParagraph"/>
        <w:numPr>
          <w:ilvl w:val="0"/>
          <w:numId w:val="100521660"/>
        </w:numPr>
        <w:ind w:left="360"/>
      </w:pPr>
      <w:r>
        <w:t xml:space="preserve">Deelt u de mening dat selecteren op ‘land van herkomst’ en zwangerschap discriminatie is?</w:t>
      </w:r>
      <w:r>
        <w:br/>
      </w:r>
    </w:p>
    <w:p>
      <w:pPr>
        <w:pStyle w:val="ListParagraph"/>
        <w:numPr>
          <w:ilvl w:val="0"/>
          <w:numId w:val="100521660"/>
        </w:numPr>
        <w:ind w:left="360"/>
      </w:pPr>
      <w:r>
        <w:t xml:space="preserve">Sinds wanneer stonden de risicokenmerken ‘land van herkomst’ en zwangerschap in de werkinstructie van de afdeling Handhaving en wanneer zijn deze definitief verwijderd?</w:t>
      </w:r>
      <w:r>
        <w:br/>
      </w:r>
    </w:p>
    <w:p>
      <w:pPr>
        <w:pStyle w:val="ListParagraph"/>
        <w:numPr>
          <w:ilvl w:val="0"/>
          <w:numId w:val="100521660"/>
        </w:numPr>
        <w:ind w:left="360"/>
      </w:pPr>
      <w:r>
        <w:t xml:space="preserve">Heeft u eerder signalen of klachten ontvangen over discriminatie in de dienstverlening en/of in de werkcultuur van de afdeling Handhaving? Zo ja, kunt u aangeven wat de aard en omvang van deze signalen of klachten waren, welke maatregelen heeft u daarop getroffen, en in hoeverre deze naar tevredenheid van de melder waren?</w:t>
      </w:r>
      <w:r>
        <w:br/>
      </w:r>
    </w:p>
    <w:p>
      <w:pPr>
        <w:pStyle w:val="ListParagraph"/>
        <w:numPr>
          <w:ilvl w:val="0"/>
          <w:numId w:val="100521660"/>
        </w:numPr>
        <w:ind w:left="360"/>
      </w:pPr>
      <w:r>
        <w:t xml:space="preserve">Heeft u signalen of klachten ontvangen over discriminatie op andere gronden dan land van herkomst of zwangerschap in de dienstverlening en/of in de werkcultuur van de afdeling Handhaving?</w:t>
      </w:r>
      <w:r>
        <w:br/>
      </w:r>
    </w:p>
    <w:p>
      <w:pPr>
        <w:pStyle w:val="ListParagraph"/>
        <w:numPr>
          <w:ilvl w:val="0"/>
          <w:numId w:val="100521660"/>
        </w:numPr>
        <w:ind w:left="360"/>
      </w:pPr>
      <w:r>
        <w:t xml:space="preserve">Deelt u de mening dat signalen van mogelijke discriminatie, zoals de uitkomst van de interne analyse van UWV, direct bij de minister dienen te worden gemeld, ook als vervolgonderzoek nog plaatsvindt?</w:t>
      </w:r>
      <w:r>
        <w:br/>
      </w:r>
    </w:p>
    <w:p>
      <w:pPr>
        <w:pStyle w:val="ListParagraph"/>
        <w:numPr>
          <w:ilvl w:val="0"/>
          <w:numId w:val="100521660"/>
        </w:numPr>
        <w:ind w:left="360"/>
      </w:pPr>
      <w:r>
        <w:t xml:space="preserve">Welke afspraken gelden momenteel binnen de rijksoverheid voor de omgang met ambtelijke signalen van mogelijke discriminatie als gevolg van beleid en/of op de werkvloer?</w:t>
      </w:r>
      <w:r>
        <w:br/>
      </w:r>
    </w:p>
    <w:p>
      <w:pPr>
        <w:pStyle w:val="ListParagraph"/>
        <w:numPr>
          <w:ilvl w:val="0"/>
          <w:numId w:val="100521660"/>
        </w:numPr>
        <w:ind w:left="360"/>
      </w:pPr>
      <w:r>
        <w:t xml:space="preserve">Acht u deze afspraken voldoende, gelet op het feit dat de signalen u pas laat hebben bereikt en gelet op de stelling in de berichtgeving dat niets is gedaan met signalen over de werkcultuur?</w:t>
      </w:r>
      <w:r>
        <w:br/>
      </w:r>
    </w:p>
    <w:p>
      <w:pPr>
        <w:pStyle w:val="ListParagraph"/>
        <w:numPr>
          <w:ilvl w:val="0"/>
          <w:numId w:val="100521660"/>
        </w:numPr>
        <w:ind w:left="360"/>
      </w:pPr>
      <w:r>
        <w:t xml:space="preserve">Kunt u aangeven wanneer de maatregelen gericht op de werkcultuur bij de afdeling, zoals door u geschetst in uw Kamerbrief (2026D48782), wat u betreft voldoende effectief zijn? Welke doelen stelt u hierbij?</w:t>
      </w:r>
      <w:r>
        <w:br/>
      </w:r>
    </w:p>
    <w:p>
      <w:pPr>
        <w:pStyle w:val="ListParagraph"/>
        <w:numPr>
          <w:ilvl w:val="0"/>
          <w:numId w:val="100521660"/>
        </w:numPr>
        <w:ind w:left="360"/>
      </w:pPr>
      <w:r>
        <w:t xml:space="preserve">Welke maatregelen treft u om slachtoffers van discriminatie op de werkvloer van de afdeling te beschermen, daders aan te pakken en bewustwording te creëren?</w:t>
      </w:r>
      <w:r>
        <w:br/>
      </w:r>
    </w:p>
    <w:p>
      <w:pPr>
        <w:pStyle w:val="ListParagraph"/>
        <w:numPr>
          <w:ilvl w:val="0"/>
          <w:numId w:val="100521660"/>
        </w:numPr>
        <w:ind w:left="360"/>
      </w:pPr>
      <w:r>
        <w:t xml:space="preserve">Kunt u aangeven waarom aanvankelijk door UWV is gekozen voor een interne analyse na vermoedens van mogelijke discriminatie, in plaats van direct een onafhankelijk extern onderzoek?</w:t>
      </w:r>
      <w:r>
        <w:br/>
      </w:r>
    </w:p>
    <w:p>
      <w:pPr>
        <w:pStyle w:val="ListParagraph"/>
        <w:numPr>
          <w:ilvl w:val="0"/>
          <w:numId w:val="100521660"/>
        </w:numPr>
        <w:ind w:left="360"/>
      </w:pPr>
      <w:r>
        <w:t xml:space="preserve">Hoe beoordeelt u de stelling in het Algemeen Dagblad dat het KPMG-onderzoek niet primair gericht is op het onderzoeken van discriminatie, maar op verschillen in de werkwijze per kantoor?</w:t>
      </w:r>
      <w:r>
        <w:br/>
      </w:r>
    </w:p>
    <w:p>
      <w:pPr>
        <w:pStyle w:val="ListParagraph"/>
        <w:numPr>
          <w:ilvl w:val="0"/>
          <w:numId w:val="100521660"/>
        </w:numPr>
        <w:ind w:left="360"/>
      </w:pPr>
      <w:r>
        <w:t xml:space="preserve">Met welke onderzoeksvraag is het KPMG-onderzoek in januari 2026 van start gegaan? Was het onderzoeken van discriminatie daar expliciet onderdeel van?</w:t>
      </w:r>
      <w:r>
        <w:br/>
      </w:r>
    </w:p>
    <w:p>
      <w:pPr>
        <w:pStyle w:val="ListParagraph"/>
        <w:numPr>
          <w:ilvl w:val="0"/>
          <w:numId w:val="100521660"/>
        </w:numPr>
        <w:ind w:left="360"/>
      </w:pPr>
      <w:r>
        <w:t xml:space="preserve">Is de richting van het KPMG-onderzoek gaandeweg aangepast? Zo ja, waarom?</w:t>
      </w:r>
      <w:r>
        <w:br/>
      </w:r>
    </w:p>
    <w:p>
      <w:pPr>
        <w:pStyle w:val="ListParagraph"/>
        <w:numPr>
          <w:ilvl w:val="0"/>
          <w:numId w:val="100521660"/>
        </w:numPr>
        <w:ind w:left="360"/>
      </w:pPr>
      <w:r>
        <w:t xml:space="preserve">Heeft de afdeling Handhaving van UWV de discriminatietoets voor publieke dienstverlening gebruikt? Zo nee, waarom niet? Bent u bereid dit alsnog te doen?</w:t>
      </w:r>
      <w:r>
        <w:br/>
      </w:r>
    </w:p>
    <w:p>
      <w:pPr>
        <w:pStyle w:val="ListParagraph"/>
        <w:numPr>
          <w:ilvl w:val="0"/>
          <w:numId w:val="100521660"/>
        </w:numPr>
        <w:ind w:left="360"/>
      </w:pPr>
      <w:r>
        <w:t xml:space="preserve">Bent u bereid de gehanteerde algoritmes en risicoprofielen van het UWV door te lichten op mogelijke (indirecte) discriminatie en de Kamer over de uitkomsten te informeren?</w:t>
      </w:r>
      <w:r>
        <w:br/>
      </w:r>
    </w:p>
    <w:p>
      <w:pPr>
        <w:pStyle w:val="ListParagraph"/>
        <w:numPr>
          <w:ilvl w:val="0"/>
          <w:numId w:val="100521660"/>
        </w:numPr>
        <w:ind w:left="360"/>
      </w:pPr>
      <w:r>
        <w:t xml:space="preserve">Maakt UWV gebruik van geautomatiseerde selecties van uitkeringsgerechtigden voor controles op fraude? Zo ja, worden historische gegevens, waaronder uitkomsten van oudere fraudecontroles, gebruikt om dergelijke systemen te trainen?</w:t>
      </w:r>
      <w:r>
        <w:br/>
      </w:r>
    </w:p>
    <w:p>
      <w:pPr>
        <w:pStyle w:val="ListParagraph"/>
        <w:numPr>
          <w:ilvl w:val="0"/>
          <w:numId w:val="100521660"/>
        </w:numPr>
        <w:ind w:left="360"/>
      </w:pPr>
      <w:r>
        <w:t xml:space="preserve">Is door de afdeling Handhaving overwogen om over te gaan tot aselecte controles? Zo nee, waarom niet? Bent u bereid dit alsnog te doen?</w:t>
      </w:r>
      <w:r>
        <w:br/>
      </w:r>
    </w:p>
    <w:p>
      <w:pPr>
        <w:pStyle w:val="ListParagraph"/>
        <w:numPr>
          <w:ilvl w:val="0"/>
          <w:numId w:val="100521660"/>
        </w:numPr>
        <w:ind w:left="360"/>
      </w:pPr>
      <w:r>
        <w:t xml:space="preserve">Op basis van welke risicokenmerken worden de controles door de afdeling Handhaving op dit moment uitgevoerd?</w:t>
      </w:r>
      <w:r>
        <w:br/>
      </w:r>
    </w:p>
    <w:p>
      <w:pPr>
        <w:pStyle w:val="ListParagraph"/>
        <w:numPr>
          <w:ilvl w:val="0"/>
          <w:numId w:val="100521660"/>
        </w:numPr>
        <w:ind w:left="360"/>
      </w:pPr>
      <w:r>
        <w:t xml:space="preserve">Kunt u aangeven welke maatregelen UWV heeft getroffen sinds het kinderopvangtoeslagenschandaal om discriminatie en etnisch profileren in de eigen dienstverlening te voorkomen en bestrijden?</w:t>
      </w:r>
      <w:r>
        <w:br/>
      </w:r>
    </w:p>
    <w:p>
      <w:pPr>
        <w:pStyle w:val="ListParagraph"/>
        <w:numPr>
          <w:ilvl w:val="0"/>
          <w:numId w:val="100521660"/>
        </w:numPr>
        <w:ind w:left="360"/>
      </w:pPr>
      <w:r>
        <w:t xml:space="preserve">Kunt u aangeven op welke manier UWV de uitspraak in de zaak aangespannen door Amnesty c.s. tegen de Staat (1) heeft geïmplementeerd?</w:t>
      </w:r>
      <w:r>
        <w:br/>
      </w:r>
    </w:p>
    <w:p>
      <w:pPr>
        <w:pStyle w:val="ListParagraph"/>
        <w:numPr>
          <w:ilvl w:val="0"/>
          <w:numId w:val="100521660"/>
        </w:numPr>
        <w:ind w:left="360"/>
      </w:pPr>
      <w:r>
        <w:t xml:space="preserve">Kunt u aangeven of en op welke manier UWV het toetsingskader voor risicoprofielen, ontwikkeld door het College voor de Rechten van de Mens, heeft geïmplementeerd?</w:t>
      </w:r>
      <w:r>
        <w:br/>
      </w:r>
    </w:p>
    <w:p>
      <w:pPr>
        <w:pStyle w:val="ListParagraph"/>
        <w:numPr>
          <w:ilvl w:val="0"/>
          <w:numId w:val="100521660"/>
        </w:numPr>
        <w:ind w:left="360"/>
      </w:pPr>
      <w:r>
        <w:t xml:space="preserve">Welke vervolgstappen bent u van plan te nemen indien het onderzoeksresultaat wijst op discriminerend handelen?</w:t>
      </w:r>
      <w:r>
        <w:br/>
      </w:r>
    </w:p>
    <w:p>
      <w:pPr>
        <w:pStyle w:val="ListParagraph"/>
        <w:numPr>
          <w:ilvl w:val="0"/>
          <w:numId w:val="100521660"/>
        </w:numPr>
        <w:ind w:left="360"/>
      </w:pPr>
      <w:r>
        <w:t xml:space="preserve">Welke lessen neemt u in een eventuele hersteloperatie voor gedupeerden mee uit de handelswijze bij de hersteloperatie na discriminerende risicoprofilering bij DUO, waaronder de informatievoorziening aan burgers, dossierherbeoordeling en compensatie?</w:t>
      </w:r>
      <w:r>
        <w:br/>
      </w:r>
    </w:p>
    <w:p>
      <w:r>
        <w:t xml:space="preserve">(1) Gerechtshof Den Haag, uitspraak 14 februari 2023, publicatienummer ECLI:NL:GHDHA:2023:173</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Jimmy Dijk (SP), ingezonden 7 oktober 2026 (vraagnummer 2026Z21339)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