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2026Z21552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8 oktober 2026)</w:t>
        <w:br/>
      </w:r>
    </w:p>
    <w:p>
      <w:r>
        <w:t xml:space="preserve">Vragen van het lid Keijzer (Keijzer) aan de minister van Financiën over het zicht op de doelmatigheid van agentschappen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Heeft u kennisgenomen van het interdepartementaal beleidsonderzoek «IBO Agentschappen: Samen werken aan publieke waarde», waarin is vastgesteld dat sturing op doelmatigheidsindicatoren in de praktijk beperkt plaatsvindt en dat een kwantitatieve vergelijking van doelmatigheid over de jaren heen lastig is?[1]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Klopt het dat de Regeling agentschappen voorschrijft dat u samen met de vakminister ten minste eens per vijf jaar de doelmatigheid en doeltreffendheid van elk van de 28 agentschappen beoordeelt en het rapport openbaar maakt?[2]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Kunt u de Kamer een overzicht sturen van alle agentschappen met per agentschap de datum van de laatste doorlichting, het oordeel over de doelmatigheid en de datum waarop de volgende doorlichting is voorzien?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Bij hoeveel agentschappen ligt de laatste doorlichting langer dan vijf jaar terug? Bij welke, en wat is daarvan de reden?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Hoeveel voorbeelden hebben in de afgelopen vijf jaar geleid tot aanpassing van de bekostiging, tarieven, governance of agentschapsstatus? Kunt u dit per agentschap specificeren?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Bij hoeveel agentschappen is over de afgelopen vijf jaar een positieve doelmatigheidsontwikkeling vastgesteld en bij hoeveel kon die ontwikkeling niet worden vastgesteld door het ontbreken van bruikbare indicatoren?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Welke maatregelen zijn sinds de kabinetsreactie op het beleidsonderzoek genomen om de sturing op doelmatigheid te verbeteren[3], en waaruit blijkt dat die sturing daadwerkelijk is verbeterd?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Wat is er bij de herziening van de Regeling agentschappen per 1 januari 2025 gewijzigd aan de eisen die aan de beoordeling van doelmatigheid worden gesteld? Zijn die eisen aangescherpt, gelijk gebleven of verruimd?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Bent u bereid de Kamer voortaan jaarlijks één rijksbreed overzicht te sturen waaruit blijkt welke agentschappen zijn doorgelicht, wat het oordeel was, welke maatregelen zijn afgesproken en wanneer opnieuw wordt beoordeeld?</w:t>
      </w:r>
      <w:r>
        <w:br/>
      </w:r>
    </w:p>
    <w:p>
      <w:pPr>
        <w:pStyle w:val="ListParagraph"/>
        <w:numPr>
          <w:ilvl w:val="0"/>
          <w:numId w:val="100521610"/>
        </w:numPr>
        <w:ind w:left="360"/>
      </w:pPr>
      <w:r>
        <w:t xml:space="preserve">Kunt u deze vragen afzonderlijk van elkaar beantwoorden?</w:t>
      </w:r>
      <w:r>
        <w:br/>
      </w:r>
    </w:p>
    <w:p>
      <w:r>
        <w:t xml:space="preserve"> </w:t>
      </w:r>
      <w:r>
        <w:br/>
      </w:r>
    </w:p>
    <w:p>
      <w:r>
        <w:t xml:space="preserve">[1] Kamerstuk 25 268, nr. 199.</w:t>
      </w:r>
      <w:r>
        <w:br/>
      </w:r>
    </w:p>
    <w:p>
      <w:r>
        <w:t xml:space="preserve">[2] Art. 16 Regeling agentschappen 2024</w:t>
      </w:r>
      <w:r>
        <w:br/>
      </w:r>
    </w:p>
    <w:p>
      <w:r>
        <w:t xml:space="preserve">[3] Kamerstuk 31 490, nr. 323.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