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2026Z21358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7 oktober 2026)</w:t>
        <w:br/>
      </w:r>
    </w:p>
    <w:p>
      <w:r>
        <w:t xml:space="preserve">Vragen van het lid Van Houwelingen (FVD) aan de staatssecretaris van Financiën over cryptoactiva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1570"/>
        </w:numPr>
        <w:ind w:left="360"/>
      </w:pPr>
      <w:r>
        <w:t xml:space="preserve">Waarom zijn cryptoactiva, zoals gedefinieerd in de Markets in Crypto Asset Regulation en onze eigen Wet financieel toezicht (Wft), niet opgenomen in de vermogenswinstbelasting als financiële instrumenten?</w:t>
      </w:r>
      <w:r>
        <w:br/>
      </w:r>
    </w:p>
    <w:p>
      <w:pPr>
        <w:pStyle w:val="ListParagraph"/>
        <w:numPr>
          <w:ilvl w:val="0"/>
          <w:numId w:val="100521570"/>
        </w:numPr>
        <w:ind w:left="360"/>
      </w:pPr>
      <w:r>
        <w:t xml:space="preserve">Is de staatssecretaris bereid om voor cryptoactiva achterwaartse verliesverrekening mogelijk te maken, zodat beleggers in cryptoactiva straks niet over een verlies belasting hoeven te betalen?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149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1490">
    <w:abstractNumId w:val="10052149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