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3DF" w:rsidP="00A023DF" w:rsidRDefault="00A023DF" w14:paraId="4FCF7D1E" w14:textId="77777777">
      <w:bookmarkStart w:name="_GoBack" w:id="0"/>
      <w:bookmarkEnd w:id="0"/>
    </w:p>
    <w:p w:rsidR="00A023DF" w:rsidP="00A023DF" w:rsidRDefault="00A023DF" w14:paraId="65FFC675" w14:textId="77777777">
      <w:r>
        <w:t>Geachte voorzitter,</w:t>
      </w:r>
    </w:p>
    <w:p w:rsidR="00A023DF" w:rsidP="00A023DF" w:rsidRDefault="00A023DF" w14:paraId="206D5930" w14:textId="77777777"/>
    <w:p w:rsidR="00A023DF" w:rsidP="00276879" w:rsidRDefault="00A023DF" w14:paraId="1E034262" w14:textId="10F42C87">
      <w:r>
        <w:t xml:space="preserve">Tijdens het Commissiedebat Water op 25 juni jl. is </w:t>
      </w:r>
      <w:r w:rsidR="002F6287">
        <w:t xml:space="preserve">aan de Kamer </w:t>
      </w:r>
      <w:r>
        <w:t xml:space="preserve">toegezegd om na het zomerreces terug te komen op een aantal onderwerpen. Met deze brief </w:t>
      </w:r>
      <w:r w:rsidR="002F6287">
        <w:t>wordt de Kamer hierover geïnformeerd en wordt</w:t>
      </w:r>
      <w:r>
        <w:t xml:space="preserve"> tevens in</w:t>
      </w:r>
      <w:r w:rsidR="002F6287">
        <w:t>gegaan</w:t>
      </w:r>
      <w:r>
        <w:t xml:space="preserve"> op enkele andere moties en toezeggingen. Daarnaast </w:t>
      </w:r>
      <w:r w:rsidR="002F6287">
        <w:t>wordt</w:t>
      </w:r>
      <w:r>
        <w:t xml:space="preserve"> een kabinetsreactie </w:t>
      </w:r>
      <w:r w:rsidR="002F6287">
        <w:t xml:space="preserve">gegeven </w:t>
      </w:r>
      <w:r>
        <w:t xml:space="preserve">op het Rli-advies ‘Zorg voor Water’ en </w:t>
      </w:r>
      <w:r w:rsidR="002F6287">
        <w:t xml:space="preserve">bevat deze brief </w:t>
      </w:r>
      <w:r>
        <w:t xml:space="preserve">een reactie op een aantal position papers m.b.t. de herziening van de </w:t>
      </w:r>
      <w:r w:rsidR="00276879">
        <w:t>Kaderrichtlijn Water (KRW)</w:t>
      </w:r>
      <w:r>
        <w:t xml:space="preserve">. </w:t>
      </w:r>
    </w:p>
    <w:p w:rsidR="00A023DF" w:rsidP="00A023DF" w:rsidRDefault="00A023DF" w14:paraId="7E166910" w14:textId="77777777"/>
    <w:p w:rsidR="00A023DF" w:rsidP="00A023DF" w:rsidRDefault="00A023DF" w14:paraId="3CC9853F" w14:textId="77777777">
      <w:pPr>
        <w:pStyle w:val="WitregelW1bodytekst"/>
        <w:numPr>
          <w:ilvl w:val="0"/>
          <w:numId w:val="24"/>
        </w:numPr>
        <w:rPr>
          <w:b/>
          <w:bCs/>
        </w:rPr>
      </w:pPr>
      <w:r>
        <w:rPr>
          <w:b/>
          <w:bCs/>
        </w:rPr>
        <w:t>Drinkwater</w:t>
      </w:r>
    </w:p>
    <w:p w:rsidR="00A023DF" w:rsidP="00A023DF" w:rsidRDefault="00A023DF" w14:paraId="1A09943C" w14:textId="77777777">
      <w:pPr>
        <w:rPr>
          <w:i/>
          <w:iCs/>
        </w:rPr>
      </w:pPr>
    </w:p>
    <w:p w:rsidRPr="00DE2216" w:rsidR="00A023DF" w:rsidP="00A023DF" w:rsidRDefault="00A023DF" w14:paraId="7C888D2C" w14:textId="77777777">
      <w:pPr>
        <w:rPr>
          <w:i/>
          <w:iCs/>
        </w:rPr>
      </w:pPr>
      <w:r>
        <w:rPr>
          <w:i/>
          <w:iCs/>
        </w:rPr>
        <w:t>Nationaal Plan van Aanpak Drinkwaterbesparing</w:t>
      </w:r>
    </w:p>
    <w:p w:rsidR="00A023DF" w:rsidP="00A023DF" w:rsidRDefault="00A023DF" w14:paraId="1D9CC6D9" w14:textId="5C9F3AA3">
      <w:r>
        <w:t>Op 1 juli jl. is in het Bestuurlijk Overleg Water het herijkte Nationaal Plan van Aanpak Drinkwaterbesparing</w:t>
      </w:r>
      <w:r w:rsidR="00DB0CA4">
        <w:t xml:space="preserve"> (NPvA)</w:t>
      </w:r>
      <w:r>
        <w:t xml:space="preserve"> vastgesteld. Daarmee zet het ministerie </w:t>
      </w:r>
      <w:r w:rsidR="002F6287">
        <w:t xml:space="preserve">van </w:t>
      </w:r>
      <w:r>
        <w:t xml:space="preserve">IenW samen met ruim 30 publieke en private partijen de aanpak </w:t>
      </w:r>
      <w:r w:rsidR="00DB0CA4">
        <w:t xml:space="preserve">voort </w:t>
      </w:r>
      <w:r>
        <w:t xml:space="preserve">om het drinkwatergebruik met 20% te verminderen. Naast het werken aan voldoende bronnen voor drinkwater draagt dit plan bij aan het borgen van voldoende drinkwaterbeschikbaarheid voor nu en in de toekomst. Via deze brief wordt het herijkte plan aangeboden en </w:t>
      </w:r>
      <w:r w:rsidR="002F6287">
        <w:t>wordt</w:t>
      </w:r>
      <w:r>
        <w:t xml:space="preserve"> de motie van het lid </w:t>
      </w:r>
      <w:r w:rsidRPr="002B0118" w:rsidR="002B0118">
        <w:t>Kostić</w:t>
      </w:r>
      <w:r w:rsidR="002B0118">
        <w:t xml:space="preserve"> </w:t>
      </w:r>
      <w:r w:rsidR="002F6287">
        <w:t>afgedaan</w:t>
      </w:r>
      <w:r>
        <w:rPr>
          <w:rStyle w:val="FootnoteReference"/>
        </w:rPr>
        <w:footnoteReference w:id="1"/>
      </w:r>
      <w:r>
        <w:t>.</w:t>
      </w:r>
    </w:p>
    <w:p w:rsidR="00A023DF" w:rsidP="00A023DF" w:rsidRDefault="00A023DF" w14:paraId="22854209" w14:textId="77777777"/>
    <w:p w:rsidR="00A023DF" w:rsidP="00A023DF" w:rsidRDefault="00A023DF" w14:paraId="6D430685" w14:textId="5763E595">
      <w:r>
        <w:t>Het NPvA is in 2024 tot stand gekomen</w:t>
      </w:r>
      <w:r>
        <w:rPr>
          <w:rStyle w:val="FootnoteReference"/>
        </w:rPr>
        <w:footnoteReference w:id="2"/>
      </w:r>
      <w:r>
        <w:t xml:space="preserve">, samen met </w:t>
      </w:r>
      <w:r w:rsidR="00DB0CA4">
        <w:t>een brede groep publieke en private partners</w:t>
      </w:r>
      <w:r w:rsidR="00DB0CA4">
        <w:rPr>
          <w:rStyle w:val="FootnoteReference"/>
        </w:rPr>
        <w:footnoteReference w:id="3"/>
      </w:r>
      <w:r>
        <w:t xml:space="preserve">. </w:t>
      </w:r>
      <w:r w:rsidR="00BC6D82">
        <w:t>De aanpak sluit aan bij de doelstellingen uit</w:t>
      </w:r>
      <w:r>
        <w:t xml:space="preserve"> </w:t>
      </w:r>
      <w:r w:rsidR="00B50769">
        <w:t xml:space="preserve">de brief </w:t>
      </w:r>
      <w:r>
        <w:t xml:space="preserve">Water en Bodem Sturend </w:t>
      </w:r>
      <w:r w:rsidR="00BC6D82">
        <w:t>van</w:t>
      </w:r>
      <w:r>
        <w:t xml:space="preserve"> 2022 waar</w:t>
      </w:r>
      <w:r w:rsidRPr="00B50769" w:rsidR="00B50769">
        <w:t>in is opgenomen dat</w:t>
      </w:r>
      <w:r>
        <w:t xml:space="preserve"> we</w:t>
      </w:r>
      <w:r w:rsidRPr="003E3EEC">
        <w:rPr>
          <w:i/>
          <w:iCs/>
        </w:rPr>
        <w:t xml:space="preserve"> </w:t>
      </w:r>
      <w:r w:rsidRPr="00F93AB4">
        <w:t>toewerken</w:t>
      </w:r>
      <w:r w:rsidRPr="003E3EEC">
        <w:rPr>
          <w:i/>
          <w:iCs/>
        </w:rPr>
        <w:t xml:space="preserve"> </w:t>
      </w:r>
      <w:r>
        <w:rPr>
          <w:i/>
          <w:iCs/>
        </w:rPr>
        <w:t>“</w:t>
      </w:r>
      <w:r w:rsidRPr="003E3EEC">
        <w:rPr>
          <w:i/>
          <w:iCs/>
        </w:rPr>
        <w:t>naar een drinkwatergebruik per hoofd van de bevolking van 100 liter in 2035 (thans 125 liter) en beperken laagwaardig gebruik van drinkwater. Grootverbruikers vragen we het drinkwatergebruik ook met 20% te reduceren. Zo beperken we het effect van toename van de watervraag in relatie tot de schaarsere beschikbaarheid van water</w:t>
      </w:r>
      <w:r w:rsidRPr="00400138">
        <w:t>.</w:t>
      </w:r>
      <w:r>
        <w:t>”</w:t>
      </w:r>
      <w:r w:rsidR="00B50769">
        <w:rPr>
          <w:rStyle w:val="FootnoteReference"/>
        </w:rPr>
        <w:footnoteReference w:id="4"/>
      </w:r>
    </w:p>
    <w:p w:rsidR="00A023DF" w:rsidP="00A023DF" w:rsidRDefault="00A023DF" w14:paraId="3F5DFF72" w14:textId="77777777"/>
    <w:p w:rsidR="00A023DF" w:rsidP="00A023DF" w:rsidRDefault="00A023DF" w14:paraId="141D9E3F" w14:textId="3383E372">
      <w:r>
        <w:lastRenderedPageBreak/>
        <w:t xml:space="preserve">Sinds de start van het NPvA is veel voortgang geboekt: het merendeel van </w:t>
      </w:r>
      <w:r w:rsidR="000223B4">
        <w:t xml:space="preserve">de </w:t>
      </w:r>
      <w:r>
        <w:t>maatregelen is uitgerold, gerichte onderzoeken zijn uitgevoerd en er is hard gewerkt aan het vergroten van de bewustwording. Een tastbaar resultaat is bijvoorbeeld de lancering van de eerste nationale campagne drinkwaterbesparing ‘</w:t>
      </w:r>
      <w:r w:rsidRPr="006B4934">
        <w:rPr>
          <w:i/>
          <w:iCs/>
        </w:rPr>
        <w:t>Word geen douchebag</w:t>
      </w:r>
      <w:r w:rsidR="002750F0">
        <w:rPr>
          <w:i/>
          <w:iCs/>
        </w:rPr>
        <w:t>.</w:t>
      </w:r>
      <w:r w:rsidRPr="006B4934">
        <w:rPr>
          <w:i/>
          <w:iCs/>
        </w:rPr>
        <w:t xml:space="preserve"> </w:t>
      </w:r>
      <w:r w:rsidR="002750F0">
        <w:rPr>
          <w:i/>
          <w:iCs/>
        </w:rPr>
        <w:t>F</w:t>
      </w:r>
      <w:r w:rsidRPr="006B4934">
        <w:rPr>
          <w:i/>
          <w:iCs/>
        </w:rPr>
        <w:t xml:space="preserve">ris in 5 minuten’ </w:t>
      </w:r>
      <w:r>
        <w:t>op 12 juni jl. We zien ook steeds meer goede voorbeelden van hoe in de praktijk al wordt gewerkt aan drinkwaterbesparing, bijvoorbeeld in de levensmiddelenindustrie</w:t>
      </w:r>
      <w:r w:rsidRPr="002750F0" w:rsidR="002750F0">
        <w:t xml:space="preserve"> </w:t>
      </w:r>
      <w:r w:rsidR="002750F0">
        <w:t>waar een aantal toonaangevende bedrijven met innovatieve maatregelen en slimme procesoptimalisatie al een flinke reductie in hun drinkwatergebruik heeft gerealiseerd</w:t>
      </w:r>
      <w:r>
        <w:t xml:space="preserve">. Deze activiteiten hebben waardevolle kennis samengebracht en nieuwe inzichten opgeleverd over gedrag, technologie en het effect van interventies bij huishoudens, nieuwbouw en zakelijk gebruik. </w:t>
      </w:r>
    </w:p>
    <w:p w:rsidR="00A023DF" w:rsidP="00A023DF" w:rsidRDefault="00A023DF" w14:paraId="4F4C8498" w14:textId="77777777"/>
    <w:p w:rsidR="00A023DF" w:rsidP="00A023DF" w:rsidRDefault="00A023DF" w14:paraId="45878D6A" w14:textId="0A5C0298">
      <w:r>
        <w:t>Tegelijkertijd laten de feitelijke gebruikscijfers zien dat we er nog niet zijn</w:t>
      </w:r>
      <w:r>
        <w:rPr>
          <w:vertAlign w:val="superscript"/>
        </w:rPr>
        <w:footnoteReference w:id="5"/>
      </w:r>
      <w:r>
        <w:t xml:space="preserve">. </w:t>
      </w:r>
      <w:r w:rsidR="000E485A">
        <w:t>In 2025 gebruikte</w:t>
      </w:r>
      <w:r w:rsidR="00B50769">
        <w:t>n</w:t>
      </w:r>
      <w:r w:rsidR="000E485A">
        <w:t xml:space="preserve"> Nederlanders gemiddeld nog ongeveer 119 liter per persoon per dag. </w:t>
      </w:r>
      <w:r>
        <w:t xml:space="preserve">Bewuster en zuiniger omgaan met drinkwater is een transitie die tijd kost. Structurele veranderingen in gedrag, techniek en beleidskaders laten zich niet van de ene op de andere dag realiseren. De voortgang van de afgelopen twee jaar laat zien dat we op de goede weg zitten, maar ook dat continue monitoring en bijsturing essentieel blijven. Daarom is in april 2024 de bestuurlijke afspraak gemaakt om het NPvA Drinkwaterbesparing tweejaarlijks te herijken. Zo kan de aanpak bijgestuurd worden en kunnen we inspelen op ontwikkelingen. </w:t>
      </w:r>
    </w:p>
    <w:p w:rsidR="00A023DF" w:rsidP="00A023DF" w:rsidRDefault="00A023DF" w14:paraId="7C48FF4F" w14:textId="77777777"/>
    <w:p w:rsidR="00A023DF" w:rsidP="00A023DF" w:rsidRDefault="00A023DF" w14:paraId="177777CE" w14:textId="77777777">
      <w:r>
        <w:t>De urgentie om aan drinkwaterbesparing te blijven werken is afgelopen jaar herbevestigd door het Rijksinstituut voor Volksgezondheid en Milieu (RIVM) die in hun rapportage ‘Drinkwatervoorziening van de toekomst’ (maart 2025)</w:t>
      </w:r>
      <w:r>
        <w:rPr>
          <w:vertAlign w:val="superscript"/>
        </w:rPr>
        <w:footnoteReference w:id="6"/>
      </w:r>
      <w:r>
        <w:t xml:space="preserve"> concludeert dat “</w:t>
      </w:r>
      <w:r w:rsidRPr="006B4934">
        <w:rPr>
          <w:i/>
          <w:iCs/>
        </w:rPr>
        <w:t>Aanpak drinkwatertekort na 2030 vraagt om besparing en gebruik van nieuwe bronnen</w:t>
      </w:r>
      <w:r>
        <w:t>”. Ook de Algemene Rekenkamer stelt in hun onderzoek</w:t>
      </w:r>
      <w:r>
        <w:rPr>
          <w:vertAlign w:val="superscript"/>
        </w:rPr>
        <w:footnoteReference w:id="7"/>
      </w:r>
      <w:r>
        <w:t xml:space="preserve"> van mei 2025 dat het, wat betreft drinkwaterbesparing, tijd is voor resultaten. Deze nationale signalen worden onderschreven door de Europese Commissie in de European Water Resilience</w:t>
      </w:r>
      <w:r w:rsidRPr="1D40978A">
        <w:t xml:space="preserve"> </w:t>
      </w:r>
      <w:r>
        <w:t>Strategy</w:t>
      </w:r>
      <w:r>
        <w:rPr>
          <w:vertAlign w:val="superscript"/>
        </w:rPr>
        <w:footnoteReference w:id="8"/>
      </w:r>
      <w:r>
        <w:t xml:space="preserve">, waarin onder andere gericht wordt op 10% efficiënter gebruik van zoetwater in brede zin in 2030. Bovendien bevordert de strategie het principe "waterefficiëntie voorop" en moedigt ze lidstaten aan om prioriteit te geven aan vraagbeheer. </w:t>
      </w:r>
    </w:p>
    <w:p w:rsidR="00A023DF" w:rsidP="00A023DF" w:rsidRDefault="00A023DF" w14:paraId="5D3BE849" w14:textId="77777777"/>
    <w:p w:rsidR="00A023DF" w:rsidP="00A023DF" w:rsidRDefault="00A023DF" w14:paraId="5E4B192D" w14:textId="7D52D8D2">
      <w:r>
        <w:t>Voor de herijking van het NPvA is</w:t>
      </w:r>
      <w:r w:rsidRPr="00487FDF">
        <w:t xml:space="preserve"> samen met de stakeholders input </w:t>
      </w:r>
      <w:r>
        <w:t>opgehaald via een drietal</w:t>
      </w:r>
      <w:r w:rsidRPr="00487FDF">
        <w:t xml:space="preserve"> koersbepalende bijeenkomsten en verdiepende sessies binnen de thematische werkgroepen. Tijdens deze bijeenkomsten is gezamenlijk gereflecteerd op de voortgang van het NPvA en zijn nieuwe inzichten, ideeën en maatregelen verzameld en verder uitgewerkt. Dit proces bouwde voort op de Voortgangsrapportage van het NPvA Drinkwaterbesparing 2025 en de daarin opgenomen aanbevelingen voor vervolgacties. Vanuit een groslijst met maatregelen is samen met de stakeholders toegewerkt naar een uiteindelijke set doelmatige en uitvoerbare maatregelen</w:t>
      </w:r>
      <w:r>
        <w:t xml:space="preserve"> voor 2026-2028</w:t>
      </w:r>
      <w:r w:rsidRPr="00487FDF">
        <w:t>.</w:t>
      </w:r>
      <w:r>
        <w:t xml:space="preserve"> Een voorbeeld hiervan is een concreet stappenplan om toe te werken naar verankering van waterbewust bouwen in wet- en regelgeving, zoals dat </w:t>
      </w:r>
      <w:r w:rsidR="00427486">
        <w:t xml:space="preserve">met de Kamer is </w:t>
      </w:r>
      <w:r>
        <w:t>gedeeld in januari</w:t>
      </w:r>
      <w:r>
        <w:rPr>
          <w:rStyle w:val="FootnoteReference"/>
        </w:rPr>
        <w:footnoteReference w:id="9"/>
      </w:r>
      <w:r>
        <w:t>.</w:t>
      </w:r>
    </w:p>
    <w:p w:rsidR="00A023DF" w:rsidP="00A023DF" w:rsidRDefault="00A023DF" w14:paraId="0211B954" w14:textId="77777777"/>
    <w:p w:rsidR="00A023DF" w:rsidP="00A023DF" w:rsidRDefault="00A023DF" w14:paraId="7CFF8728" w14:textId="77777777">
      <w:r>
        <w:t>Hiermee ligt er weer een effectief pakket aan maatregelen om verder te werken aan drinkwaterbesparing. De effectiviteit van het maatregelenpakket wordt onafhankelijk getoetst aan de hand van een Multi Criteria Analyse</w:t>
      </w:r>
      <w:r>
        <w:rPr>
          <w:rStyle w:val="FootnoteReference"/>
        </w:rPr>
        <w:footnoteReference w:id="10"/>
      </w:r>
      <w:r>
        <w:t>. Daarnaast zal de komende twee jaar jaarlijks de voortgang richting het behalen van de doelstellingen worden gemonitord. Naar aanleiding van het advies van de Algemene Rekenkamer is s</w:t>
      </w:r>
      <w:r w:rsidRPr="003E313E">
        <w:t xml:space="preserve">amen met </w:t>
      </w:r>
      <w:r>
        <w:t>hen</w:t>
      </w:r>
      <w:r w:rsidRPr="003E313E">
        <w:t xml:space="preserve"> de monitoringstrategie aangescherpt en</w:t>
      </w:r>
      <w:r>
        <w:t xml:space="preserve"> zijn aanvullende KPI’s en</w:t>
      </w:r>
      <w:r w:rsidRPr="003E313E">
        <w:t xml:space="preserve"> een tussenmijlpaal opgenomen.</w:t>
      </w:r>
      <w:r>
        <w:t xml:space="preserve"> Daarmee wordt nauwlettend gevolgd of er</w:t>
      </w:r>
      <w:r w:rsidRPr="00511A82">
        <w:t xml:space="preserve"> voldoende </w:t>
      </w:r>
      <w:r>
        <w:t>drink</w:t>
      </w:r>
      <w:r w:rsidRPr="00511A82">
        <w:t xml:space="preserve">waterbesparing wordt gerealiseerd om de </w:t>
      </w:r>
      <w:r>
        <w:t>drink</w:t>
      </w:r>
      <w:r w:rsidRPr="00511A82">
        <w:t>waterbeschikbaarheid in Nederland op peil te houden</w:t>
      </w:r>
      <w:r>
        <w:t>.</w:t>
      </w:r>
    </w:p>
    <w:p w:rsidR="00A023DF" w:rsidP="00A023DF" w:rsidRDefault="00A023DF" w14:paraId="71F0F9D9" w14:textId="77777777"/>
    <w:p w:rsidR="00A023DF" w:rsidP="00A023DF" w:rsidRDefault="00A023DF" w14:paraId="44ADF564" w14:textId="77777777">
      <w:pPr>
        <w:rPr>
          <w:i/>
          <w:iCs/>
        </w:rPr>
      </w:pPr>
      <w:r>
        <w:rPr>
          <w:i/>
          <w:iCs/>
        </w:rPr>
        <w:t>Rli-advies ‘Zorg voor Water’</w:t>
      </w:r>
    </w:p>
    <w:p w:rsidR="00A023DF" w:rsidP="00A023DF" w:rsidRDefault="00A023DF" w14:paraId="60ABC508" w14:textId="77777777">
      <w:r>
        <w:t>De Raad voor de leefomgeving en infrastructuur (Rli) heeft op 30 april het adviesrapport “</w:t>
      </w:r>
      <w:r w:rsidRPr="00D101E9">
        <w:rPr>
          <w:i/>
          <w:iCs/>
        </w:rPr>
        <w:t>Zorg voor water, de toekomst van ons drinkwater als gezamenlijke opgave</w:t>
      </w:r>
      <w:r>
        <w:t>” aangeboden</w:t>
      </w:r>
      <w:r>
        <w:rPr>
          <w:rStyle w:val="FootnoteReference"/>
        </w:rPr>
        <w:footnoteReference w:id="11"/>
      </w:r>
      <w:r>
        <w:t xml:space="preserve">. Hierbij wordt een schriftelijke reactie gegeven op het advies en de aanbevelingen.   </w:t>
      </w:r>
    </w:p>
    <w:p w:rsidR="00A023DF" w:rsidP="00A023DF" w:rsidRDefault="00A023DF" w14:paraId="38B2BD97" w14:textId="77777777">
      <w:r>
        <w:rPr>
          <w:i/>
          <w:iCs/>
        </w:rPr>
        <w:br/>
      </w:r>
      <w:r w:rsidRPr="00356555">
        <w:t xml:space="preserve">Het advies van de Rli sluit </w:t>
      </w:r>
      <w:r>
        <w:t xml:space="preserve">goed </w:t>
      </w:r>
      <w:r w:rsidRPr="00356555">
        <w:t xml:space="preserve">aan bij de koers die </w:t>
      </w:r>
      <w:r>
        <w:t>het ministerie heeft ingezet</w:t>
      </w:r>
      <w:r w:rsidRPr="00356555">
        <w:t>.</w:t>
      </w:r>
      <w:r>
        <w:t xml:space="preserve"> </w:t>
      </w:r>
      <w:r w:rsidRPr="00356555">
        <w:t>De</w:t>
      </w:r>
      <w:r>
        <w:t xml:space="preserve"> geschetste </w:t>
      </w:r>
      <w:r w:rsidRPr="00356555">
        <w:t xml:space="preserve">opgaven zijn </w:t>
      </w:r>
      <w:r>
        <w:t>bekend</w:t>
      </w:r>
      <w:r w:rsidRPr="00356555">
        <w:t xml:space="preserve"> en </w:t>
      </w:r>
      <w:r>
        <w:t xml:space="preserve">de vijf aanbevelingen van de Rli zijn in lijn met de reeds ingezette beleidssporen. De hoofdlijnen van deze sporen worden opgenomen in het volgende Nationaal Water Programma (NWP) 2028-2033 en verder uitgewerkt in de Toekomstagenda Drinkwater die bij het Commissiedebat Water op 25 juni jl. is aangekondigd. </w:t>
      </w:r>
      <w:r w:rsidRPr="00D37C46">
        <w:t xml:space="preserve">Voorop staat dat ook in de toekomst voor iedereen voldoende drinkwater </w:t>
      </w:r>
      <w:r>
        <w:t xml:space="preserve">van goede kwaliteit </w:t>
      </w:r>
      <w:r w:rsidRPr="00D37C46">
        <w:t xml:space="preserve">beschikbaar </w:t>
      </w:r>
      <w:r>
        <w:t>is</w:t>
      </w:r>
      <w:r w:rsidRPr="00D37C46">
        <w:t xml:space="preserve">. </w:t>
      </w:r>
      <w:bookmarkStart w:name="_Hlk236976692" w:id="1"/>
      <w:r>
        <w:t>Hieronder wordt nader ingegaan op de vijf aanbevelingen van de Rli.</w:t>
      </w:r>
    </w:p>
    <w:p w:rsidR="00A023DF" w:rsidP="00A023DF" w:rsidRDefault="00A023DF" w14:paraId="3C202318" w14:textId="77777777">
      <w:pPr>
        <w:rPr>
          <w:i/>
        </w:rPr>
      </w:pPr>
    </w:p>
    <w:p w:rsidRPr="00507BDA" w:rsidR="00A023DF" w:rsidP="00A023DF" w:rsidRDefault="00A023DF" w14:paraId="37EF365F" w14:textId="77777777">
      <w:pPr>
        <w:ind w:firstLine="708"/>
        <w:rPr>
          <w:iCs/>
          <w:u w:val="single"/>
        </w:rPr>
      </w:pPr>
      <w:r w:rsidRPr="00507BDA">
        <w:rPr>
          <w:iCs/>
          <w:u w:val="single"/>
        </w:rPr>
        <w:t>1. Zorg met spoed voor een gezond zoetwatersysteem</w:t>
      </w:r>
    </w:p>
    <w:p w:rsidRPr="002B0FE4" w:rsidR="00A023DF" w:rsidP="00A023DF" w:rsidRDefault="00FB188D" w14:paraId="6F05AE81" w14:textId="3C624CB8">
      <w:r>
        <w:t>We geven uitvoering aan dit advies door onder andere de KRW-maatregelen te versnellen. Ook zetten we samen met provincies en waterschappen in op hogere grondwaterstanden en het vergroten van de sponswerking van de bodem. Daarnaast verbeteren we de regels om wateronttrekkingen beter in beeld te brengen en te reguleren.</w:t>
      </w:r>
      <w:r w:rsidRPr="00095DC5" w:rsidR="00A023DF">
        <w:t xml:space="preserve"> </w:t>
      </w:r>
      <w:r w:rsidRPr="002B0FE4" w:rsidR="00A023DF">
        <w:t xml:space="preserve">Om </w:t>
      </w:r>
      <w:r w:rsidR="00A023DF">
        <w:t>weerbaarder te worden tegen waterschaarste</w:t>
      </w:r>
      <w:r w:rsidRPr="002B0FE4" w:rsidR="00A023DF">
        <w:t xml:space="preserve">, werken we aan een nieuwe </w:t>
      </w:r>
      <w:r w:rsidR="00A023DF">
        <w:t>waterbeschikbaarheidsaanpak</w:t>
      </w:r>
      <w:r w:rsidRPr="002B0FE4" w:rsidR="00A023DF">
        <w:t xml:space="preserve"> die eind 2027 wordt vastgesteld</w:t>
      </w:r>
      <w:r w:rsidR="00A023DF">
        <w:t xml:space="preserve"> in het</w:t>
      </w:r>
      <w:r w:rsidR="00B50769">
        <w:t xml:space="preserve"> ontwerp</w:t>
      </w:r>
      <w:r w:rsidR="00F316F7">
        <w:t xml:space="preserve"> </w:t>
      </w:r>
      <w:r w:rsidR="00A023DF">
        <w:t xml:space="preserve">NWP. Hierin wordt het advies uit de herijking van het Deltaprogramma van de Deltacommissaris meegenomen. </w:t>
      </w:r>
      <w:r w:rsidRPr="002B0FE4" w:rsidR="00A023DF">
        <w:t>Daarnaast zetten we breed in op het verbeteren van de waterkwaliteit. We voeren maatregelen uit om vervuiling terug te dringen, zoals strengere regels voor het lozen van chemische stoffen, bufferstroken langs landbouwpercelen en het natuurvriendelijker inrichten van watergangen. Deze inzet werpt</w:t>
      </w:r>
      <w:r w:rsidRPr="002B0FE4" w:rsidDel="00AF0943" w:rsidR="00A023DF">
        <w:t xml:space="preserve"> </w:t>
      </w:r>
      <w:r w:rsidR="00A023DF">
        <w:t>zijn</w:t>
      </w:r>
      <w:r w:rsidRPr="002B0FE4" w:rsidR="00A023DF">
        <w:t xml:space="preserve"> vruchten af: de waterkwaliteit in Nederland is over de lange termijn verbeterd. </w:t>
      </w:r>
    </w:p>
    <w:bookmarkEnd w:id="1"/>
    <w:p w:rsidRPr="003F2B62" w:rsidR="00A023DF" w:rsidP="00A023DF" w:rsidRDefault="00A023DF" w14:paraId="48047C74" w14:textId="77777777">
      <w:pPr>
        <w:ind w:left="708"/>
        <w:rPr>
          <w:iCs/>
          <w:u w:val="single"/>
        </w:rPr>
      </w:pPr>
      <w:r>
        <w:rPr>
          <w:i/>
        </w:rPr>
        <w:br/>
      </w:r>
      <w:r w:rsidRPr="003F2B62">
        <w:rPr>
          <w:iCs/>
          <w:u w:val="single"/>
        </w:rPr>
        <w:t>2. Ontwerp een nationale strategie voor de drinkwatervoorziening: Toekomstagenda Drinkwater</w:t>
      </w:r>
    </w:p>
    <w:p w:rsidRPr="00AD789D" w:rsidR="00A023DF" w:rsidP="00A023DF" w:rsidRDefault="00CF41CD" w14:paraId="6F275610" w14:textId="3C28A25E">
      <w:pPr>
        <w:rPr>
          <w:rFonts w:eastAsia="Calibri" w:cs="Calibri"/>
        </w:rPr>
      </w:pPr>
      <w:r>
        <w:t xml:space="preserve">Bij het Commissiedebat Water van 25 juni jl. </w:t>
      </w:r>
      <w:r w:rsidR="00A023DF">
        <w:t xml:space="preserve">is toegezegd om begin 2027 te komen met een nationale strategie voor drinkwater waarin o.a. </w:t>
      </w:r>
      <w:r w:rsidRPr="00E238EB" w:rsidR="00A023DF">
        <w:t>de adviezen van</w:t>
      </w:r>
      <w:r w:rsidR="00A023DF">
        <w:t xml:space="preserve"> de Rli worden meegenomen</w:t>
      </w:r>
      <w:r w:rsidR="00A023DF">
        <w:rPr>
          <w:rStyle w:val="FootnoteReference"/>
        </w:rPr>
        <w:footnoteReference w:id="12"/>
      </w:r>
      <w:r w:rsidR="00A023DF">
        <w:t xml:space="preserve">. Hier wordt invulling aan gegeven in de vorm van een Toekomstagenda Drinkwater (werktitel) die onder regie van het ministerie IenW samen met de drinkwaterbedrijven, decentrale overheden en waterschappen wordt opgesteld. </w:t>
      </w:r>
      <w:r w:rsidRPr="00AD789D" w:rsidR="00A023DF">
        <w:t xml:space="preserve">De hoofddoelstelling daarbij is </w:t>
      </w:r>
      <w:r w:rsidRPr="00AD789D" w:rsidR="00A023DF">
        <w:rPr>
          <w:rFonts w:eastAsia="Calibri" w:cs="Calibri"/>
        </w:rPr>
        <w:t>een duurzame balans in vraag en aanbod van drinkwater van een goede kwaliteit en een toekomstbestendige drinkwatersector. Aan dit hoofddoel</w:t>
      </w:r>
      <w:r w:rsidR="002011BB">
        <w:rPr>
          <w:rFonts w:eastAsia="Calibri" w:cs="Calibri"/>
        </w:rPr>
        <w:t xml:space="preserve"> wordt gewerkt</w:t>
      </w:r>
      <w:r w:rsidRPr="00AD789D" w:rsidR="00A023DF">
        <w:rPr>
          <w:rFonts w:eastAsia="Calibri" w:cs="Calibri"/>
        </w:rPr>
        <w:t xml:space="preserve"> langs de volgende 5 </w:t>
      </w:r>
      <w:r w:rsidR="00A023DF">
        <w:rPr>
          <w:rFonts w:eastAsia="Calibri" w:cs="Calibri"/>
        </w:rPr>
        <w:t>beleids</w:t>
      </w:r>
      <w:r w:rsidRPr="00AD789D" w:rsidR="00A023DF">
        <w:rPr>
          <w:rFonts w:eastAsia="Calibri" w:cs="Calibri"/>
        </w:rPr>
        <w:t>sporen:</w:t>
      </w:r>
    </w:p>
    <w:p w:rsidRPr="00AD789D" w:rsidR="00A023DF" w:rsidP="00A023DF" w:rsidRDefault="00A023DF" w14:paraId="531DA18B" w14:textId="77777777">
      <w:pPr>
        <w:numPr>
          <w:ilvl w:val="0"/>
          <w:numId w:val="25"/>
        </w:numPr>
        <w:autoSpaceDN/>
        <w:spacing w:after="160" w:line="259" w:lineRule="auto"/>
        <w:contextualSpacing/>
        <w:textAlignment w:val="auto"/>
        <w:rPr>
          <w:rFonts w:eastAsia="Calibri" w:cs="Calibri"/>
        </w:rPr>
      </w:pPr>
      <w:r w:rsidRPr="00AD789D">
        <w:rPr>
          <w:rFonts w:eastAsia="Calibri" w:cs="Times New Roman"/>
        </w:rPr>
        <w:t xml:space="preserve">Voldoende drinkwater; </w:t>
      </w:r>
    </w:p>
    <w:p w:rsidRPr="00AD789D" w:rsidR="00A023DF" w:rsidP="00A023DF" w:rsidRDefault="00A023DF" w14:paraId="32CB238B" w14:textId="77777777">
      <w:pPr>
        <w:numPr>
          <w:ilvl w:val="0"/>
          <w:numId w:val="25"/>
        </w:numPr>
        <w:autoSpaceDN/>
        <w:spacing w:after="160" w:line="259" w:lineRule="auto"/>
        <w:contextualSpacing/>
        <w:textAlignment w:val="auto"/>
        <w:rPr>
          <w:rFonts w:eastAsia="Calibri" w:cs="Calibri"/>
        </w:rPr>
      </w:pPr>
      <w:r w:rsidRPr="00AD789D">
        <w:rPr>
          <w:rFonts w:eastAsia="Calibri" w:cs="Times New Roman"/>
        </w:rPr>
        <w:t xml:space="preserve">Goede kwaliteit drinkwater; </w:t>
      </w:r>
    </w:p>
    <w:p w:rsidRPr="00AD789D" w:rsidR="00A023DF" w:rsidP="00A023DF" w:rsidRDefault="00A023DF" w14:paraId="361F615D" w14:textId="77777777">
      <w:pPr>
        <w:numPr>
          <w:ilvl w:val="0"/>
          <w:numId w:val="25"/>
        </w:numPr>
        <w:autoSpaceDN/>
        <w:spacing w:after="160" w:line="259" w:lineRule="auto"/>
        <w:contextualSpacing/>
        <w:textAlignment w:val="auto"/>
        <w:rPr>
          <w:rFonts w:eastAsia="Calibri" w:cs="Calibri"/>
        </w:rPr>
      </w:pPr>
      <w:r w:rsidRPr="00AD789D">
        <w:rPr>
          <w:rFonts w:eastAsia="Calibri" w:cs="Times New Roman"/>
        </w:rPr>
        <w:t xml:space="preserve">Bewust en zuinig drinkwatergebruik; </w:t>
      </w:r>
    </w:p>
    <w:p w:rsidRPr="00AD789D" w:rsidR="00A023DF" w:rsidP="00A023DF" w:rsidRDefault="00A023DF" w14:paraId="6CE70CC4" w14:textId="77777777">
      <w:pPr>
        <w:numPr>
          <w:ilvl w:val="0"/>
          <w:numId w:val="25"/>
        </w:numPr>
        <w:autoSpaceDN/>
        <w:spacing w:after="160" w:line="259" w:lineRule="auto"/>
        <w:contextualSpacing/>
        <w:textAlignment w:val="auto"/>
        <w:rPr>
          <w:rFonts w:eastAsia="Calibri" w:cs="Calibri"/>
        </w:rPr>
      </w:pPr>
      <w:r w:rsidRPr="00AD789D">
        <w:rPr>
          <w:rFonts w:eastAsia="Calibri" w:cs="Times New Roman"/>
        </w:rPr>
        <w:t xml:space="preserve">Toekomstbestendige drinkwatersector; </w:t>
      </w:r>
    </w:p>
    <w:p w:rsidRPr="00AD789D" w:rsidR="00A023DF" w:rsidP="00A023DF" w:rsidRDefault="00A023DF" w14:paraId="76E1AF30" w14:textId="77777777">
      <w:pPr>
        <w:numPr>
          <w:ilvl w:val="0"/>
          <w:numId w:val="25"/>
        </w:numPr>
        <w:autoSpaceDN/>
        <w:spacing w:after="160" w:line="259" w:lineRule="auto"/>
        <w:contextualSpacing/>
        <w:textAlignment w:val="auto"/>
        <w:rPr>
          <w:rFonts w:eastAsia="Calibri" w:cs="Times New Roman"/>
        </w:rPr>
      </w:pPr>
      <w:r w:rsidRPr="00AD789D">
        <w:rPr>
          <w:rFonts w:eastAsia="Calibri" w:cs="Times New Roman"/>
        </w:rPr>
        <w:t xml:space="preserve">(Inter-)nationale wet- en regelgeving drinkwater. </w:t>
      </w:r>
    </w:p>
    <w:p w:rsidR="00A023DF" w:rsidP="00A023DF" w:rsidRDefault="00A023DF" w14:paraId="4B0ACB88" w14:textId="206C59FE">
      <w:r>
        <w:br/>
        <w:t xml:space="preserve">Als onderdeel van het derde spoor </w:t>
      </w:r>
      <w:r w:rsidR="00B50769">
        <w:t>wordt</w:t>
      </w:r>
      <w:r>
        <w:t>, conform de toezegging aan lid Schutz</w:t>
      </w:r>
      <w:r>
        <w:rPr>
          <w:rStyle w:val="FootnoteReference"/>
        </w:rPr>
        <w:footnoteReference w:id="13"/>
      </w:r>
      <w:r>
        <w:t xml:space="preserve">, in de Toekomstagenda Drinkwater ook ingaan op </w:t>
      </w:r>
      <w:r w:rsidRPr="0001647D">
        <w:t xml:space="preserve">de </w:t>
      </w:r>
      <w:r>
        <w:t>(</w:t>
      </w:r>
      <w:r w:rsidRPr="0001647D">
        <w:t>innovatieve</w:t>
      </w:r>
      <w:r>
        <w:t>)</w:t>
      </w:r>
      <w:r w:rsidRPr="0001647D">
        <w:t xml:space="preserve"> mogelijkheden om lekkage uit drinkwaterleidingen tegen te gaan</w:t>
      </w:r>
      <w:r>
        <w:t xml:space="preserve"> en op de </w:t>
      </w:r>
      <w:r w:rsidRPr="0001647D">
        <w:t>effecten van tariefverhoging</w:t>
      </w:r>
      <w:r>
        <w:t xml:space="preserve">en (zoals o.a. toegepast door </w:t>
      </w:r>
      <w:r w:rsidRPr="0001647D">
        <w:t>Brabant Water</w:t>
      </w:r>
      <w:r>
        <w:t>)</w:t>
      </w:r>
      <w:r w:rsidRPr="0001647D">
        <w:t>.</w:t>
      </w:r>
    </w:p>
    <w:p w:rsidRPr="00A35662" w:rsidR="00A023DF" w:rsidP="00A023DF" w:rsidRDefault="00A023DF" w14:paraId="782F0D6C" w14:textId="77777777">
      <w:pPr>
        <w:ind w:left="708"/>
        <w:rPr>
          <w:iCs/>
          <w:u w:val="single"/>
        </w:rPr>
      </w:pPr>
      <w:r>
        <w:rPr>
          <w:i/>
        </w:rPr>
        <w:br/>
      </w:r>
      <w:r w:rsidRPr="00A35662">
        <w:rPr>
          <w:iCs/>
          <w:u w:val="single"/>
        </w:rPr>
        <w:t>3. Zorg voor doorzettingskracht in het versnipperde bestuurlijke landschap</w:t>
      </w:r>
    </w:p>
    <w:p w:rsidR="00A023DF" w:rsidP="00A023DF" w:rsidRDefault="00A023DF" w14:paraId="4022F374" w14:textId="23AA19DB">
      <w:r>
        <w:t xml:space="preserve">Als </w:t>
      </w:r>
      <w:r w:rsidRPr="00095DC5">
        <w:t>systeemverantwoordelijke</w:t>
      </w:r>
      <w:r>
        <w:t xml:space="preserve"> neemt het ministerie </w:t>
      </w:r>
      <w:r w:rsidR="008F2754">
        <w:t xml:space="preserve">van </w:t>
      </w:r>
      <w:r>
        <w:t>IenW</w:t>
      </w:r>
      <w:r w:rsidR="00B50769">
        <w:t xml:space="preserve"> </w:t>
      </w:r>
      <w:r>
        <w:t xml:space="preserve">meer regie door het opstellen van bovengenoemde Toekomstagenda Drinkwater. Daarbij zal het ministerie de </w:t>
      </w:r>
      <w:r w:rsidRPr="00095DC5">
        <w:t>decentrale overheden</w:t>
      </w:r>
      <w:r>
        <w:t xml:space="preserve"> blijven aanspreken </w:t>
      </w:r>
      <w:r w:rsidRPr="00095DC5">
        <w:t xml:space="preserve">op </w:t>
      </w:r>
      <w:r>
        <w:t xml:space="preserve">hun </w:t>
      </w:r>
      <w:r w:rsidRPr="00095DC5">
        <w:t xml:space="preserve">wettelijke zorgplichten </w:t>
      </w:r>
      <w:r>
        <w:t>voor de openbare drinkwatervoorziening</w:t>
      </w:r>
      <w:r w:rsidRPr="00095DC5">
        <w:t>. Hierdoor borgen we dat het nationale drinkwaterbeleid direct en dwingend doorwerkt in regionale en lokale ruimtelijke besluiten.</w:t>
      </w:r>
      <w:r>
        <w:t xml:space="preserve"> Daarnaast blijven we hen aansporen om gebruik te maken van de mogelijkheden die de Omgevingswet- en de Drinkwaterwet- en regelgeving nu al bieden om daar waar nodig regionale projecten voor de uitbreiding van de productiecapaciteit van drinkwater te versnellen. De openbare</w:t>
      </w:r>
      <w:r w:rsidR="00114651">
        <w:t xml:space="preserve"> </w:t>
      </w:r>
      <w:r>
        <w:t xml:space="preserve">drinkwatervoorziening is op grond van de Drinkwaterwet immers een dwingende reden van groot openbaar belang.  </w:t>
      </w:r>
    </w:p>
    <w:p w:rsidRPr="00587EEE" w:rsidR="00A023DF" w:rsidP="00A023DF" w:rsidRDefault="00A023DF" w14:paraId="17E26F80" w14:textId="77777777">
      <w:pPr>
        <w:ind w:left="708"/>
        <w:rPr>
          <w:iCs/>
          <w:u w:val="single"/>
        </w:rPr>
      </w:pPr>
      <w:r>
        <w:rPr>
          <w:i/>
        </w:rPr>
        <w:br/>
      </w:r>
      <w:r w:rsidRPr="00587EEE">
        <w:rPr>
          <w:iCs/>
          <w:u w:val="single"/>
        </w:rPr>
        <w:t>4.  Creëer financiële ruimte voor noodzakelijke investeringen</w:t>
      </w:r>
    </w:p>
    <w:p w:rsidRPr="00095DC5" w:rsidR="00A023DF" w:rsidP="00A023DF" w:rsidRDefault="00A023DF" w14:paraId="64DC4A7A" w14:textId="2B6D34B5">
      <w:r w:rsidRPr="00095DC5">
        <w:t xml:space="preserve">Het kabinet herkent de </w:t>
      </w:r>
      <w:r>
        <w:t>verwachte toename van</w:t>
      </w:r>
      <w:r w:rsidRPr="00095DC5">
        <w:t xml:space="preserve"> </w:t>
      </w:r>
      <w:r>
        <w:t xml:space="preserve">de </w:t>
      </w:r>
      <w:r w:rsidRPr="00095DC5">
        <w:t>investering</w:t>
      </w:r>
      <w:r>
        <w:t>sopgave van de drinkwaterbedrijven. Deze investeringen vragen veel kapitaal zoals de Rli ook opmerkt. Het</w:t>
      </w:r>
      <w:r w:rsidRPr="00095DC5">
        <w:t xml:space="preserve"> wetsvoorstel</w:t>
      </w:r>
      <w:r>
        <w:t>,</w:t>
      </w:r>
      <w:r w:rsidRPr="00095DC5">
        <w:t xml:space="preserve"> </w:t>
      </w:r>
      <w:r>
        <w:t xml:space="preserve">met maatregelen om de financiële gezondheid van </w:t>
      </w:r>
      <w:r w:rsidRPr="00095DC5">
        <w:t xml:space="preserve">drinkwaterbedrijven </w:t>
      </w:r>
      <w:r>
        <w:t>voor de korte termijn beter te borgen,</w:t>
      </w:r>
      <w:r w:rsidRPr="00061AB8">
        <w:t xml:space="preserve"> </w:t>
      </w:r>
      <w:r>
        <w:t xml:space="preserve">ligt momenteel bij de Raad van State voor advies. </w:t>
      </w:r>
      <w:r w:rsidRPr="002032D2">
        <w:t xml:space="preserve">Drinkwaterbedrijven </w:t>
      </w:r>
      <w:r>
        <w:t>krijgen</w:t>
      </w:r>
      <w:r w:rsidRPr="002032D2">
        <w:t xml:space="preserve"> </w:t>
      </w:r>
      <w:r>
        <w:t xml:space="preserve">met het wetsvoorstel </w:t>
      </w:r>
      <w:r w:rsidRPr="002032D2">
        <w:t>meer mogelijkheden om hun eigen vermogen te versterken.</w:t>
      </w:r>
      <w:r w:rsidR="00114651">
        <w:t xml:space="preserve"> </w:t>
      </w:r>
      <w:r>
        <w:t xml:space="preserve">Voor de langere termijn wordt </w:t>
      </w:r>
      <w:r w:rsidR="006C4997">
        <w:t xml:space="preserve">op basis van inzicht in </w:t>
      </w:r>
      <w:r>
        <w:t xml:space="preserve">toekomstprognoses en de bijbehorende investeringsagenda’s samen </w:t>
      </w:r>
      <w:r w:rsidR="006C4997">
        <w:t xml:space="preserve">met de drinkwatersector bezien of </w:t>
      </w:r>
      <w:r w:rsidR="00114651">
        <w:t xml:space="preserve">aanvullende maatregelen nodig zijn </w:t>
      </w:r>
      <w:r w:rsidR="006C4997">
        <w:t>en zo ja</w:t>
      </w:r>
      <w:r w:rsidR="00114651">
        <w:t>,</w:t>
      </w:r>
      <w:r w:rsidR="006C4997">
        <w:t xml:space="preserve"> welke</w:t>
      </w:r>
      <w:r w:rsidR="00114651">
        <w:t>.</w:t>
      </w:r>
      <w:r w:rsidR="006C4997">
        <w:t xml:space="preserve"> </w:t>
      </w:r>
    </w:p>
    <w:p w:rsidRPr="00684755" w:rsidR="00A023DF" w:rsidP="00A023DF" w:rsidRDefault="00A023DF" w14:paraId="7222275F" w14:textId="77777777">
      <w:pPr>
        <w:ind w:left="708"/>
        <w:rPr>
          <w:iCs/>
          <w:u w:val="single"/>
        </w:rPr>
      </w:pPr>
      <w:r>
        <w:rPr>
          <w:i/>
        </w:rPr>
        <w:br/>
      </w:r>
      <w:r w:rsidRPr="00684755">
        <w:rPr>
          <w:iCs/>
          <w:u w:val="single"/>
        </w:rPr>
        <w:t>5. Stuur met prijzen en innovatie op vermindering van waterverbruik</w:t>
      </w:r>
    </w:p>
    <w:p w:rsidRPr="00D101E9" w:rsidR="00A023DF" w:rsidP="00A023DF" w:rsidRDefault="00A023DF" w14:paraId="234D6DC9" w14:textId="773DC5E9">
      <w:r>
        <w:t>Met de uitvoering van het NPvA Drinkwaterbesparing,</w:t>
      </w:r>
      <w:r w:rsidR="00B50769">
        <w:t xml:space="preserve"> zoals </w:t>
      </w:r>
      <w:r>
        <w:t>hierboven omschreven, werkt het Rijk met veel actoren aan het terugbrengen</w:t>
      </w:r>
      <w:r w:rsidDel="00C84283">
        <w:t xml:space="preserve"> </w:t>
      </w:r>
      <w:r>
        <w:t xml:space="preserve">van het gebruik van drinkwater door een combinatie van de instrumenten communiceren, stimuleren en reguleren. Beprijzen en innoveren maken daar onderdeel van uit. </w:t>
      </w:r>
      <w:r w:rsidRPr="00C84283">
        <w:t xml:space="preserve">Eind 2024 is </w:t>
      </w:r>
      <w:r>
        <w:t xml:space="preserve">al </w:t>
      </w:r>
      <w:r w:rsidRPr="00C84283">
        <w:t>een beleidslijn gedeeld met de Tweede Kamer over de beprijzing van water</w:t>
      </w:r>
      <w:r>
        <w:t xml:space="preserve"> in de meest brede zin</w:t>
      </w:r>
      <w:r>
        <w:rPr>
          <w:rStyle w:val="FootnoteReference"/>
        </w:rPr>
        <w:footnoteReference w:id="14"/>
      </w:r>
      <w:r w:rsidRPr="004D5751">
        <w:t>.</w:t>
      </w:r>
      <w:r>
        <w:t xml:space="preserve"> Daarin is aangegeven dat </w:t>
      </w:r>
      <w:r w:rsidRPr="00EF79C5">
        <w:t xml:space="preserve">de prijselasticiteit van </w:t>
      </w:r>
      <w:r>
        <w:t xml:space="preserve">drinkwater bij gebruik door huishoudens </w:t>
      </w:r>
      <w:r w:rsidRPr="00EF79C5">
        <w:t>laag is</w:t>
      </w:r>
      <w:r>
        <w:t xml:space="preserve"> waardoor v</w:t>
      </w:r>
      <w:r w:rsidRPr="00EF79C5">
        <w:t xml:space="preserve">erhoging van de prijs slechts een zeer beperkt effect </w:t>
      </w:r>
      <w:r>
        <w:t xml:space="preserve">heeft </w:t>
      </w:r>
      <w:r w:rsidRPr="00EF79C5">
        <w:t>op de vraag naar water.</w:t>
      </w:r>
      <w:r>
        <w:t xml:space="preserve"> In het kader van het hierna genoemde herijkte NPvA Drinkwaterbesparing wordt nader gekeken naar </w:t>
      </w:r>
      <w:r w:rsidRPr="00EF79C5">
        <w:t>de prijselasticiteit van zakelijk drinkwatergebruik</w:t>
      </w:r>
      <w:r>
        <w:t xml:space="preserve">. De effecten van de recente aanpassingen van de </w:t>
      </w:r>
      <w:r w:rsidRPr="00EF79C5">
        <w:t>Belasting op leidingwater (BOL)</w:t>
      </w:r>
      <w:r>
        <w:t xml:space="preserve"> bieden hier een goede basis voor</w:t>
      </w:r>
      <w:r w:rsidRPr="00EF79C5">
        <w:t xml:space="preserve">. Voor huishoudens wordt </w:t>
      </w:r>
      <w:r w:rsidR="006C5DE1">
        <w:t xml:space="preserve">onderzoek gedaan naar de kansen voor de koppeling van </w:t>
      </w:r>
      <w:r w:rsidR="00114651">
        <w:t xml:space="preserve">de </w:t>
      </w:r>
      <w:r w:rsidRPr="00EF79C5">
        <w:t xml:space="preserve">zuiveringsheffing </w:t>
      </w:r>
      <w:r w:rsidR="006C5DE1">
        <w:t>aan de drinkwaterrekening. Met dit onderzoek geven we invulling aan de motie van het lid van Brenk.</w:t>
      </w:r>
      <w:r w:rsidR="006C5DE1">
        <w:rPr>
          <w:rStyle w:val="FootnoteReference"/>
        </w:rPr>
        <w:footnoteReference w:id="15"/>
      </w:r>
      <w:r w:rsidR="006C5DE1">
        <w:t xml:space="preserve"> </w:t>
      </w:r>
      <w:r w:rsidRPr="00EF79C5">
        <w:t xml:space="preserve">Mogelijk kan dit bewuster drinkwatergebruik stimuleren en bijdragen aan drinkwaterbesparing. </w:t>
      </w:r>
      <w:r>
        <w:br/>
        <w:t xml:space="preserve">Voor wat betreft innovatie </w:t>
      </w:r>
      <w:r w:rsidRPr="004D5751">
        <w:t xml:space="preserve">zetten </w:t>
      </w:r>
      <w:r>
        <w:t xml:space="preserve">we </w:t>
      </w:r>
      <w:r w:rsidRPr="004D5751">
        <w:t xml:space="preserve">in op concrete maatregelen, zoals het onderzoeken van de mogelijkheden voor </w:t>
      </w:r>
      <w:r w:rsidR="002750F0">
        <w:t>het benutten van afvalwaterstromen van het ene bedrijf als proceswater voor het andere bedrijf (“</w:t>
      </w:r>
      <w:r w:rsidRPr="004D5751">
        <w:t>watercascadering</w:t>
      </w:r>
      <w:r w:rsidR="002750F0">
        <w:t>”)</w:t>
      </w:r>
      <w:r w:rsidRPr="004D5751">
        <w:t xml:space="preserve"> op bedrijventerreinen via gerichte pilots en het – onder voorwaarden van de Autoriteit Persoonsgegevens – </w:t>
      </w:r>
      <w:r>
        <w:t xml:space="preserve">opzetten </w:t>
      </w:r>
      <w:r w:rsidRPr="004D5751">
        <w:t>van pilots met slimme watermeters om het besparingspotentieel bij huishoudens in kaart te brengen</w:t>
      </w:r>
      <w:r>
        <w:t xml:space="preserve">. Daarnaast zijn er voor ondernemers diverse financiële instrumenten zoals de MIA/VAMIL regelingen en zetten we het Nationaal Groeifondsprogramma </w:t>
      </w:r>
      <w:r w:rsidRPr="007D6ECA">
        <w:t xml:space="preserve">UPPWATER </w:t>
      </w:r>
      <w:r>
        <w:t xml:space="preserve">in </w:t>
      </w:r>
      <w:r w:rsidRPr="007D6ECA">
        <w:t>als aanjager voor de ontwikkeling en marktintroductie van innovatieve, duurzame watertechnologie.</w:t>
      </w:r>
    </w:p>
    <w:p w:rsidR="00A023DF" w:rsidP="00A023DF" w:rsidRDefault="00A023DF" w14:paraId="6C797EAD" w14:textId="77777777">
      <w:pPr>
        <w:pStyle w:val="ListParagraph"/>
      </w:pPr>
    </w:p>
    <w:p w:rsidR="00A023DF" w:rsidP="00A023DF" w:rsidRDefault="00A023DF" w14:paraId="0BFD97B4" w14:textId="77777777">
      <w:pPr>
        <w:pStyle w:val="ListParagraph"/>
        <w:numPr>
          <w:ilvl w:val="0"/>
          <w:numId w:val="24"/>
        </w:numPr>
        <w:rPr>
          <w:b/>
          <w:bCs/>
        </w:rPr>
      </w:pPr>
      <w:r>
        <w:rPr>
          <w:b/>
          <w:bCs/>
        </w:rPr>
        <w:t>Waterketen</w:t>
      </w:r>
    </w:p>
    <w:p w:rsidR="00A023DF" w:rsidP="00A023DF" w:rsidRDefault="00A023DF" w14:paraId="1AB19AC0" w14:textId="77777777">
      <w:pPr>
        <w:pStyle w:val="ListParagraph"/>
        <w:rPr>
          <w:b/>
          <w:bCs/>
        </w:rPr>
      </w:pPr>
    </w:p>
    <w:p w:rsidR="00A023DF" w:rsidP="00A023DF" w:rsidRDefault="00A023DF" w14:paraId="2A8A80BB" w14:textId="497D561C">
      <w:r>
        <w:t xml:space="preserve">In het </w:t>
      </w:r>
      <w:r w:rsidR="00276879">
        <w:t>C</w:t>
      </w:r>
      <w:r>
        <w:t xml:space="preserve">ommissiedebat </w:t>
      </w:r>
      <w:r w:rsidR="00276879">
        <w:t>W</w:t>
      </w:r>
      <w:r>
        <w:t xml:space="preserve">ater van 25 juni </w:t>
      </w:r>
      <w:r w:rsidR="00276879">
        <w:t xml:space="preserve">is aan het lid </w:t>
      </w:r>
      <w:r w:rsidRPr="00276879" w:rsidR="00276879">
        <w:t>Kostić</w:t>
      </w:r>
      <w:r w:rsidR="00276879">
        <w:t xml:space="preserve"> toegezegd</w:t>
      </w:r>
      <w:r>
        <w:t xml:space="preserve"> om het tijdspad voor de aanpassing van de herziene Europese Richtlijn Stedelijk Afvalwater toe te sturen</w:t>
      </w:r>
      <w:r>
        <w:rPr>
          <w:rStyle w:val="FootnoteReference"/>
        </w:rPr>
        <w:footnoteReference w:id="16"/>
      </w:r>
      <w:r>
        <w:t xml:space="preserve">. </w:t>
      </w:r>
      <w:r w:rsidRPr="009D7B71">
        <w:t xml:space="preserve">De </w:t>
      </w:r>
      <w:r>
        <w:t>herziene richtlijn</w:t>
      </w:r>
      <w:r>
        <w:rPr>
          <w:rStyle w:val="FootnoteReference"/>
        </w:rPr>
        <w:footnoteReference w:id="17"/>
      </w:r>
      <w:r>
        <w:t xml:space="preserve"> </w:t>
      </w:r>
      <w:r w:rsidRPr="009D7B71">
        <w:t>is in werking getreden op 1 januari 2025</w:t>
      </w:r>
      <w:r>
        <w:t xml:space="preserve"> (2024/3019, hierna: de herziene Richtlijn)</w:t>
      </w:r>
      <w:r w:rsidRPr="009D7B71">
        <w:t xml:space="preserve">. </w:t>
      </w:r>
      <w:r w:rsidRPr="00290F9F">
        <w:t xml:space="preserve">Lidstaten hebben </w:t>
      </w:r>
      <w:r>
        <w:t xml:space="preserve">op grond van de richtlijn </w:t>
      </w:r>
      <w:r w:rsidRPr="00290F9F">
        <w:t>30 maanden (2,5 jaar)</w:t>
      </w:r>
      <w:r>
        <w:t xml:space="preserve"> de tijd</w:t>
      </w:r>
      <w:r w:rsidRPr="00290F9F">
        <w:t xml:space="preserve"> om de richtlijn om te zetten</w:t>
      </w:r>
      <w:r>
        <w:t xml:space="preserve"> in nationale wet- en regelgeving; te weten uiterlijk 31 juli 2027</w:t>
      </w:r>
      <w:r w:rsidRPr="00290F9F">
        <w:t>.</w:t>
      </w:r>
      <w:r w:rsidRPr="000C78F2">
        <w:t xml:space="preserve"> </w:t>
      </w:r>
      <w:r>
        <w:t xml:space="preserve">Er wordt </w:t>
      </w:r>
      <w:r w:rsidRPr="009D7B71">
        <w:t xml:space="preserve">door </w:t>
      </w:r>
      <w:r>
        <w:t>het ministerie,</w:t>
      </w:r>
      <w:r w:rsidRPr="009D7B71">
        <w:t xml:space="preserve"> in samenwerking met betrokken ministeries en </w:t>
      </w:r>
      <w:r>
        <w:t>mede</w:t>
      </w:r>
      <w:r w:rsidRPr="009D7B71">
        <w:t>overheden</w:t>
      </w:r>
      <w:r>
        <w:t>, hard gewerkt aan de implementatie van de herziene richtlijn in Nederlandse wet- en regelgeving.</w:t>
      </w:r>
      <w:r>
        <w:rPr>
          <w:rStyle w:val="FootnoteReference"/>
        </w:rPr>
        <w:footnoteReference w:id="18"/>
      </w:r>
      <w:r>
        <w:t xml:space="preserve"> Daarvoor moet een wetsvoorstel worden opgesteld om onder andere de Omgevingswet te wijzigen. Verder moeten algemene maatregelen van bestuur </w:t>
      </w:r>
      <w:r w:rsidRPr="00BA4298">
        <w:t>(</w:t>
      </w:r>
      <w:r>
        <w:t xml:space="preserve">in elk geval </w:t>
      </w:r>
      <w:r w:rsidRPr="00BA4298">
        <w:t>besluiten</w:t>
      </w:r>
      <w:r>
        <w:t xml:space="preserve"> onder de Omgevingswet</w:t>
      </w:r>
      <w:r w:rsidRPr="00BA4298">
        <w:t>)</w:t>
      </w:r>
      <w:r>
        <w:t xml:space="preserve"> en ministeriele regelingen worden opgesteld of gewijzigd. Het wetswijzigingstraject heeft de meeste prioriteit, vanwege de lange doorlooptijd. De internetconsultatie van de wetswijziging</w:t>
      </w:r>
      <w:r w:rsidR="00A35914">
        <w:t xml:space="preserve"> is op 22 september opengesteld en zal tot en met 3 november 2026 open staan</w:t>
      </w:r>
      <w:r w:rsidR="00A35914">
        <w:rPr>
          <w:rStyle w:val="FootnoteReference"/>
        </w:rPr>
        <w:footnoteReference w:id="19"/>
      </w:r>
      <w:r w:rsidR="00A35914">
        <w:t>.</w:t>
      </w:r>
      <w:r>
        <w:t xml:space="preserve"> Het is gebruikelijk dat een half jaar na afronding en verwerking van de internetconsultatie de wetswijziging aan de Tweede Kamer kan worden voorgelegd. Parallel wordt gewerkt aan </w:t>
      </w:r>
      <w:r w:rsidRPr="00BA4298">
        <w:t>de</w:t>
      </w:r>
      <w:r>
        <w:t xml:space="preserve"> algemene maatregelen van bestuur, waaronder het Besluit activiteiten leefomgeving en het Omgevingsbesluit. </w:t>
      </w:r>
      <w:r w:rsidR="00A35914">
        <w:t>Wat betreft de implementatie van de artikelen 9 en 10 (uitgebreide producenten verantwoordelijkheid) wordt verwezen naar de memorie van toelichting bij dit wetsvoorstel, bladzijde 25 tot 29.</w:t>
      </w:r>
    </w:p>
    <w:p w:rsidR="00A023DF" w:rsidP="00A023DF" w:rsidRDefault="00A023DF" w14:paraId="1E795CA1" w14:textId="77777777"/>
    <w:p w:rsidR="00A023DF" w:rsidP="00A023DF" w:rsidRDefault="00A023DF" w14:paraId="1A028DEE" w14:textId="77777777"/>
    <w:p w:rsidR="00A023DF" w:rsidP="00A023DF" w:rsidRDefault="00A023DF" w14:paraId="6F0BA1F3" w14:textId="77777777">
      <w:pPr>
        <w:pStyle w:val="ListParagraph"/>
        <w:numPr>
          <w:ilvl w:val="0"/>
          <w:numId w:val="24"/>
        </w:numPr>
        <w:rPr>
          <w:b/>
          <w:bCs/>
        </w:rPr>
      </w:pPr>
      <w:r>
        <w:rPr>
          <w:b/>
          <w:bCs/>
        </w:rPr>
        <w:t>Normen en koelwater</w:t>
      </w:r>
    </w:p>
    <w:p w:rsidR="00A023DF" w:rsidP="00A023DF" w:rsidRDefault="00A023DF" w14:paraId="2C50D3DA" w14:textId="77777777">
      <w:pPr>
        <w:spacing w:line="276" w:lineRule="auto"/>
        <w:rPr>
          <w:rFonts w:cs="Arial"/>
        </w:rPr>
      </w:pPr>
    </w:p>
    <w:p w:rsidRPr="00AB4FEE" w:rsidR="00A023DF" w:rsidP="00A023DF" w:rsidRDefault="00A023DF" w14:paraId="33DC0D51" w14:textId="77777777">
      <w:pPr>
        <w:spacing w:line="276" w:lineRule="auto"/>
        <w:rPr>
          <w:rFonts w:cs="Arial"/>
          <w:i/>
          <w:iCs/>
        </w:rPr>
      </w:pPr>
      <w:r>
        <w:rPr>
          <w:rFonts w:cs="Arial"/>
          <w:i/>
          <w:iCs/>
        </w:rPr>
        <w:t>Bestrijdingsmiddelen, mest en lozingen</w:t>
      </w:r>
    </w:p>
    <w:p w:rsidR="00A023DF" w:rsidP="00A023DF" w:rsidRDefault="00276879" w14:paraId="1BF79BF8" w14:textId="50E829E8">
      <w:pPr>
        <w:spacing w:line="276" w:lineRule="auto"/>
        <w:rPr>
          <w:rFonts w:cs="Arial"/>
        </w:rPr>
      </w:pPr>
      <w:r>
        <w:rPr>
          <w:rFonts w:cs="Arial"/>
        </w:rPr>
        <w:t>De</w:t>
      </w:r>
      <w:r w:rsidRPr="008A7795">
        <w:rPr>
          <w:rFonts w:cs="Arial"/>
        </w:rPr>
        <w:t xml:space="preserve"> </w:t>
      </w:r>
      <w:r w:rsidRPr="008A7795" w:rsidR="00A023DF">
        <w:rPr>
          <w:rFonts w:cs="Arial"/>
        </w:rPr>
        <w:t>Kamer heeft vragen gesteld over de harmonisatie van regels en normen voor bestrijdingsmiddelen, mest en water</w:t>
      </w:r>
      <w:r w:rsidR="00A023DF">
        <w:rPr>
          <w:rStyle w:val="FootnoteReference"/>
          <w:rFonts w:cs="Arial"/>
        </w:rPr>
        <w:footnoteReference w:id="20"/>
      </w:r>
      <w:r w:rsidRPr="008A7795" w:rsidR="00A023DF">
        <w:rPr>
          <w:rFonts w:cs="Arial"/>
        </w:rPr>
        <w:t xml:space="preserve">. In algemene zin vloeien deze normen voort uit Europese richtlijnen die een bepaald belang beschermen, zoals de </w:t>
      </w:r>
      <w:r w:rsidR="00BE6FCC">
        <w:rPr>
          <w:rFonts w:cs="Arial"/>
        </w:rPr>
        <w:t>KRW</w:t>
      </w:r>
      <w:r w:rsidRPr="008A7795" w:rsidR="00A023DF">
        <w:rPr>
          <w:rFonts w:cs="Arial"/>
        </w:rPr>
        <w:t xml:space="preserve"> voor de</w:t>
      </w:r>
      <w:r w:rsidR="00A023DF">
        <w:rPr>
          <w:rFonts w:cs="Arial"/>
        </w:rPr>
        <w:t xml:space="preserve"> toestand van het</w:t>
      </w:r>
      <w:r w:rsidRPr="008A7795" w:rsidR="00A023DF">
        <w:rPr>
          <w:rFonts w:cs="Arial"/>
        </w:rPr>
        <w:t xml:space="preserve"> water. Daarbij wordt verwezen naar specifieke richtlijnen, zoals de Richtlijn prioritaire stoffen en de Drinkwaterrichtlijn. Andere Europese richtlijnen en verordeningen stellen regels aan bronnen die daarop van invloed zijn, zoals de Richtlijn behandeling van stedelijk afvalwater voor stedelijke lozingen, de Nitraatrichtlijn voor agrarische lozingen van meststoffen en de Europese Verordening gewasbeschermingsmiddelen en de Richtlijn duurzaam gebruik pesticiden voor gewasbeschermingsmiddelen.</w:t>
      </w:r>
    </w:p>
    <w:p w:rsidRPr="0014229B" w:rsidR="00A023DF" w:rsidP="00A023DF" w:rsidRDefault="00A023DF" w14:paraId="05272DC6" w14:textId="77777777">
      <w:pPr>
        <w:spacing w:line="276" w:lineRule="auto"/>
        <w:rPr>
          <w:rFonts w:cs="Arial"/>
        </w:rPr>
      </w:pPr>
    </w:p>
    <w:p w:rsidR="00A023DF" w:rsidP="00A023DF" w:rsidRDefault="00A023DF" w14:paraId="4B13ACA4" w14:textId="77777777">
      <w:pPr>
        <w:spacing w:line="276" w:lineRule="auto"/>
        <w:rPr>
          <w:rFonts w:cs="Arial"/>
        </w:rPr>
      </w:pPr>
      <w:r>
        <w:rPr>
          <w:rFonts w:cs="Arial"/>
        </w:rPr>
        <w:t xml:space="preserve">De </w:t>
      </w:r>
      <w:r w:rsidRPr="0014229B">
        <w:rPr>
          <w:rFonts w:cs="Arial"/>
        </w:rPr>
        <w:t>Nitraatrichtlijn</w:t>
      </w:r>
      <w:r>
        <w:rPr>
          <w:rFonts w:cs="Arial"/>
        </w:rPr>
        <w:t xml:space="preserve"> verwijst voor de bescherming van grondwater rechtstreeks naar een norm uit de Drinkwaterrichtlijn. Voor oppervlaktewater (inclusief de kustwateren) heeft </w:t>
      </w:r>
      <w:r w:rsidRPr="0014229B">
        <w:rPr>
          <w:rFonts w:cs="Arial"/>
        </w:rPr>
        <w:t xml:space="preserve">de Nitraatrichtlijn als doel </w:t>
      </w:r>
      <w:r>
        <w:rPr>
          <w:rFonts w:cs="Arial"/>
        </w:rPr>
        <w:t xml:space="preserve">om overmatige toevoer van </w:t>
      </w:r>
      <w:r w:rsidRPr="0014229B">
        <w:rPr>
          <w:rFonts w:cs="Arial"/>
        </w:rPr>
        <w:t xml:space="preserve">nutriënten (eutrofiëring) vanuit </w:t>
      </w:r>
      <w:r>
        <w:rPr>
          <w:rFonts w:cs="Arial"/>
        </w:rPr>
        <w:t>de landbouw te</w:t>
      </w:r>
      <w:r w:rsidRPr="0014229B">
        <w:rPr>
          <w:rFonts w:cs="Arial"/>
        </w:rPr>
        <w:t xml:space="preserve"> voorkomen. Hiervoor zijn de KRW-doelen bepalend. Daarbij is er soms ruimte voor de lidstaten om zelf invulling te geven aan normen, zodat deze goed passen bij de lokale situatie. Zo kunnen de biologische doelen per oppervlaktewaterlichaam verschillen en</w:t>
      </w:r>
      <w:r>
        <w:rPr>
          <w:rFonts w:cs="Arial"/>
        </w:rPr>
        <w:t xml:space="preserve"> daarmee</w:t>
      </w:r>
      <w:r w:rsidRPr="0014229B">
        <w:rPr>
          <w:rFonts w:cs="Arial"/>
        </w:rPr>
        <w:t xml:space="preserve"> ook de</w:t>
      </w:r>
      <w:r>
        <w:rPr>
          <w:rFonts w:cs="Arial"/>
        </w:rPr>
        <w:t xml:space="preserve"> nutriënt</w:t>
      </w:r>
      <w:r w:rsidRPr="0014229B">
        <w:rPr>
          <w:rFonts w:cs="Arial"/>
        </w:rPr>
        <w:t xml:space="preserve"> doelen die nodig zijn om die biologische doelen te bereiken. Het verder harmoniseren van deze normen gaat ten koste van het maatwerk en kan leiden tot een grotere opgave</w:t>
      </w:r>
      <w:r>
        <w:rPr>
          <w:rStyle w:val="FootnoteReference"/>
          <w:rFonts w:cs="Arial"/>
        </w:rPr>
        <w:footnoteReference w:id="21"/>
      </w:r>
      <w:r w:rsidRPr="0014229B">
        <w:rPr>
          <w:rFonts w:cs="Arial"/>
        </w:rPr>
        <w:t>. Vervolgens is het aan de lidstaten om een effectieve manier te vinden om die doelen te bereiken, rekening houdend met</w:t>
      </w:r>
      <w:r>
        <w:rPr>
          <w:rFonts w:cs="Arial"/>
        </w:rPr>
        <w:t xml:space="preserve"> dat er </w:t>
      </w:r>
      <w:r w:rsidRPr="0014229B">
        <w:rPr>
          <w:rFonts w:cs="Arial"/>
        </w:rPr>
        <w:t xml:space="preserve">verschillende bronnen kunnen zijn voor bijvoorbeeld nutriënten in het oppervlaktewater (zoals vanuit de landbouw, rioolwaterzuiveringsinstallaties of bovenstrooms gelegen landen). </w:t>
      </w:r>
    </w:p>
    <w:p w:rsidR="00A023DF" w:rsidP="00A023DF" w:rsidRDefault="00A023DF" w14:paraId="4CD2F3C2" w14:textId="77777777">
      <w:pPr>
        <w:spacing w:line="276" w:lineRule="auto"/>
        <w:rPr>
          <w:rFonts w:cs="Arial"/>
        </w:rPr>
      </w:pPr>
      <w:r>
        <w:rPr>
          <w:rFonts w:cs="Arial"/>
        </w:rPr>
        <w:t>In haar recente publicatie over de evaluatie</w:t>
      </w:r>
      <w:r w:rsidRPr="00DD097C">
        <w:rPr>
          <w:rStyle w:val="FootnoteReference"/>
          <w:rFonts w:cs="Arial"/>
        </w:rPr>
        <w:footnoteReference w:id="22"/>
      </w:r>
      <w:r>
        <w:rPr>
          <w:rFonts w:cs="Arial"/>
        </w:rPr>
        <w:t xml:space="preserve"> van de Nitraatrichtlijn ziet de Europese Commissie geen aanleiding om de richtlijn aan te passen. Ze geeft aan</w:t>
      </w:r>
      <w:r w:rsidRPr="0014229B">
        <w:rPr>
          <w:rFonts w:cs="Arial"/>
        </w:rPr>
        <w:t xml:space="preserve"> dat de KRW goede invulling geeft aan het begrip ‘eutrofiëring’ en </w:t>
      </w:r>
      <w:r>
        <w:rPr>
          <w:rFonts w:cs="Arial"/>
        </w:rPr>
        <w:t>heeft</w:t>
      </w:r>
      <w:r w:rsidRPr="0014229B">
        <w:rPr>
          <w:rFonts w:cs="Arial"/>
        </w:rPr>
        <w:t xml:space="preserve"> toegezegd om samen met lidstaten </w:t>
      </w:r>
      <w:r>
        <w:rPr>
          <w:rFonts w:cs="Arial"/>
        </w:rPr>
        <w:t>te onderzoeken</w:t>
      </w:r>
      <w:r w:rsidRPr="0014229B">
        <w:rPr>
          <w:rFonts w:cs="Arial"/>
        </w:rPr>
        <w:t xml:space="preserve"> in hoeverre monitoring en rapportage verder geharmoniseerd k</w:t>
      </w:r>
      <w:r>
        <w:rPr>
          <w:rFonts w:cs="Arial"/>
        </w:rPr>
        <w:t>unnen</w:t>
      </w:r>
      <w:r w:rsidRPr="0014229B">
        <w:rPr>
          <w:rFonts w:cs="Arial"/>
        </w:rPr>
        <w:t xml:space="preserve"> worden. </w:t>
      </w:r>
    </w:p>
    <w:p w:rsidR="00A023DF" w:rsidP="00A023DF" w:rsidRDefault="00A023DF" w14:paraId="53DE2DB2" w14:textId="77777777">
      <w:pPr>
        <w:spacing w:line="276" w:lineRule="auto"/>
      </w:pPr>
    </w:p>
    <w:p w:rsidR="00A023DF" w:rsidP="00A023DF" w:rsidRDefault="00A023DF" w14:paraId="0D8BE5CD" w14:textId="77777777">
      <w:pPr>
        <w:spacing w:line="276" w:lineRule="auto"/>
        <w:rPr>
          <w:rFonts w:cs="Arial"/>
        </w:rPr>
      </w:pPr>
      <w:r>
        <w:rPr>
          <w:rFonts w:cs="Arial"/>
        </w:rPr>
        <w:t xml:space="preserve">De Europese gewasbeschermingsverordening biedt gelegenheid om de </w:t>
      </w:r>
      <w:r w:rsidRPr="008D77C4">
        <w:rPr>
          <w:rFonts w:cs="Arial"/>
        </w:rPr>
        <w:t xml:space="preserve">normstelling van toelatingscriteria en KRW-milieukwaliteitsnormen </w:t>
      </w:r>
      <w:r>
        <w:rPr>
          <w:rFonts w:cs="Arial"/>
        </w:rPr>
        <w:t xml:space="preserve">beter </w:t>
      </w:r>
      <w:r w:rsidRPr="008D77C4">
        <w:rPr>
          <w:rFonts w:cs="Arial"/>
        </w:rPr>
        <w:t>op elkaar af</w:t>
      </w:r>
      <w:r>
        <w:rPr>
          <w:rFonts w:cs="Arial"/>
        </w:rPr>
        <w:t xml:space="preserve"> te </w:t>
      </w:r>
      <w:r w:rsidRPr="008D77C4">
        <w:rPr>
          <w:rFonts w:cs="Arial"/>
        </w:rPr>
        <w:t>stem</w:t>
      </w:r>
      <w:r>
        <w:rPr>
          <w:rFonts w:cs="Arial"/>
        </w:rPr>
        <w:t>men</w:t>
      </w:r>
      <w:r w:rsidRPr="008D77C4">
        <w:rPr>
          <w:rFonts w:cs="Arial"/>
        </w:rPr>
        <w:t xml:space="preserve">. </w:t>
      </w:r>
      <w:r>
        <w:rPr>
          <w:rFonts w:cs="Arial"/>
        </w:rPr>
        <w:t>Nederland is de eerste lidstaat die hiervoor een methodiek ontwikkelt</w:t>
      </w:r>
      <w:r>
        <w:rPr>
          <w:rStyle w:val="FootnoteReference"/>
          <w:rFonts w:cs="Arial"/>
        </w:rPr>
        <w:footnoteReference w:id="23"/>
      </w:r>
      <w:r>
        <w:rPr>
          <w:rFonts w:cs="Arial"/>
        </w:rPr>
        <w:t>. De Nederlandse toelatingsautoriteit, het College ter beoordeling van gewasbeschermingsmiddelen en biociden (Ctgb), start vanaf begin 2027 met de herbeoordeling van middelen die stoffen bevatten die structureel de KRW-norm overschrijden. Daarnaast is er de wens om een gelijk speelveld binnen de EU te creëren door de normstelling van toelatingscriteria en KRW-milieukwaliteitsnormen voor in ieder geval geharmoniseerde prioritaire stoffen af te stemmen. De Europese Commissie is over deze wens ambtelijk geïnformeerd begin 2026</w:t>
      </w:r>
      <w:r>
        <w:rPr>
          <w:rStyle w:val="FootnoteReference"/>
          <w:rFonts w:cs="Arial"/>
        </w:rPr>
        <w:footnoteReference w:id="24"/>
      </w:r>
      <w:r>
        <w:rPr>
          <w:rFonts w:cs="Arial"/>
        </w:rPr>
        <w:t>.</w:t>
      </w:r>
    </w:p>
    <w:p w:rsidRPr="0014229B" w:rsidR="00A023DF" w:rsidP="00A023DF" w:rsidRDefault="00A023DF" w14:paraId="4AFB9EAC" w14:textId="77777777">
      <w:pPr>
        <w:spacing w:line="276" w:lineRule="auto"/>
      </w:pPr>
    </w:p>
    <w:p w:rsidR="00A023DF" w:rsidP="00A023DF" w:rsidRDefault="00F22F14" w14:paraId="320304FA" w14:textId="5D527CF6">
      <w:pPr>
        <w:spacing w:line="276" w:lineRule="auto"/>
        <w:rPr>
          <w:rFonts w:cs="Arial"/>
        </w:rPr>
      </w:pPr>
      <w:r>
        <w:rPr>
          <w:rFonts w:cs="Arial"/>
        </w:rPr>
        <w:t>Veel</w:t>
      </w:r>
      <w:r w:rsidRPr="0066038E" w:rsidR="00A023DF">
        <w:rPr>
          <w:rFonts w:cs="Arial"/>
        </w:rPr>
        <w:t xml:space="preserve"> verschillende Europese richtlijnen </w:t>
      </w:r>
      <w:r w:rsidR="00A023DF">
        <w:rPr>
          <w:rFonts w:cs="Arial"/>
        </w:rPr>
        <w:t>verwijzen veelal naar elkaar en zijn daarmee</w:t>
      </w:r>
      <w:r w:rsidRPr="0066038E" w:rsidR="00A023DF">
        <w:rPr>
          <w:rFonts w:cs="Arial"/>
        </w:rPr>
        <w:t xml:space="preserve"> complementair</w:t>
      </w:r>
      <w:r w:rsidR="00A023DF">
        <w:rPr>
          <w:rFonts w:cs="Arial"/>
        </w:rPr>
        <w:t>. Normen zijn over het algemeen geharmoniseerd</w:t>
      </w:r>
      <w:r w:rsidRPr="0066038E" w:rsidR="00A023DF">
        <w:rPr>
          <w:rFonts w:cs="Arial"/>
        </w:rPr>
        <w:t xml:space="preserve">. Verdere harmonisatie </w:t>
      </w:r>
      <w:r w:rsidR="00A023DF">
        <w:rPr>
          <w:rFonts w:cs="Arial"/>
        </w:rPr>
        <w:t>is complex vanwege de verschillende doelen en bronnen. Wanneer er ruimte is voor nationale invulling van normen, kan verdere harmonisatie ten koste gaan van maatwerk en leiden tot een onnodig grote opgave. Er is wel ruimte voor verdere harmonisatie van de procedures die volgen uit de verschillende richtlijnen. Dit is onderdeel van de lopende onderhandelingen van de Milieuomnibus</w:t>
      </w:r>
      <w:r w:rsidR="00A023DF">
        <w:rPr>
          <w:rStyle w:val="FootnoteReference"/>
          <w:rFonts w:cs="Arial"/>
        </w:rPr>
        <w:footnoteReference w:id="25"/>
      </w:r>
      <w:r w:rsidR="00A023DF">
        <w:rPr>
          <w:rFonts w:cs="Arial"/>
        </w:rPr>
        <w:t>. Tot slot heeft Nederland op het gebied van gewasbeschermingsmiddelen, zoals hierboven genoemd, nog wensen voor verdere harmonisatie.</w:t>
      </w:r>
    </w:p>
    <w:p w:rsidR="00A023DF" w:rsidP="00A023DF" w:rsidRDefault="00A023DF" w14:paraId="38E2B227" w14:textId="77777777">
      <w:pPr>
        <w:spacing w:line="276" w:lineRule="auto"/>
        <w:rPr>
          <w:rFonts w:cs="Arial"/>
        </w:rPr>
      </w:pPr>
    </w:p>
    <w:p w:rsidRPr="001D568B" w:rsidR="00A023DF" w:rsidP="00A023DF" w:rsidRDefault="00A023DF" w14:paraId="6BD95902" w14:textId="77777777">
      <w:pPr>
        <w:spacing w:line="276" w:lineRule="auto"/>
        <w:rPr>
          <w:rFonts w:cs="Arial"/>
          <w:i/>
          <w:iCs/>
        </w:rPr>
      </w:pPr>
      <w:bookmarkStart w:name="_Hlk240381772" w:id="2"/>
      <w:r>
        <w:rPr>
          <w:rFonts w:cs="Arial"/>
          <w:i/>
          <w:iCs/>
        </w:rPr>
        <w:t>Koelwater</w:t>
      </w:r>
    </w:p>
    <w:p w:rsidR="00A023DF" w:rsidP="00A023DF" w:rsidRDefault="006A6B75" w14:paraId="0C388F93" w14:textId="7DD30805">
      <w:r>
        <w:t xml:space="preserve">Het </w:t>
      </w:r>
      <w:r w:rsidR="00A023DF">
        <w:t xml:space="preserve">lid Schutz </w:t>
      </w:r>
      <w:r>
        <w:t xml:space="preserve">heeft gevraagd </w:t>
      </w:r>
      <w:r w:rsidR="00A023DF">
        <w:t xml:space="preserve">geïnformeerd </w:t>
      </w:r>
      <w:r>
        <w:t xml:space="preserve">te </w:t>
      </w:r>
      <w:r w:rsidR="00A023DF">
        <w:t>worden over de effecten van koelwaterlozingen, inclusief het gevolg van het verlagen van de maximale temperatuur</w:t>
      </w:r>
      <w:r w:rsidR="00A023DF">
        <w:rPr>
          <w:rStyle w:val="FootnoteReference"/>
        </w:rPr>
        <w:footnoteReference w:id="26"/>
      </w:r>
      <w:r w:rsidR="00A023DF">
        <w:t>. Koelwater is in Nederland en in de door ons omringende landen belangrijk voor de</w:t>
      </w:r>
      <w:r w:rsidR="0010692E">
        <w:t xml:space="preserve"> elektriciteitsproductie en cruciaal voor de Nederlandse</w:t>
      </w:r>
      <w:r w:rsidR="00A023DF">
        <w:t xml:space="preserve"> energievoorziening en diverse industrieën. Dat is al vele decennia een gangbaar gebruik. Koelwaterlozingen beïnvloeden de watertemperatuur, het water wordt in enige mate warmer. In grote en stromende wateren is de invloed geringer dan voor kleinere, ondiepe en niet of nauwelijks stromende wateren.</w:t>
      </w:r>
      <w:r w:rsidRPr="007B1477" w:rsidR="00A023DF">
        <w:t xml:space="preserve"> </w:t>
      </w:r>
      <w:r w:rsidR="00A023DF">
        <w:t>Voor de ecologie, onze drinkwatervoorziening en voor de volksgezondheid is het van belang dat de watertemperatuur niet te hoog wordt.</w:t>
      </w:r>
      <w:r w:rsidRPr="007B1477" w:rsidR="00A023DF">
        <w:t xml:space="preserve"> </w:t>
      </w:r>
      <w:r w:rsidR="0010502B">
        <w:t xml:space="preserve">Daarom wordt al sinds de Europese Viswaterrichtlijn, de voorloper van de KRW, gestuurd op het voorkomen van te hoge watertemperaturen en vormde deze richtlijn een belangrijk kader voor de vergunningverlening. </w:t>
      </w:r>
    </w:p>
    <w:p w:rsidR="00A023DF" w:rsidP="00A023DF" w:rsidRDefault="00A023DF" w14:paraId="70E8B8F7" w14:textId="77777777"/>
    <w:p w:rsidR="0010692E" w:rsidP="00A023DF" w:rsidRDefault="00DC7642" w14:paraId="76C418FF" w14:textId="2D28B4A2">
      <w:r>
        <w:t xml:space="preserve">Vanuit </w:t>
      </w:r>
      <w:r w:rsidR="00A023DF">
        <w:t xml:space="preserve">de </w:t>
      </w:r>
      <w:r w:rsidR="0010502B">
        <w:t>KRW</w:t>
      </w:r>
      <w:r w:rsidR="00A023DF">
        <w:t xml:space="preserve"> zijn</w:t>
      </w:r>
      <w:r w:rsidR="0010692E">
        <w:t xml:space="preserve"> in Nederland </w:t>
      </w:r>
      <w:r w:rsidR="00A023DF">
        <w:t xml:space="preserve">doelen gesteld voor de kwaliteit van het oppervlaktewater. </w:t>
      </w:r>
      <w:r w:rsidR="0010692E">
        <w:t>De</w:t>
      </w:r>
      <w:r w:rsidR="00A023DF">
        <w:t xml:space="preserve"> watertemperatuur </w:t>
      </w:r>
      <w:r w:rsidR="0010692E">
        <w:t>is een onderdeel van deze doelen, zoals voorgeschreven vanuit de KRW</w:t>
      </w:r>
      <w:r w:rsidR="00A023DF">
        <w:t>.</w:t>
      </w:r>
      <w:r w:rsidR="0010692E">
        <w:t xml:space="preserve"> Dit betekent dat deze doelen onderdeel worden van de beoordeling vergunningaanvragen voor nieuwe koelwaterlozingen en bestaande vergunning daarop worden bezien. Daar</w:t>
      </w:r>
      <w:r w:rsidR="00C90ED5">
        <w:t>voor w</w:t>
      </w:r>
      <w:r w:rsidR="0010692E">
        <w:t>erken we aan de ontwikkeling van een beoordelingswijze waarin de koelwaterlozingen gerelateerd worden aan de doelstelling van de maximale watertemperatuur</w:t>
      </w:r>
      <w:r w:rsidRPr="007B1477" w:rsidR="0010692E">
        <w:t xml:space="preserve"> </w:t>
      </w:r>
      <w:r w:rsidR="0010692E">
        <w:t>en beoordelen we de effecten op het gehele waterlichaam. Dat wil zeggen dat de temperatuur op het lozingspunt kan afwijken van de doel temperatuur van het gehele waterlichaam.</w:t>
      </w:r>
    </w:p>
    <w:p w:rsidR="0010692E" w:rsidP="00A023DF" w:rsidRDefault="0010692E" w14:paraId="1B509299" w14:textId="77777777"/>
    <w:p w:rsidR="00A023DF" w:rsidP="00A023DF" w:rsidRDefault="0010692E" w14:paraId="2B0CCF46" w14:textId="7A63897D">
      <w:r>
        <w:t>Van belang in de beoordeling, gegeven de KRW, is dat e</w:t>
      </w:r>
      <w:r w:rsidR="00A023DF">
        <w:t xml:space="preserve">en stijging van de watertemperatuur </w:t>
      </w:r>
      <w:r w:rsidR="009B587A">
        <w:t>doo</w:t>
      </w:r>
      <w:r w:rsidR="00AC23B9">
        <w:t>r</w:t>
      </w:r>
      <w:r w:rsidR="009B587A">
        <w:t xml:space="preserve"> koelwaterlozingen</w:t>
      </w:r>
      <w:r>
        <w:t xml:space="preserve"> niet</w:t>
      </w:r>
      <w:r w:rsidR="009B587A">
        <w:t xml:space="preserve"> </w:t>
      </w:r>
      <w:r w:rsidR="00A023DF">
        <w:t>ma</w:t>
      </w:r>
      <w:r>
        <w:t>g</w:t>
      </w:r>
      <w:r w:rsidR="00A023DF">
        <w:t xml:space="preserve"> leiden tot structureel nadelige effecten</w:t>
      </w:r>
      <w:r w:rsidR="00FD50C3">
        <w:t xml:space="preserve"> voor de economie</w:t>
      </w:r>
      <w:r w:rsidR="005E3F42">
        <w:t xml:space="preserve"> </w:t>
      </w:r>
      <w:r w:rsidR="00A023DF">
        <w:t xml:space="preserve">of ertoe leiden dat de doelen voor de waterkwaliteit niet (meer) worden bereikt. </w:t>
      </w:r>
      <w:r w:rsidRPr="00400EB6" w:rsidR="00A023DF">
        <w:t>Uit uitgevoerde botsproeven en de</w:t>
      </w:r>
      <w:r w:rsidR="00A023DF">
        <w:t xml:space="preserve"> KRW-</w:t>
      </w:r>
      <w:r w:rsidRPr="00400EB6" w:rsidR="00A023DF">
        <w:t>monitoring blijkt</w:t>
      </w:r>
      <w:r w:rsidR="00A023DF">
        <w:t xml:space="preserve"> </w:t>
      </w:r>
      <w:r w:rsidRPr="00400EB6" w:rsidR="00A023DF">
        <w:t>dat er nog steeds ruimte beschikbaar is voor koelwaterlozingen in waterlichamen.</w:t>
      </w:r>
      <w:r w:rsidR="00A023DF">
        <w:t xml:space="preserve"> Hoewel de doeltemperatuur voor veel waterlichamen veelal lager ligt dan de norm die we hanteerden </w:t>
      </w:r>
      <w:r w:rsidR="00D77737">
        <w:t>met de</w:t>
      </w:r>
      <w:r w:rsidR="00A023DF">
        <w:t xml:space="preserve"> Viswaterrichtlijn zien we geen directe gevolgen voor bestaande lozingen. Momenteel worden de doelen voor de watertemperatuur voor veel waterlichamen</w:t>
      </w:r>
      <w:r w:rsidR="00C90ED5">
        <w:t>,</w:t>
      </w:r>
      <w:r w:rsidR="00A023DF">
        <w:t xml:space="preserve"> waarop koelwaterlozingen plaatsvinden</w:t>
      </w:r>
      <w:r w:rsidR="00C90ED5">
        <w:t>,</w:t>
      </w:r>
      <w:r w:rsidR="00A023DF">
        <w:t xml:space="preserve"> gehaald. </w:t>
      </w:r>
    </w:p>
    <w:p w:rsidR="00A023DF" w:rsidP="00A023DF" w:rsidRDefault="00A023DF" w14:paraId="25786781" w14:textId="77777777"/>
    <w:p w:rsidR="0050530C" w:rsidP="00A023DF" w:rsidRDefault="00A023DF" w14:paraId="7B167FA3" w14:textId="7EB30FCC">
      <w:r>
        <w:t xml:space="preserve">Aan het ontwerp van de beoordelingssystematiek, waarin de doeltemperatuur van een waterlichaam centraal staat, wordt momenteel de laatste hand gelegd. In samenhang met het </w:t>
      </w:r>
      <w:r w:rsidR="00AF784C">
        <w:t>NWP</w:t>
      </w:r>
      <w:r>
        <w:t xml:space="preserve"> willen we eind dit jaar deze beoordelingssystematiek voor koelwaterlozingen voorleggen aan medeoverheden en koepels als VNO-NCW, VEWM en Energie Nederland.</w:t>
      </w:r>
      <w:r w:rsidRPr="00FB546C">
        <w:t xml:space="preserve"> </w:t>
      </w:r>
      <w:r>
        <w:t>In het reeds uitgevoerde en nog te doorlopen ontwikkelproces voor dit ontwerp vindt op gezette momenten afstemming en inhoudelijk werkoverleg met deze partijen plaats</w:t>
      </w:r>
      <w:r>
        <w:rPr>
          <w:rStyle w:val="FootnoteReference"/>
        </w:rPr>
        <w:footnoteReference w:id="27"/>
      </w:r>
      <w:r>
        <w:t>.</w:t>
      </w:r>
      <w:bookmarkEnd w:id="2"/>
    </w:p>
    <w:p w:rsidR="00A023DF" w:rsidP="00A023DF" w:rsidRDefault="00A023DF" w14:paraId="761B78DC" w14:textId="77777777">
      <w:pPr>
        <w:rPr>
          <w:b/>
          <w:bCs/>
        </w:rPr>
      </w:pPr>
    </w:p>
    <w:p w:rsidR="00A023DF" w:rsidP="00A023DF" w:rsidRDefault="00A023DF" w14:paraId="16F898D2" w14:textId="77777777">
      <w:pPr>
        <w:pStyle w:val="ListParagraph"/>
        <w:numPr>
          <w:ilvl w:val="0"/>
          <w:numId w:val="24"/>
        </w:numPr>
        <w:rPr>
          <w:b/>
          <w:bCs/>
        </w:rPr>
      </w:pPr>
      <w:bookmarkStart w:name="_Hlk240381290" w:id="3"/>
      <w:r>
        <w:rPr>
          <w:b/>
          <w:bCs/>
        </w:rPr>
        <w:t>Overig</w:t>
      </w:r>
    </w:p>
    <w:p w:rsidR="00A023DF" w:rsidP="00A023DF" w:rsidRDefault="00A023DF" w14:paraId="5A0B5E5E" w14:textId="77777777">
      <w:pPr>
        <w:rPr>
          <w:i/>
          <w:iCs/>
        </w:rPr>
      </w:pPr>
    </w:p>
    <w:p w:rsidRPr="007D603E" w:rsidR="00A023DF" w:rsidP="00A023DF" w:rsidRDefault="00A023DF" w14:paraId="01303131" w14:textId="56D93D08">
      <w:pPr>
        <w:rPr>
          <w:color w:val="auto"/>
        </w:rPr>
      </w:pPr>
      <w:bookmarkStart w:name="_Hlk240381468" w:id="4"/>
      <w:r>
        <w:t xml:space="preserve">Het lid </w:t>
      </w:r>
      <w:r w:rsidRPr="00276879" w:rsidR="00276879">
        <w:t>Kostić</w:t>
      </w:r>
      <w:r w:rsidR="00276879">
        <w:t xml:space="preserve"> heeft verzocht om </w:t>
      </w:r>
      <w:r>
        <w:t>een reactie op de signalen van onder meer de Algemene Rekenkamer dat het niet goed gaat met toezicht en de handhaving in het kader van het VTH-stelsel</w:t>
      </w:r>
      <w:r>
        <w:rPr>
          <w:rStyle w:val="FootnoteReference"/>
        </w:rPr>
        <w:footnoteReference w:id="28"/>
      </w:r>
      <w:r>
        <w:t xml:space="preserve">. </w:t>
      </w:r>
      <w:r w:rsidRPr="007D603E">
        <w:t>Op 4 maart jl. publiceerde de Algemene Rekenkamer (hierna: AR) het rapport “</w:t>
      </w:r>
      <w:r w:rsidRPr="000313F4">
        <w:rPr>
          <w:i/>
          <w:iCs/>
        </w:rPr>
        <w:t>Focus op industriële lozingen</w:t>
      </w:r>
      <w:r w:rsidRPr="007D603E">
        <w:t xml:space="preserve">”, dat in zijn algemeenheid ingaat op de toestand van de rijkswateren, de concentratie van vijftien stoffen hierin over de afgelopen jaren en de relatie met het behalen van de KRW-doelen. Daarnaast heeft de AR gekeken naar de manier waarop het VTH-stelsel ten aanzien van lozingsvergunningen binnen Rijkswaterstaat is ingericht en functioneert. Rijkswaterstaat is namens mij bevoegd gezag voor VTH van ca. 700 lozingsvergunningen </w:t>
      </w:r>
      <w:r w:rsidR="006C4997">
        <w:t>op</w:t>
      </w:r>
      <w:r w:rsidRPr="007D603E" w:rsidR="006C4997">
        <w:t xml:space="preserve"> </w:t>
      </w:r>
      <w:r w:rsidRPr="007D603E">
        <w:t xml:space="preserve">rijkswateren. In de door mijn voorganger gegeven bestuurlijke reactie </w:t>
      </w:r>
      <w:r>
        <w:t>is</w:t>
      </w:r>
      <w:r w:rsidRPr="007D603E">
        <w:t xml:space="preserve"> een aantal bevindingen, met name in relatie tot het informatiebeheer binnen de VTH-keten bi</w:t>
      </w:r>
      <w:r>
        <w:t>j</w:t>
      </w:r>
      <w:r w:rsidRPr="007D603E">
        <w:t xml:space="preserve"> Rijkswaterstaat, onderschreven.</w:t>
      </w:r>
      <w:r w:rsidR="00704F7E">
        <w:t xml:space="preserve"> </w:t>
      </w:r>
      <w:bookmarkStart w:name="_Hlk240381490" w:id="5"/>
      <w:bookmarkEnd w:id="4"/>
      <w:r w:rsidR="00704F7E">
        <w:t>De door de AR gesignaleerde risico’s over de wijze waarop vergunningverlening en toezicht worden uitgevoerd, worden niet volledig herkend. Rijkswaterstaat erkent dat er verbeterpunten zijn, maar benadrukt dat er al veel gebeurt op met name het inhalen van de achterstand bij het actualiseren van lozingsvergunningen.</w:t>
      </w:r>
      <w:r w:rsidRPr="007D603E">
        <w:t xml:space="preserve"> </w:t>
      </w:r>
      <w:r w:rsidR="00F505DC">
        <w:t>Daarnaast onderschrijft</w:t>
      </w:r>
      <w:bookmarkEnd w:id="5"/>
      <w:r w:rsidR="00F505DC">
        <w:t xml:space="preserve"> </w:t>
      </w:r>
      <w:bookmarkStart w:name="_Hlk240381500" w:id="6"/>
      <w:r w:rsidRPr="007D603E">
        <w:t>Rijkswaterstaat</w:t>
      </w:r>
      <w:r w:rsidR="00704F7E">
        <w:t xml:space="preserve"> het belang van het actualiseren van lozingsvergunningen in het kader van de KRW. Tegelijkertijd is dit op zichzelf niet voldoende om de KRW-doelen te behalen. De bijdrage van industriële lozingen aan de totale concentratie van stoffen in de rijkswateren is relatief beperkt.</w:t>
      </w:r>
      <w:r w:rsidR="00A43BDF">
        <w:t xml:space="preserve"> </w:t>
      </w:r>
      <w:r w:rsidRPr="00001C0F" w:rsidR="00A43BDF">
        <w:rPr>
          <w:color w:val="auto"/>
        </w:rPr>
        <w:t>Andere bronnen, zoals de landbouw en verontreinigingen vanuit het buitenland, leveren een aanzienlijk grotere bijdrage.</w:t>
      </w:r>
      <w:bookmarkEnd w:id="6"/>
      <w:r w:rsidR="00704F7E">
        <w:t xml:space="preserve"> </w:t>
      </w:r>
      <w:bookmarkStart w:name="_Hlk240381531" w:id="7"/>
      <w:r w:rsidR="00704F7E">
        <w:t xml:space="preserve">Alleen het </w:t>
      </w:r>
      <w:r w:rsidRPr="007D603E">
        <w:t xml:space="preserve">actualiseren </w:t>
      </w:r>
      <w:r w:rsidR="00704F7E">
        <w:t>van de</w:t>
      </w:r>
      <w:r w:rsidR="00A43BDF">
        <w:t xml:space="preserve"> </w:t>
      </w:r>
      <w:r w:rsidR="00704F7E">
        <w:t xml:space="preserve">lozingsvergunningen leidt niet </w:t>
      </w:r>
      <w:r w:rsidRPr="007D603E">
        <w:t xml:space="preserve">tot een grote verbetering van de waterkwaliteit. </w:t>
      </w:r>
      <w:r w:rsidRPr="00A43BDF" w:rsidR="00A43BDF">
        <w:rPr>
          <w:color w:val="auto"/>
        </w:rPr>
        <w:t xml:space="preserve"> </w:t>
      </w:r>
      <w:bookmarkEnd w:id="7"/>
    </w:p>
    <w:p w:rsidRPr="007D603E" w:rsidR="00A023DF" w:rsidP="00A023DF" w:rsidRDefault="00A023DF" w14:paraId="30DBCDA3" w14:textId="77777777"/>
    <w:p w:rsidR="00A023DF" w:rsidP="00A023DF" w:rsidRDefault="00A023DF" w14:paraId="160816A6" w14:textId="21C3C485">
      <w:r w:rsidRPr="007D603E">
        <w:t xml:space="preserve">Het AR-rapport ondersteunt en geeft richting aan reeds binnen Rijkswaterstaat ingezette verbeteracties. Over laatstgenoemde acties </w:t>
      </w:r>
      <w:r w:rsidR="00BE6FCC">
        <w:t>is</w:t>
      </w:r>
      <w:r w:rsidRPr="007D603E">
        <w:t xml:space="preserve"> ook gerapporteerd in de Kamerbrief </w:t>
      </w:r>
      <w:r>
        <w:t>voor</w:t>
      </w:r>
      <w:r w:rsidRPr="007D603E">
        <w:t xml:space="preserve"> het Wetgevingsoverleg water van 27 januari 2026. In de Kamerbrief 19 juni jl</w:t>
      </w:r>
      <w:r w:rsidR="00BE6FCC">
        <w:rPr>
          <w:rStyle w:val="FootnoteReference"/>
        </w:rPr>
        <w:footnoteReference w:id="29"/>
      </w:r>
      <w:r w:rsidR="00A35914">
        <w:t>.</w:t>
      </w:r>
      <w:r w:rsidRPr="007D603E">
        <w:t xml:space="preserve"> </w:t>
      </w:r>
      <w:r w:rsidR="00BE6FCC">
        <w:t>is</w:t>
      </w:r>
      <w:r w:rsidRPr="007D603E">
        <w:t xml:space="preserve"> ingegaan op de stand van zaken van de actualisatie van lozingsvergunningen bij Rijkswaterstaat. </w:t>
      </w:r>
      <w:bookmarkEnd w:id="3"/>
    </w:p>
    <w:p w:rsidRPr="003D27C1" w:rsidR="00114651" w:rsidP="00A023DF" w:rsidRDefault="00114651" w14:paraId="297D3DAD" w14:textId="77777777">
      <w:pPr>
        <w:rPr>
          <w:i/>
          <w:iCs/>
        </w:rPr>
      </w:pPr>
    </w:p>
    <w:p w:rsidR="00A023DF" w:rsidP="00A023DF" w:rsidRDefault="00A023DF" w14:paraId="06C74A58" w14:textId="28DDBDD5">
      <w:r>
        <w:t xml:space="preserve">Tot slot heeft </w:t>
      </w:r>
      <w:r w:rsidR="00276879">
        <w:t xml:space="preserve">de </w:t>
      </w:r>
      <w:r>
        <w:t xml:space="preserve">Kamer gevraagd om een reactie </w:t>
      </w:r>
      <w:r w:rsidRPr="00E27778">
        <w:t xml:space="preserve">op </w:t>
      </w:r>
      <w:r>
        <w:t>een aantal ‘p</w:t>
      </w:r>
      <w:r w:rsidRPr="00E27778">
        <w:t>osition papers</w:t>
      </w:r>
      <w:r>
        <w:t>’</w:t>
      </w:r>
      <w:r w:rsidRPr="00E27778">
        <w:t xml:space="preserve"> </w:t>
      </w:r>
      <w:r>
        <w:t>die zijn opgesteld vanwege het</w:t>
      </w:r>
      <w:r w:rsidRPr="00E27778">
        <w:t xml:space="preserve"> rondetafelgesprek </w:t>
      </w:r>
      <w:r>
        <w:t xml:space="preserve">van </w:t>
      </w:r>
      <w:r w:rsidRPr="00E27778">
        <w:t>24 juni 2026</w:t>
      </w:r>
      <w:r>
        <w:t xml:space="preserve"> jl</w:t>
      </w:r>
      <w:r w:rsidRPr="00E27778">
        <w:t>.</w:t>
      </w:r>
      <w:r>
        <w:t xml:space="preserve"> over de herziening van de </w:t>
      </w:r>
      <w:r w:rsidR="00BE6FCC">
        <w:t>KRW</w:t>
      </w:r>
      <w:r>
        <w:rPr>
          <w:rStyle w:val="FootnoteReference"/>
        </w:rPr>
        <w:footnoteReference w:id="30"/>
      </w:r>
      <w:r>
        <w:t xml:space="preserve">. </w:t>
      </w:r>
      <w:r w:rsidRPr="00E27778">
        <w:t xml:space="preserve"> </w:t>
      </w:r>
      <w:r w:rsidRPr="00E27778">
        <w:br/>
      </w:r>
    </w:p>
    <w:p w:rsidR="00A023DF" w:rsidP="00A023DF" w:rsidRDefault="00A023DF" w14:paraId="267BD5EE" w14:textId="77777777">
      <w:r>
        <w:t>Het kabinet heeft eerder aangegeven v</w:t>
      </w:r>
      <w:r w:rsidRPr="008036C0">
        <w:t xml:space="preserve">eel belang </w:t>
      </w:r>
      <w:r>
        <w:t xml:space="preserve">te </w:t>
      </w:r>
      <w:r w:rsidRPr="008036C0">
        <w:t>hecht</w:t>
      </w:r>
      <w:r>
        <w:t>en</w:t>
      </w:r>
      <w:r w:rsidRPr="008036C0">
        <w:t xml:space="preserve"> aan het effectiever maken van EU-wetgeving en regelgeving waarin bedrijven kunnen floreren, zonder afbreuk te doen aan de doelstellingen van de EU-wetgeving</w:t>
      </w:r>
      <w:r>
        <w:t>.</w:t>
      </w:r>
      <w:r w:rsidRPr="008036C0">
        <w:t xml:space="preserve"> </w:t>
      </w:r>
      <w:r>
        <w:t xml:space="preserve">Eveneens is daarbij benoemd dat het kabinet geen </w:t>
      </w:r>
      <w:r w:rsidRPr="008036C0">
        <w:t>knelpunten ervaart bij projecten met kritieke grondstoffen in relatie tot de KRW</w:t>
      </w:r>
      <w:r>
        <w:t xml:space="preserve"> en r</w:t>
      </w:r>
      <w:r w:rsidRPr="008036C0">
        <w:t>isico’s ziet bij eventuele versoepeling van de KRW-doelen, omdat dit negatieve gevolgen kan hebben voor Nederland als benedenstrooms land</w:t>
      </w:r>
      <w:r>
        <w:t>.</w:t>
      </w:r>
      <w:r>
        <w:rPr>
          <w:rStyle w:val="FootnoteReference"/>
        </w:rPr>
        <w:footnoteReference w:id="31"/>
      </w:r>
      <w:r>
        <w:t xml:space="preserve"> </w:t>
      </w:r>
    </w:p>
    <w:p w:rsidR="00A023DF" w:rsidP="00A023DF" w:rsidRDefault="00A023DF" w14:paraId="77CADBA2" w14:textId="77777777"/>
    <w:p w:rsidRPr="0014229B" w:rsidR="00A023DF" w:rsidP="00A023DF" w:rsidRDefault="00A023DF" w14:paraId="3C58BD54" w14:textId="77777777">
      <w:pPr>
        <w:rPr>
          <w:rFonts w:cstheme="minorHAnsi"/>
        </w:rPr>
      </w:pPr>
      <w:r>
        <w:t>Het kabinet steunt de ambitie van de KRW. V</w:t>
      </w:r>
      <w:r w:rsidRPr="00C24803">
        <w:t xml:space="preserve">oldoende, schoon en gezond water </w:t>
      </w:r>
      <w:r>
        <w:t xml:space="preserve">is </w:t>
      </w:r>
      <w:r w:rsidRPr="00C24803">
        <w:t xml:space="preserve">essentieel voor mens en natuur: voor </w:t>
      </w:r>
      <w:r>
        <w:t>ons</w:t>
      </w:r>
      <w:r w:rsidRPr="00C24803">
        <w:t xml:space="preserve"> drinkwater, voor onze landbouw en industrie, onze recreatie en als leefgebied voor dieren en planten.</w:t>
      </w:r>
      <w:r>
        <w:t xml:space="preserve"> De KRW bevat hiervoor concrete doelen en een steeds groter deel van die doelen wordt bereikt. Indien </w:t>
      </w:r>
      <w:r w:rsidRPr="007868CE">
        <w:t xml:space="preserve">een KRW-doel niet </w:t>
      </w:r>
      <w:r>
        <w:t>tijdig wordt behaald</w:t>
      </w:r>
      <w:r w:rsidRPr="007868CE">
        <w:t xml:space="preserve"> zijn </w:t>
      </w:r>
      <w:r>
        <w:t>er</w:t>
      </w:r>
      <w:r w:rsidRPr="007868CE">
        <w:t xml:space="preserve"> expliciete bepalingen </w:t>
      </w:r>
      <w:r>
        <w:t>i</w:t>
      </w:r>
      <w:r w:rsidRPr="007868CE">
        <w:t>n de richtlijn: de 'uitzonderingsmogelijkheden'</w:t>
      </w:r>
      <w:r>
        <w:t>. Daar heeft Nederland gebruik van gemaakt en dat zal ook gebeuren in de stroomgebiedbeheerplannen 2028-2033, die eind dit jaar ter inzage zullen worden gelegd</w:t>
      </w:r>
      <w:r>
        <w:rPr>
          <w:rStyle w:val="FootnoteReference"/>
        </w:rPr>
        <w:footnoteReference w:id="32"/>
      </w:r>
      <w:r>
        <w:t xml:space="preserve">. Onderdeel van de systematiek van de KRW is dat er nieuwe stoffen en normen worden toegevoegd en stoffen van de lijsten gaan, die geen probleem meer vormen. Bij nieuwe stoffen en normen gelden ook nieuwe termijnen die ruim na 2027 liggen. Tot slot is eerder al aangegeven dat Nederland niet structureel strengere normen hanteert dan andere lidstaten en zich waar nodig inzet voor verdere </w:t>
      </w:r>
      <w:r w:rsidRPr="0014229B">
        <w:rPr>
          <w:rFonts w:cstheme="minorHAnsi"/>
        </w:rPr>
        <w:t>harmonisatie met het oog op een gelijk Europees speelveld</w:t>
      </w:r>
      <w:r>
        <w:rPr>
          <w:rStyle w:val="FootnoteReference"/>
          <w:rFonts w:cstheme="minorHAnsi"/>
        </w:rPr>
        <w:footnoteReference w:id="33"/>
      </w:r>
      <w:r w:rsidRPr="0014229B">
        <w:rPr>
          <w:rFonts w:cstheme="minorHAnsi"/>
        </w:rPr>
        <w:t>.</w:t>
      </w:r>
    </w:p>
    <w:p w:rsidR="00A023DF" w:rsidP="00A023DF" w:rsidRDefault="00A023DF" w14:paraId="33641383" w14:textId="77777777">
      <w:pPr>
        <w:pStyle w:val="ListParagraph"/>
      </w:pPr>
    </w:p>
    <w:p w:rsidR="00A023DF" w:rsidP="00A023DF" w:rsidRDefault="00A023DF" w14:paraId="214D53D2" w14:textId="77777777">
      <w:r>
        <w:t xml:space="preserve">Bij de inbreng van Natuur en Milieu &amp; Natuurmonumenten, Unie van Waterschappen, Havenbedrijf Rotterdam en LTO wordt ingegaan op het </w:t>
      </w:r>
      <w:r w:rsidRPr="0010663E">
        <w:t>‘</w:t>
      </w:r>
      <w:r w:rsidRPr="00BF656A">
        <w:t>one-out, all-out</w:t>
      </w:r>
      <w:r w:rsidRPr="0010663E">
        <w:t>’-</w:t>
      </w:r>
      <w:r>
        <w:t xml:space="preserve">principe. Enerzijds wordt gepleit om dit te behouden, vanwege de </w:t>
      </w:r>
      <w:r w:rsidRPr="000C1ED6">
        <w:t>schadelijk</w:t>
      </w:r>
      <w:r>
        <w:t>heid van</w:t>
      </w:r>
      <w:r w:rsidRPr="000C1ED6">
        <w:t xml:space="preserve"> cocktaileffecten van chemische stoffen</w:t>
      </w:r>
      <w:r>
        <w:t xml:space="preserve">. Anderzijds is er zorg vanwege de vergunningverlening en het niet-motiverende karakter. Eerder is aangegeven dat </w:t>
      </w:r>
      <w:r w:rsidRPr="00BF656A">
        <w:t xml:space="preserve">een lidstaat </w:t>
      </w:r>
      <w:r>
        <w:t xml:space="preserve">niet </w:t>
      </w:r>
      <w:r w:rsidRPr="00BF656A">
        <w:t xml:space="preserve">wordt afgerekend op basis van het </w:t>
      </w:r>
      <w:r w:rsidRPr="0010663E">
        <w:t>‘</w:t>
      </w:r>
      <w:r w:rsidRPr="00BF656A">
        <w:t>one-out, all-out</w:t>
      </w:r>
      <w:r w:rsidRPr="0010663E">
        <w:t>’-</w:t>
      </w:r>
      <w:r>
        <w:t>principe</w:t>
      </w:r>
      <w:r w:rsidRPr="00BF656A">
        <w:t>: lidstaten worden afgerekend op doelbereik van de afzonderlijke parameters en dan met name op de onderbouwing van de legitieme uitzonderingen, die nodig zijn als een doel niet tijdig wordt bereikt</w:t>
      </w:r>
      <w:r>
        <w:rPr>
          <w:rStyle w:val="FootnoteReference"/>
        </w:rPr>
        <w:footnoteReference w:id="34"/>
      </w:r>
      <w:r w:rsidRPr="00BF656A">
        <w:t>.</w:t>
      </w:r>
      <w:r>
        <w:t xml:space="preserve"> Verder wordt dankzij Nederland met de recente aanpassing van de KRW naast </w:t>
      </w:r>
      <w:r w:rsidRPr="00BF656A">
        <w:t xml:space="preserve">het </w:t>
      </w:r>
      <w:r w:rsidRPr="0010663E">
        <w:t>‘</w:t>
      </w:r>
      <w:r w:rsidRPr="00BF656A">
        <w:t>one-out, all-out</w:t>
      </w:r>
      <w:r w:rsidRPr="0010663E">
        <w:t>’-</w:t>
      </w:r>
      <w:r>
        <w:t>principe een aanvullende indicator opgesteld door de Europese Commissie, waarmee beter is aan te geven welke ontwikkeling de waterkwaliteit doormaakt</w:t>
      </w:r>
      <w:r>
        <w:rPr>
          <w:rStyle w:val="FootnoteReference"/>
        </w:rPr>
        <w:footnoteReference w:id="35"/>
      </w:r>
      <w:r>
        <w:t>.</w:t>
      </w:r>
    </w:p>
    <w:p w:rsidR="00A023DF" w:rsidP="00A023DF" w:rsidRDefault="00A023DF" w14:paraId="2E9560DA" w14:textId="77777777">
      <w:pPr>
        <w:pStyle w:val="ListParagraph"/>
      </w:pPr>
    </w:p>
    <w:p w:rsidR="00A023DF" w:rsidP="00A023DF" w:rsidRDefault="00A023DF" w14:paraId="33B16290" w14:textId="2013E361">
      <w:r>
        <w:t xml:space="preserve">Er is bij de indieners veel aandacht voor vervuiling afkomstig van bovenstroomse landen. Vorig jaar is </w:t>
      </w:r>
      <w:r w:rsidR="00BE6FCC">
        <w:t xml:space="preserve">de </w:t>
      </w:r>
      <w:r>
        <w:t>Kamer geïnformeerd dat er uitgebreid overleg is met buurlanden en dat de KRW een uitzonderingsmogelijkheid bevat, indien het niet halen van doelen wordt veroorzaakt door buitenlandse belasting</w:t>
      </w:r>
      <w:r>
        <w:rPr>
          <w:rStyle w:val="FootnoteReference"/>
        </w:rPr>
        <w:footnoteReference w:id="36"/>
      </w:r>
      <w:r>
        <w:t xml:space="preserve">. </w:t>
      </w:r>
    </w:p>
    <w:p w:rsidR="00A023DF" w:rsidP="00A023DF" w:rsidRDefault="00A023DF" w14:paraId="371F0036" w14:textId="77777777">
      <w:pPr>
        <w:pStyle w:val="ListParagraph"/>
      </w:pPr>
    </w:p>
    <w:p w:rsidR="00A023DF" w:rsidP="00A023DF" w:rsidRDefault="00A023DF" w14:paraId="3B57DF8D" w14:textId="7B43C6A2">
      <w:r>
        <w:t xml:space="preserve">Op dit moment is niet duidelijk wanneer er een concreet voorstel zal worden gedaan om de KRW opnieuw te herzien. Volgens het Iers voorzitterschap zal dit in ieder geval niet eerder zijn dan in het laatste kwartaal van dit jaar. Kort voor de zomer is aangegeven dat in dat geval een </w:t>
      </w:r>
      <w:r w:rsidRPr="009342B2">
        <w:t xml:space="preserve">volledige effectenbeoordeling (impact assessment) van een eventuele KRW-wijziging </w:t>
      </w:r>
      <w:r>
        <w:t xml:space="preserve">voor Nederland </w:t>
      </w:r>
      <w:r w:rsidRPr="009342B2">
        <w:t>essentieel is</w:t>
      </w:r>
      <w:r>
        <w:t xml:space="preserve"> en dat </w:t>
      </w:r>
      <w:r w:rsidR="002448DF">
        <w:t xml:space="preserve">de </w:t>
      </w:r>
      <w:r>
        <w:t>Kamer hierover geïnformeerd zal blijven worden</w:t>
      </w:r>
      <w:r>
        <w:rPr>
          <w:rStyle w:val="FootnoteReference"/>
        </w:rPr>
        <w:footnoteReference w:id="37"/>
      </w:r>
      <w:r>
        <w:t>.</w:t>
      </w:r>
    </w:p>
    <w:p w:rsidR="00A023DF" w:rsidP="00A023DF" w:rsidRDefault="00A023DF" w14:paraId="3527E616" w14:textId="77777777"/>
    <w:p w:rsidR="00A023DF" w:rsidP="00A023DF" w:rsidRDefault="00A023DF" w14:paraId="56B2A6DE" w14:textId="6EF32196">
      <w:r>
        <w:t xml:space="preserve">Ik vertrouw erop u hiermee voldoende te hebben geïnformeerd over de lopende toezeggingen en moties en </w:t>
      </w:r>
      <w:r w:rsidR="00276879">
        <w:t xml:space="preserve">de </w:t>
      </w:r>
      <w:r>
        <w:t>vragen</w:t>
      </w:r>
      <w:r w:rsidR="00276879">
        <w:t xml:space="preserve"> van de Kamer</w:t>
      </w:r>
      <w:r>
        <w:t xml:space="preserve"> zorgvuldig te hebben beantwoord. </w:t>
      </w:r>
    </w:p>
    <w:p w:rsidR="0064247D" w:rsidRDefault="0064247D" w14:paraId="68CBF885" w14:textId="04C03131">
      <w:pPr>
        <w:pStyle w:val="WitregelW1bodytekst"/>
      </w:pPr>
    </w:p>
    <w:p w:rsidR="0064247D" w:rsidRDefault="006822DB" w14:paraId="7409EE8A" w14:textId="77777777">
      <w:pPr>
        <w:pStyle w:val="Slotzin"/>
      </w:pPr>
      <w:r>
        <w:t>Hoogachtend,</w:t>
      </w:r>
    </w:p>
    <w:p w:rsidR="0064247D" w:rsidRDefault="006822DB" w14:paraId="3C111760" w14:textId="77777777">
      <w:pPr>
        <w:pStyle w:val="OndertekeningArea1"/>
      </w:pPr>
      <w:r>
        <w:t>DE MINISTER VAN INFRASTRUCTUUR EN WATERSTAAT,</w:t>
      </w:r>
    </w:p>
    <w:p w:rsidR="0064247D" w:rsidRDefault="0064247D" w14:paraId="76BA7F6F" w14:textId="77777777"/>
    <w:p w:rsidR="0064247D" w:rsidRDefault="0064247D" w14:paraId="6BB7C30D" w14:textId="77777777"/>
    <w:p w:rsidR="0064247D" w:rsidRDefault="0064247D" w14:paraId="03C2C223" w14:textId="77777777"/>
    <w:p w:rsidR="0064247D" w:rsidRDefault="0064247D" w14:paraId="619E684B" w14:textId="77777777"/>
    <w:p w:rsidR="0064247D" w:rsidRDefault="006822DB" w14:paraId="1513EC33" w14:textId="77777777">
      <w:r>
        <w:t>Vincent Karremans</w:t>
      </w:r>
    </w:p>
    <w:sectPr w:rsidR="0064247D">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BCA0D" w14:textId="77777777" w:rsidR="00E77A1B" w:rsidRDefault="00E77A1B">
      <w:pPr>
        <w:spacing w:line="240" w:lineRule="auto"/>
      </w:pPr>
      <w:r>
        <w:separator/>
      </w:r>
    </w:p>
  </w:endnote>
  <w:endnote w:type="continuationSeparator" w:id="0">
    <w:p w14:paraId="1B38FDFC" w14:textId="77777777" w:rsidR="00E77A1B" w:rsidRDefault="00E77A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2216A" w14:textId="77777777" w:rsidR="009B7572" w:rsidRDefault="009B7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2A897" w14:textId="77777777" w:rsidR="009B7572" w:rsidRDefault="009B75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BCE01" w14:textId="77777777" w:rsidR="009B7572" w:rsidRDefault="009B7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749DA" w14:textId="77777777" w:rsidR="00E77A1B" w:rsidRDefault="00E77A1B">
      <w:pPr>
        <w:spacing w:line="240" w:lineRule="auto"/>
      </w:pPr>
      <w:r>
        <w:separator/>
      </w:r>
    </w:p>
  </w:footnote>
  <w:footnote w:type="continuationSeparator" w:id="0">
    <w:p w14:paraId="09024003" w14:textId="77777777" w:rsidR="00E77A1B" w:rsidRDefault="00E77A1B">
      <w:pPr>
        <w:spacing w:line="240" w:lineRule="auto"/>
      </w:pPr>
      <w:r>
        <w:continuationSeparator/>
      </w:r>
    </w:p>
  </w:footnote>
  <w:footnote w:id="1">
    <w:p w14:paraId="05F5FB5C" w14:textId="77777777" w:rsidR="00A023DF" w:rsidRPr="00DB0CA4" w:rsidRDefault="00A023DF" w:rsidP="00A023DF">
      <w:pPr>
        <w:pStyle w:val="FootnoteText"/>
        <w:rPr>
          <w:rFonts w:ascii="Verdana" w:hAnsi="Verdana"/>
          <w:sz w:val="14"/>
          <w:szCs w:val="14"/>
        </w:rPr>
      </w:pPr>
      <w:r w:rsidRPr="00DB0CA4">
        <w:rPr>
          <w:rStyle w:val="FootnoteReference"/>
          <w:rFonts w:ascii="Verdana" w:hAnsi="Verdana"/>
          <w:sz w:val="14"/>
          <w:szCs w:val="14"/>
        </w:rPr>
        <w:footnoteRef/>
      </w:r>
      <w:r w:rsidRPr="00DB0CA4">
        <w:rPr>
          <w:rFonts w:ascii="Verdana" w:hAnsi="Verdana"/>
          <w:sz w:val="14"/>
          <w:szCs w:val="14"/>
        </w:rPr>
        <w:t xml:space="preserve"> Motie Kostic, Kamerstuk 36800J-24</w:t>
      </w:r>
    </w:p>
  </w:footnote>
  <w:footnote w:id="2">
    <w:p w14:paraId="48B8A7DA" w14:textId="77777777" w:rsidR="00A023DF" w:rsidRPr="00DB0CA4" w:rsidRDefault="00A023DF" w:rsidP="00A023DF">
      <w:pPr>
        <w:pStyle w:val="FootnoteText"/>
        <w:rPr>
          <w:rFonts w:ascii="Verdana" w:hAnsi="Verdana"/>
          <w:sz w:val="14"/>
          <w:szCs w:val="14"/>
        </w:rPr>
      </w:pPr>
      <w:r w:rsidRPr="00DB0CA4">
        <w:rPr>
          <w:rStyle w:val="FootnoteReference"/>
          <w:rFonts w:ascii="Verdana" w:hAnsi="Verdana"/>
          <w:sz w:val="14"/>
          <w:szCs w:val="14"/>
        </w:rPr>
        <w:footnoteRef/>
      </w:r>
      <w:r w:rsidRPr="00DB0CA4">
        <w:rPr>
          <w:rFonts w:ascii="Verdana" w:hAnsi="Verdana"/>
          <w:sz w:val="14"/>
          <w:szCs w:val="14"/>
        </w:rPr>
        <w:t xml:space="preserve"> Kamerbrief 27625-671</w:t>
      </w:r>
    </w:p>
  </w:footnote>
  <w:footnote w:id="3">
    <w:p w14:paraId="6AB7AF9F" w14:textId="30CF798A" w:rsidR="00DB0CA4" w:rsidRDefault="00DB0CA4">
      <w:pPr>
        <w:pStyle w:val="FootnoteText"/>
      </w:pPr>
      <w:r w:rsidRPr="00DB0CA4">
        <w:rPr>
          <w:rStyle w:val="FootnoteReference"/>
          <w:rFonts w:ascii="Verdana" w:hAnsi="Verdana"/>
          <w:sz w:val="14"/>
          <w:szCs w:val="14"/>
        </w:rPr>
        <w:footnoteRef/>
      </w:r>
      <w:r>
        <w:rPr>
          <w:rFonts w:ascii="Verdana" w:hAnsi="Verdana"/>
        </w:rPr>
        <w:t xml:space="preserve"> </w:t>
      </w:r>
      <w:r w:rsidRPr="00DB0CA4">
        <w:rPr>
          <w:rFonts w:ascii="Verdana" w:hAnsi="Verdana"/>
          <w:sz w:val="14"/>
          <w:szCs w:val="14"/>
        </w:rPr>
        <w:t>Drinkwaterbedrijven, provincies, gemeenten, waterschappen, VNO-NCW/MKB Nederland, VEMW, Techniek Nederland, Bouwend Nederland, Vereniging Eigen Huis, Aedes, HISWA-RECRON, Milieu Centraal, kennisinstituten KWR en WUR, financiële instellingen Rabobank en Invest-NL en de ministeries EZK, VRO en VWS</w:t>
      </w:r>
    </w:p>
  </w:footnote>
  <w:footnote w:id="4">
    <w:p w14:paraId="4ABF7085" w14:textId="1BE95B14" w:rsidR="00B50769" w:rsidRDefault="00B50769">
      <w:pPr>
        <w:pStyle w:val="FootnoteText"/>
      </w:pPr>
      <w:r>
        <w:rPr>
          <w:rStyle w:val="FootnoteReference"/>
        </w:rPr>
        <w:footnoteRef/>
      </w:r>
      <w:r>
        <w:t xml:space="preserve"> </w:t>
      </w:r>
      <w:r w:rsidRPr="0007306F">
        <w:rPr>
          <w:rFonts w:ascii="Verdana" w:hAnsi="Verdana"/>
          <w:sz w:val="14"/>
          <w:szCs w:val="14"/>
        </w:rPr>
        <w:t>Kamerbrief 27625-592</w:t>
      </w:r>
    </w:p>
  </w:footnote>
  <w:footnote w:id="5">
    <w:p w14:paraId="6F0C2F35" w14:textId="77777777" w:rsidR="00A023DF" w:rsidRPr="00D101E9" w:rsidRDefault="00A023DF" w:rsidP="00A023DF">
      <w:pPr>
        <w:pStyle w:val="footnotedescription"/>
        <w:spacing w:after="60" w:line="240" w:lineRule="auto"/>
        <w:rPr>
          <w:rFonts w:cstheme="minorHAnsi"/>
          <w:szCs w:val="14"/>
        </w:rPr>
      </w:pPr>
      <w:r w:rsidRPr="00D101E9">
        <w:rPr>
          <w:rStyle w:val="footnotemark"/>
          <w:rFonts w:cstheme="minorHAnsi"/>
          <w:szCs w:val="14"/>
        </w:rPr>
        <w:footnoteRef/>
      </w:r>
      <w:r w:rsidRPr="00D101E9">
        <w:rPr>
          <w:rFonts w:cstheme="minorHAnsi"/>
          <w:szCs w:val="14"/>
        </w:rPr>
        <w:t xml:space="preserve"> https://drinkwaterdashboard.incijfers.nl/dashboard/dashboard/ontwikkeling-drinkwatergebruik</w:t>
      </w:r>
    </w:p>
  </w:footnote>
  <w:footnote w:id="6">
    <w:p w14:paraId="417BFC5D" w14:textId="77777777" w:rsidR="00A023DF" w:rsidRPr="00D101E9" w:rsidRDefault="00A023DF" w:rsidP="00A023DF">
      <w:pPr>
        <w:pStyle w:val="footnotedescription"/>
        <w:spacing w:after="60" w:line="240" w:lineRule="auto"/>
        <w:rPr>
          <w:rFonts w:cstheme="minorHAnsi"/>
          <w:szCs w:val="14"/>
        </w:rPr>
      </w:pPr>
      <w:r w:rsidRPr="00D101E9">
        <w:rPr>
          <w:rStyle w:val="footnotemark"/>
          <w:rFonts w:cstheme="minorHAnsi"/>
          <w:szCs w:val="14"/>
        </w:rPr>
        <w:footnoteRef/>
      </w:r>
      <w:r w:rsidRPr="00D101E9">
        <w:rPr>
          <w:rFonts w:cstheme="minorHAnsi"/>
          <w:szCs w:val="14"/>
        </w:rPr>
        <w:t xml:space="preserve"> </w:t>
      </w:r>
      <w:r w:rsidRPr="00D101E9">
        <w:rPr>
          <w:szCs w:val="14"/>
        </w:rPr>
        <w:t>https://www.rivm.nl/publicaties/scenariostudie-klimaatrisicos-voor-drinkwatervoorziening-in-2050-en-2100</w:t>
      </w:r>
    </w:p>
  </w:footnote>
  <w:footnote w:id="7">
    <w:p w14:paraId="4C8D5C38" w14:textId="77777777" w:rsidR="00A023DF" w:rsidRPr="00D101E9" w:rsidRDefault="00A023DF" w:rsidP="00A023DF">
      <w:pPr>
        <w:pStyle w:val="footnotedescription"/>
        <w:spacing w:after="60" w:line="240" w:lineRule="auto"/>
        <w:rPr>
          <w:szCs w:val="14"/>
        </w:rPr>
      </w:pPr>
      <w:r w:rsidRPr="00D101E9">
        <w:rPr>
          <w:rStyle w:val="footnotemark"/>
          <w:rFonts w:cstheme="minorHAnsi"/>
          <w:szCs w:val="14"/>
        </w:rPr>
        <w:footnoteRef/>
      </w:r>
      <w:r w:rsidRPr="00D101E9">
        <w:rPr>
          <w:rFonts w:cstheme="minorHAnsi"/>
          <w:szCs w:val="14"/>
        </w:rPr>
        <w:t xml:space="preserve"> </w:t>
      </w:r>
      <w:r w:rsidRPr="00D101E9">
        <w:rPr>
          <w:szCs w:val="14"/>
        </w:rPr>
        <w:t>https://www.rekenkamer.nl/documenten/2025/05/13/drinkwater-onder-druk</w:t>
      </w:r>
    </w:p>
  </w:footnote>
  <w:footnote w:id="8">
    <w:p w14:paraId="6617A16A" w14:textId="77777777" w:rsidR="00A023DF" w:rsidRPr="00D101E9" w:rsidRDefault="00A023DF" w:rsidP="00A023DF">
      <w:pPr>
        <w:pStyle w:val="footnotedescription"/>
        <w:spacing w:after="60" w:line="240" w:lineRule="auto"/>
        <w:rPr>
          <w:rFonts w:cstheme="minorHAnsi"/>
          <w:szCs w:val="14"/>
        </w:rPr>
      </w:pPr>
      <w:r w:rsidRPr="00D101E9">
        <w:rPr>
          <w:rStyle w:val="footnotemark"/>
          <w:rFonts w:cstheme="minorHAnsi"/>
          <w:szCs w:val="14"/>
        </w:rPr>
        <w:footnoteRef/>
      </w:r>
      <w:r w:rsidRPr="00D101E9">
        <w:rPr>
          <w:rFonts w:cstheme="minorHAnsi"/>
          <w:szCs w:val="14"/>
        </w:rPr>
        <w:t xml:space="preserve"> </w:t>
      </w:r>
      <w:r w:rsidRPr="00D101E9">
        <w:rPr>
          <w:szCs w:val="14"/>
        </w:rPr>
        <w:t>https://commission.europa.eu/topics/environment/water-resilience-strategy_en</w:t>
      </w:r>
    </w:p>
  </w:footnote>
  <w:footnote w:id="9">
    <w:p w14:paraId="33984DE1"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Kamerbrief 27625-735</w:t>
      </w:r>
    </w:p>
  </w:footnote>
  <w:footnote w:id="10">
    <w:p w14:paraId="74F07991" w14:textId="77777777" w:rsidR="00A023DF" w:rsidRPr="00D101E9" w:rsidRDefault="00A023DF" w:rsidP="00A023DF">
      <w:pPr>
        <w:spacing w:line="240" w:lineRule="auto"/>
        <w:rPr>
          <w:sz w:val="14"/>
          <w:szCs w:val="14"/>
        </w:rPr>
      </w:pPr>
      <w:r w:rsidRPr="00D101E9">
        <w:rPr>
          <w:rStyle w:val="FootnoteReference"/>
          <w:rFonts w:cstheme="minorHAnsi"/>
          <w:sz w:val="14"/>
          <w:szCs w:val="14"/>
        </w:rPr>
        <w:footnoteRef/>
      </w:r>
      <w:r w:rsidRPr="00D101E9">
        <w:rPr>
          <w:rFonts w:cstheme="minorHAnsi"/>
          <w:sz w:val="14"/>
          <w:szCs w:val="14"/>
        </w:rPr>
        <w:t xml:space="preserve"> Naar aanleiding van de adviezen van de Algemene Rekenkamer (‘Drinkwater onder druk’, 2025) wordt het nieuwe maatregelenpakket beoordeeld op effectiviteit. Handvaten hiervoor zijn uitgewerkt in een gezamenlijke workshop met de Algemene Rekenkamer. Hiermee gaan we oefenen met een ‘ex post’ Multi Criteria Analyse. Op basis daarvan trekken we lessen voor de methodiek, om deze over twee jaar bij de herijking van het maatregelenpakket ‘ex ante’ uit te voeren.</w:t>
      </w:r>
      <w:r w:rsidRPr="00D101E9">
        <w:rPr>
          <w:rFonts w:eastAsia="Calibri" w:cs="Calibri"/>
          <w:sz w:val="14"/>
          <w:szCs w:val="14"/>
        </w:rPr>
        <w:t xml:space="preserve"> </w:t>
      </w:r>
    </w:p>
  </w:footnote>
  <w:footnote w:id="11">
    <w:p w14:paraId="48749ECB"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hyperlink r:id="rId1" w:history="1">
        <w:r w:rsidRPr="00D101E9">
          <w:rPr>
            <w:rStyle w:val="Hyperlink"/>
            <w:rFonts w:ascii="Verdana" w:hAnsi="Verdana"/>
            <w:sz w:val="14"/>
            <w:szCs w:val="14"/>
          </w:rPr>
          <w:t>https://www.rli.nl/publicaties/2026/advies/zorg-voor-water?adview=inleiding</w:t>
        </w:r>
      </w:hyperlink>
    </w:p>
  </w:footnote>
  <w:footnote w:id="12">
    <w:p w14:paraId="3CFCB9F9" w14:textId="77777777" w:rsidR="00A023DF" w:rsidRPr="00D101E9" w:rsidRDefault="00A023DF" w:rsidP="00A023DF">
      <w:pPr>
        <w:pStyle w:val="FootnoteText"/>
        <w:rPr>
          <w:rFonts w:ascii="Verdana" w:hAnsi="Verdana"/>
          <w:sz w:val="14"/>
          <w:szCs w:val="14"/>
          <w:lang w:val="de-DE"/>
        </w:rPr>
      </w:pPr>
      <w:r w:rsidRPr="00D101E9">
        <w:rPr>
          <w:rStyle w:val="FootnoteReference"/>
          <w:rFonts w:ascii="Verdana" w:hAnsi="Verdana"/>
          <w:sz w:val="14"/>
          <w:szCs w:val="14"/>
        </w:rPr>
        <w:footnoteRef/>
      </w:r>
      <w:r w:rsidRPr="00F00645">
        <w:rPr>
          <w:lang w:val="de-DE"/>
        </w:rPr>
        <w:t xml:space="preserve"> </w:t>
      </w:r>
      <w:r w:rsidRPr="00D101E9">
        <w:rPr>
          <w:rFonts w:ascii="Verdana" w:hAnsi="Verdana"/>
          <w:sz w:val="14"/>
          <w:szCs w:val="14"/>
          <w:lang w:val="de-DE"/>
        </w:rPr>
        <w:t>TZ202607-065</w:t>
      </w:r>
    </w:p>
  </w:footnote>
  <w:footnote w:id="13">
    <w:p w14:paraId="46775255" w14:textId="77777777" w:rsidR="00A023DF" w:rsidRPr="00475BA8" w:rsidRDefault="00A023DF" w:rsidP="00A023DF">
      <w:pPr>
        <w:pStyle w:val="FootnoteText"/>
        <w:rPr>
          <w:lang w:val="de-DE"/>
        </w:rPr>
      </w:pPr>
      <w:r w:rsidRPr="00D101E9">
        <w:rPr>
          <w:rStyle w:val="FootnoteReference"/>
          <w:rFonts w:ascii="Verdana" w:hAnsi="Verdana"/>
          <w:sz w:val="14"/>
          <w:szCs w:val="14"/>
        </w:rPr>
        <w:footnoteRef/>
      </w:r>
      <w:r w:rsidRPr="00D101E9">
        <w:rPr>
          <w:rFonts w:ascii="Verdana" w:hAnsi="Verdana"/>
          <w:sz w:val="14"/>
          <w:szCs w:val="14"/>
          <w:lang w:val="de-DE"/>
        </w:rPr>
        <w:t xml:space="preserve"> TZ202607-072</w:t>
      </w:r>
    </w:p>
  </w:footnote>
  <w:footnote w:id="14">
    <w:p w14:paraId="6A9E6EA7" w14:textId="6F37D232" w:rsidR="00A023DF" w:rsidRPr="00F54678" w:rsidRDefault="00A023DF" w:rsidP="00A023DF">
      <w:pPr>
        <w:pStyle w:val="FootnoteText"/>
        <w:rPr>
          <w:rFonts w:ascii="Verdana" w:hAnsi="Verdana"/>
          <w:sz w:val="14"/>
          <w:szCs w:val="14"/>
          <w:lang w:val="de-DE"/>
        </w:rPr>
      </w:pPr>
      <w:r w:rsidRPr="00F54678">
        <w:rPr>
          <w:rStyle w:val="FootnoteReference"/>
          <w:rFonts w:ascii="Verdana" w:hAnsi="Verdana"/>
          <w:sz w:val="14"/>
          <w:szCs w:val="14"/>
        </w:rPr>
        <w:footnoteRef/>
      </w:r>
      <w:r w:rsidRPr="00F54678">
        <w:rPr>
          <w:rFonts w:ascii="Verdana" w:hAnsi="Verdana"/>
          <w:sz w:val="14"/>
          <w:szCs w:val="14"/>
          <w:lang w:val="de-DE"/>
        </w:rPr>
        <w:t xml:space="preserve"> </w:t>
      </w:r>
      <w:hyperlink r:id="rId2" w:history="1">
        <w:r w:rsidR="00A15DEB" w:rsidRPr="002B2F7F">
          <w:rPr>
            <w:rStyle w:val="Hyperlink"/>
            <w:rFonts w:ascii="Verdana" w:hAnsi="Verdana"/>
            <w:sz w:val="14"/>
            <w:szCs w:val="14"/>
            <w:lang w:val="de-DE"/>
          </w:rPr>
          <w:t>https://www.rijksoverheid.nl/documenten/kamerstukken/2024/11/08/verkenning-beprijzen-watergebruik</w:t>
        </w:r>
      </w:hyperlink>
      <w:r w:rsidR="00A15DEB">
        <w:rPr>
          <w:rFonts w:ascii="Verdana" w:hAnsi="Verdana"/>
          <w:sz w:val="14"/>
          <w:szCs w:val="14"/>
          <w:lang w:val="de-DE"/>
        </w:rPr>
        <w:t xml:space="preserve"> </w:t>
      </w:r>
    </w:p>
  </w:footnote>
  <w:footnote w:id="15">
    <w:p w14:paraId="20DF1FA1" w14:textId="75406BAC" w:rsidR="006C5DE1" w:rsidRDefault="006C5DE1">
      <w:pPr>
        <w:pStyle w:val="FootnoteText"/>
      </w:pPr>
      <w:r>
        <w:rPr>
          <w:rStyle w:val="FootnoteReference"/>
        </w:rPr>
        <w:footnoteRef/>
      </w:r>
      <w:r>
        <w:t xml:space="preserve"> </w:t>
      </w:r>
      <w:r w:rsidRPr="00114651">
        <w:rPr>
          <w:rFonts w:ascii="Verdana" w:hAnsi="Verdana"/>
          <w:sz w:val="14"/>
          <w:szCs w:val="14"/>
        </w:rPr>
        <w:t>Kamerstuk 35570 XII, nr. 86</w:t>
      </w:r>
    </w:p>
  </w:footnote>
  <w:footnote w:id="16">
    <w:p w14:paraId="5B07EC76" w14:textId="77777777" w:rsidR="00A023DF" w:rsidRPr="00292D76" w:rsidRDefault="00A023DF" w:rsidP="00A023DF">
      <w:pPr>
        <w:pStyle w:val="FootnoteText"/>
        <w:rPr>
          <w:rFonts w:ascii="Verdana" w:hAnsi="Verdana"/>
          <w:sz w:val="14"/>
          <w:szCs w:val="14"/>
        </w:rPr>
      </w:pPr>
      <w:r w:rsidRPr="00292D76">
        <w:rPr>
          <w:rStyle w:val="FootnoteReference"/>
          <w:rFonts w:ascii="Verdana" w:hAnsi="Verdana"/>
          <w:sz w:val="14"/>
          <w:szCs w:val="14"/>
        </w:rPr>
        <w:footnoteRef/>
      </w:r>
      <w:r w:rsidRPr="00292D76">
        <w:rPr>
          <w:rFonts w:ascii="Verdana" w:hAnsi="Verdana"/>
          <w:sz w:val="14"/>
          <w:szCs w:val="14"/>
        </w:rPr>
        <w:t xml:space="preserve"> TZ202607-066</w:t>
      </w:r>
    </w:p>
  </w:footnote>
  <w:footnote w:id="17">
    <w:p w14:paraId="5A074501" w14:textId="77777777" w:rsidR="00A023DF" w:rsidRPr="00F237FD" w:rsidRDefault="00A023DF" w:rsidP="00A023DF">
      <w:pPr>
        <w:pStyle w:val="FootnoteText"/>
        <w:rPr>
          <w:sz w:val="16"/>
          <w:szCs w:val="16"/>
        </w:rPr>
      </w:pPr>
      <w:r w:rsidRPr="00F54678">
        <w:rPr>
          <w:rStyle w:val="FootnoteReference"/>
          <w:rFonts w:ascii="Verdana" w:hAnsi="Verdana"/>
          <w:sz w:val="14"/>
          <w:szCs w:val="14"/>
        </w:rPr>
        <w:footnoteRef/>
      </w:r>
      <w:r w:rsidRPr="00F54678">
        <w:rPr>
          <w:rFonts w:ascii="Verdana" w:hAnsi="Verdana"/>
          <w:sz w:val="14"/>
          <w:szCs w:val="14"/>
        </w:rPr>
        <w:t xml:space="preserve"> Richtlijn (EU) 2024/3019 van het Europees Parlement en de Raad van 27 november 2024, inzake de behandeling van stedelijk afvalwater</w:t>
      </w:r>
      <w:r w:rsidRPr="00F237FD">
        <w:rPr>
          <w:sz w:val="16"/>
          <w:szCs w:val="16"/>
        </w:rPr>
        <w:t xml:space="preserve"> </w:t>
      </w:r>
    </w:p>
  </w:footnote>
  <w:footnote w:id="18">
    <w:p w14:paraId="63EF24E8" w14:textId="77777777" w:rsidR="00A023DF" w:rsidRPr="00292D76" w:rsidRDefault="00A023DF" w:rsidP="00A023DF">
      <w:pPr>
        <w:pStyle w:val="FootnoteText"/>
        <w:rPr>
          <w:rFonts w:ascii="Verdana" w:hAnsi="Verdana"/>
          <w:sz w:val="14"/>
          <w:szCs w:val="14"/>
        </w:rPr>
      </w:pPr>
      <w:r w:rsidRPr="00292D76">
        <w:rPr>
          <w:rStyle w:val="FootnoteReference"/>
          <w:rFonts w:ascii="Verdana" w:hAnsi="Verdana"/>
          <w:sz w:val="14"/>
          <w:szCs w:val="14"/>
        </w:rPr>
        <w:footnoteRef/>
      </w:r>
      <w:r w:rsidRPr="00292D76">
        <w:rPr>
          <w:rFonts w:ascii="Verdana" w:hAnsi="Verdana"/>
          <w:sz w:val="14"/>
          <w:szCs w:val="14"/>
        </w:rPr>
        <w:t xml:space="preserve"> Kamerstukken 27625, nr. 735, Kamerstukken 27625, nr. 743.</w:t>
      </w:r>
    </w:p>
  </w:footnote>
  <w:footnote w:id="19">
    <w:p w14:paraId="1BE2B925" w14:textId="4F4FBD31" w:rsidR="00A35914" w:rsidRPr="00A35914" w:rsidRDefault="00A35914">
      <w:pPr>
        <w:pStyle w:val="FootnoteText"/>
      </w:pPr>
      <w:r w:rsidRPr="00A35914">
        <w:rPr>
          <w:rStyle w:val="FootnoteReference"/>
          <w:rFonts w:ascii="Verdana" w:hAnsi="Verdana"/>
          <w:sz w:val="14"/>
          <w:szCs w:val="14"/>
        </w:rPr>
        <w:footnoteRef/>
      </w:r>
      <w:r w:rsidRPr="00A35914">
        <w:rPr>
          <w:rStyle w:val="FootnoteReference"/>
          <w:rFonts w:ascii="Verdana" w:hAnsi="Verdana"/>
          <w:sz w:val="14"/>
          <w:szCs w:val="14"/>
        </w:rPr>
        <w:t xml:space="preserve"> </w:t>
      </w:r>
      <w:r w:rsidRPr="00A35914">
        <w:rPr>
          <w:rFonts w:ascii="Verdana" w:hAnsi="Verdana"/>
          <w:sz w:val="14"/>
          <w:szCs w:val="14"/>
        </w:rPr>
        <w:t xml:space="preserve">Overheid.nl | Consultatie </w:t>
      </w:r>
      <w:hyperlink r:id="rId3" w:history="1">
        <w:r w:rsidRPr="00CA488B">
          <w:rPr>
            <w:rStyle w:val="Hyperlink"/>
            <w:rFonts w:ascii="Verdana" w:hAnsi="Verdana"/>
            <w:sz w:val="14"/>
            <w:szCs w:val="14"/>
          </w:rPr>
          <w:t>Implementatie</w:t>
        </w:r>
      </w:hyperlink>
      <w:r w:rsidRPr="00A35914">
        <w:rPr>
          <w:rFonts w:ascii="Verdana" w:hAnsi="Verdana"/>
          <w:sz w:val="14"/>
          <w:szCs w:val="14"/>
        </w:rPr>
        <w:t xml:space="preserve"> herziene Richtlijn Stedelijk Afvalwater - wetswijziging</w:t>
      </w:r>
    </w:p>
  </w:footnote>
  <w:footnote w:id="20">
    <w:p w14:paraId="6867C78C" w14:textId="77777777" w:rsidR="00A023DF" w:rsidRPr="000F1674" w:rsidRDefault="00A023DF" w:rsidP="00A023DF">
      <w:pPr>
        <w:pStyle w:val="FootnoteText"/>
        <w:rPr>
          <w:rFonts w:ascii="Verdana" w:hAnsi="Verdana"/>
          <w:sz w:val="14"/>
          <w:szCs w:val="14"/>
        </w:rPr>
      </w:pPr>
      <w:r w:rsidRPr="00292D76">
        <w:rPr>
          <w:rStyle w:val="FootnoteReference"/>
          <w:rFonts w:ascii="Verdana" w:hAnsi="Verdana"/>
          <w:sz w:val="14"/>
          <w:szCs w:val="14"/>
        </w:rPr>
        <w:footnoteRef/>
      </w:r>
      <w:r w:rsidRPr="000F1674">
        <w:rPr>
          <w:rFonts w:ascii="Verdana" w:hAnsi="Verdana"/>
          <w:sz w:val="14"/>
          <w:szCs w:val="14"/>
        </w:rPr>
        <w:t xml:space="preserve"> </w:t>
      </w:r>
      <w:r w:rsidRPr="000F1674">
        <w:rPr>
          <w:rFonts w:ascii="Verdana" w:hAnsi="Verdana" w:cs="Arial"/>
          <w:sz w:val="14"/>
          <w:szCs w:val="14"/>
        </w:rPr>
        <w:t>TZ202607-070</w:t>
      </w:r>
    </w:p>
  </w:footnote>
  <w:footnote w:id="21">
    <w:p w14:paraId="705F3BF2"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Kamerstuk 27625, nr. </w:t>
      </w:r>
      <w:hyperlink r:id="rId4" w:history="1">
        <w:r w:rsidRPr="00D101E9">
          <w:rPr>
            <w:rStyle w:val="Hyperlink"/>
            <w:rFonts w:ascii="Verdana" w:hAnsi="Verdana"/>
            <w:sz w:val="14"/>
            <w:szCs w:val="14"/>
          </w:rPr>
          <w:t>740</w:t>
        </w:r>
      </w:hyperlink>
    </w:p>
  </w:footnote>
  <w:footnote w:id="22">
    <w:p w14:paraId="108B96F2"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w:t>
      </w:r>
      <w:hyperlink r:id="rId5" w:history="1">
        <w:r w:rsidRPr="00D101E9">
          <w:rPr>
            <w:rStyle w:val="Hyperlink"/>
            <w:rFonts w:ascii="Verdana" w:hAnsi="Verdana"/>
            <w:sz w:val="14"/>
            <w:szCs w:val="14"/>
          </w:rPr>
          <w:t>https://ec.europa.eu/commission/presscorner/detail/en/ip_26_1594</w:t>
        </w:r>
      </w:hyperlink>
    </w:p>
  </w:footnote>
  <w:footnote w:id="23">
    <w:p w14:paraId="562A8845" w14:textId="77777777" w:rsidR="00A023DF" w:rsidRDefault="00A023DF" w:rsidP="00A023DF">
      <w:pPr>
        <w:pStyle w:val="FootnoteText"/>
      </w:pPr>
      <w:r w:rsidRPr="00D101E9">
        <w:rPr>
          <w:rStyle w:val="FootnoteReference"/>
          <w:rFonts w:ascii="Verdana" w:hAnsi="Verdana"/>
          <w:sz w:val="14"/>
          <w:szCs w:val="14"/>
        </w:rPr>
        <w:footnoteRef/>
      </w:r>
      <w:r w:rsidRPr="00D101E9">
        <w:rPr>
          <w:rFonts w:ascii="Verdana" w:hAnsi="Verdana"/>
          <w:sz w:val="14"/>
          <w:szCs w:val="14"/>
        </w:rPr>
        <w:t xml:space="preserve"> </w:t>
      </w:r>
      <w:r w:rsidRPr="00D101E9">
        <w:rPr>
          <w:rFonts w:ascii="Verdana" w:hAnsi="Verdana" w:cs="Arial"/>
          <w:sz w:val="14"/>
          <w:szCs w:val="14"/>
        </w:rPr>
        <w:t>Kamerstuk 27858, nr. 764</w:t>
      </w:r>
    </w:p>
  </w:footnote>
  <w:footnote w:id="24">
    <w:p w14:paraId="38BAAE69"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Kamerstuk 27625, nr. 742</w:t>
      </w:r>
    </w:p>
  </w:footnote>
  <w:footnote w:id="25">
    <w:p w14:paraId="6CC1C8D6"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w:t>
      </w:r>
      <w:hyperlink r:id="rId6" w:history="1">
        <w:r w:rsidRPr="00D101E9">
          <w:rPr>
            <w:rStyle w:val="Hyperlink"/>
            <w:rFonts w:ascii="Verdana" w:hAnsi="Verdana"/>
            <w:sz w:val="14"/>
            <w:szCs w:val="14"/>
          </w:rPr>
          <w:t>https://ec.europa.eu/commission/presscorner/detail/en/ip_25_2997</w:t>
        </w:r>
      </w:hyperlink>
    </w:p>
  </w:footnote>
  <w:footnote w:id="26">
    <w:p w14:paraId="614299A6" w14:textId="77777777" w:rsidR="00A023DF" w:rsidRPr="00524A77"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524A77">
        <w:rPr>
          <w:rFonts w:ascii="Verdana" w:hAnsi="Verdana"/>
          <w:sz w:val="14"/>
          <w:szCs w:val="14"/>
        </w:rPr>
        <w:t xml:space="preserve"> TZ202602-018</w:t>
      </w:r>
    </w:p>
  </w:footnote>
  <w:footnote w:id="27">
    <w:p w14:paraId="530D6253" w14:textId="77777777" w:rsidR="00A023DF" w:rsidRPr="00524A77" w:rsidRDefault="00A023DF" w:rsidP="00A023DF">
      <w:pPr>
        <w:pStyle w:val="FootnoteText"/>
        <w:rPr>
          <w:rFonts w:ascii="Verdana" w:hAnsi="Verdana"/>
          <w:sz w:val="14"/>
          <w:szCs w:val="14"/>
        </w:rPr>
      </w:pPr>
      <w:r w:rsidRPr="00DF1F07">
        <w:rPr>
          <w:rStyle w:val="FootnoteReference"/>
          <w:rFonts w:ascii="Verdana" w:hAnsi="Verdana"/>
          <w:sz w:val="14"/>
          <w:szCs w:val="14"/>
        </w:rPr>
        <w:footnoteRef/>
      </w:r>
      <w:r w:rsidRPr="00524A77">
        <w:rPr>
          <w:rFonts w:ascii="Verdana" w:hAnsi="Verdana"/>
          <w:sz w:val="14"/>
          <w:szCs w:val="14"/>
        </w:rPr>
        <w:t xml:space="preserve"> TZ202607-073</w:t>
      </w:r>
    </w:p>
  </w:footnote>
  <w:footnote w:id="28">
    <w:p w14:paraId="4381EF02" w14:textId="77777777" w:rsidR="00A023DF" w:rsidRPr="003E5447" w:rsidRDefault="00A023DF" w:rsidP="00A023DF">
      <w:pPr>
        <w:pStyle w:val="FootnoteText"/>
        <w:rPr>
          <w:rFonts w:ascii="Verdana" w:hAnsi="Verdana"/>
          <w:sz w:val="14"/>
          <w:szCs w:val="14"/>
        </w:rPr>
      </w:pPr>
      <w:r w:rsidRPr="003E5447">
        <w:rPr>
          <w:rStyle w:val="FootnoteReference"/>
          <w:rFonts w:ascii="Verdana" w:hAnsi="Verdana"/>
          <w:sz w:val="14"/>
          <w:szCs w:val="14"/>
        </w:rPr>
        <w:footnoteRef/>
      </w:r>
      <w:r w:rsidRPr="003E5447">
        <w:rPr>
          <w:rFonts w:ascii="Verdana" w:hAnsi="Verdana"/>
          <w:sz w:val="14"/>
          <w:szCs w:val="14"/>
        </w:rPr>
        <w:t xml:space="preserve"> TZ202604-092</w:t>
      </w:r>
    </w:p>
  </w:footnote>
  <w:footnote w:id="29">
    <w:p w14:paraId="683ADAEB" w14:textId="77777777" w:rsidR="00BE6FCC" w:rsidRDefault="00BE6FCC" w:rsidP="00BE6FCC">
      <w:pPr>
        <w:pStyle w:val="FootnoteText"/>
      </w:pPr>
      <w:r w:rsidRPr="003E5447">
        <w:rPr>
          <w:rStyle w:val="FootnoteReference"/>
          <w:rFonts w:ascii="Verdana" w:hAnsi="Verdana"/>
          <w:sz w:val="14"/>
          <w:szCs w:val="14"/>
        </w:rPr>
        <w:footnoteRef/>
      </w:r>
      <w:r w:rsidRPr="003E5447">
        <w:rPr>
          <w:rFonts w:ascii="Verdana" w:hAnsi="Verdana"/>
          <w:sz w:val="14"/>
          <w:szCs w:val="14"/>
        </w:rPr>
        <w:t xml:space="preserve"> Kamerstuk 27625, Nr 742</w:t>
      </w:r>
    </w:p>
  </w:footnote>
  <w:footnote w:id="30">
    <w:p w14:paraId="1F13E33C" w14:textId="77777777" w:rsidR="00A023DF" w:rsidRPr="00A40908"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A40908">
        <w:rPr>
          <w:rFonts w:ascii="Verdana" w:hAnsi="Verdana"/>
          <w:sz w:val="14"/>
          <w:szCs w:val="14"/>
        </w:rPr>
        <w:t xml:space="preserve"> 2026D34635</w:t>
      </w:r>
    </w:p>
  </w:footnote>
  <w:footnote w:id="31">
    <w:p w14:paraId="4BA003FE"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w:t>
      </w:r>
      <w:hyperlink r:id="rId7" w:history="1">
        <w:r w:rsidRPr="00D101E9">
          <w:rPr>
            <w:rStyle w:val="Hyperlink"/>
            <w:rFonts w:ascii="Verdana" w:hAnsi="Verdana"/>
            <w:sz w:val="14"/>
            <w:szCs w:val="14"/>
          </w:rPr>
          <w:t>https://ec.europa.eu/info/law/better-regulation/have-your-say/initiatives/17034-EU-water-policy-targeted-revision-of-the-Water-Framework-Directive/F33391943_en</w:t>
        </w:r>
      </w:hyperlink>
      <w:r w:rsidRPr="00D101E9">
        <w:rPr>
          <w:rFonts w:ascii="Verdana" w:hAnsi="Verdana"/>
          <w:sz w:val="14"/>
          <w:szCs w:val="14"/>
        </w:rPr>
        <w:t xml:space="preserve"> </w:t>
      </w:r>
    </w:p>
  </w:footnote>
  <w:footnote w:id="32">
    <w:p w14:paraId="54C61292"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Kamerstuk 27625, nr. 742</w:t>
      </w:r>
    </w:p>
  </w:footnote>
  <w:footnote w:id="33">
    <w:p w14:paraId="4DC34913" w14:textId="77777777" w:rsidR="00A023DF" w:rsidRDefault="00A023DF" w:rsidP="00A023DF">
      <w:pPr>
        <w:pStyle w:val="FootnoteText"/>
      </w:pPr>
      <w:r w:rsidRPr="00D101E9">
        <w:rPr>
          <w:rStyle w:val="FootnoteReference"/>
          <w:rFonts w:ascii="Verdana" w:hAnsi="Verdana"/>
          <w:sz w:val="14"/>
          <w:szCs w:val="14"/>
        </w:rPr>
        <w:footnoteRef/>
      </w:r>
      <w:r w:rsidRPr="00D101E9">
        <w:rPr>
          <w:rFonts w:ascii="Verdana" w:hAnsi="Verdana"/>
          <w:sz w:val="14"/>
          <w:szCs w:val="14"/>
        </w:rPr>
        <w:t xml:space="preserve"> </w:t>
      </w:r>
      <w:r w:rsidRPr="00D101E9">
        <w:rPr>
          <w:rFonts w:ascii="Verdana" w:hAnsi="Verdana" w:cstheme="minorHAnsi"/>
          <w:sz w:val="14"/>
          <w:szCs w:val="14"/>
        </w:rPr>
        <w:t>Kamerstuk </w:t>
      </w:r>
      <w:r w:rsidRPr="00D101E9">
        <w:rPr>
          <w:rFonts w:ascii="Arial" w:hAnsi="Arial" w:cs="Arial"/>
          <w:sz w:val="14"/>
          <w:szCs w:val="14"/>
        </w:rPr>
        <w:t>​</w:t>
      </w:r>
      <w:r w:rsidRPr="00D101E9">
        <w:rPr>
          <w:rFonts w:ascii="Verdana" w:hAnsi="Verdana" w:cstheme="minorHAnsi"/>
          <w:sz w:val="14"/>
          <w:szCs w:val="14"/>
        </w:rPr>
        <w:t>21501-08, nr. AL</w:t>
      </w:r>
    </w:p>
  </w:footnote>
  <w:footnote w:id="34">
    <w:p w14:paraId="57D7362B"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Kamerstuk 27625, nr. 716</w:t>
      </w:r>
    </w:p>
  </w:footnote>
  <w:footnote w:id="35">
    <w:p w14:paraId="7645E868"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Kamerstuk 27625, nr. 735</w:t>
      </w:r>
    </w:p>
  </w:footnote>
  <w:footnote w:id="36">
    <w:p w14:paraId="72F1E759" w14:textId="77777777" w:rsidR="00A023DF" w:rsidRPr="00D101E9" w:rsidRDefault="00A023DF" w:rsidP="00A023DF">
      <w:pPr>
        <w:pStyle w:val="FootnoteText"/>
        <w:rPr>
          <w:rFonts w:ascii="Verdana" w:hAnsi="Verdana"/>
          <w:sz w:val="14"/>
          <w:szCs w:val="14"/>
        </w:rPr>
      </w:pPr>
      <w:r w:rsidRPr="00D101E9">
        <w:rPr>
          <w:rStyle w:val="FootnoteReference"/>
          <w:rFonts w:ascii="Verdana" w:hAnsi="Verdana"/>
          <w:sz w:val="14"/>
          <w:szCs w:val="14"/>
        </w:rPr>
        <w:footnoteRef/>
      </w:r>
      <w:r w:rsidRPr="00D101E9">
        <w:rPr>
          <w:rFonts w:ascii="Verdana" w:hAnsi="Verdana"/>
          <w:sz w:val="14"/>
          <w:szCs w:val="14"/>
        </w:rPr>
        <w:t xml:space="preserve"> Kamerstuk 27625, nr. 716</w:t>
      </w:r>
    </w:p>
  </w:footnote>
  <w:footnote w:id="37">
    <w:p w14:paraId="45452E0E" w14:textId="77777777" w:rsidR="00A023DF" w:rsidRDefault="00A023DF" w:rsidP="00A023DF">
      <w:pPr>
        <w:pStyle w:val="FootnoteText"/>
      </w:pPr>
      <w:r w:rsidRPr="00D101E9">
        <w:rPr>
          <w:rStyle w:val="FootnoteReference"/>
          <w:rFonts w:ascii="Verdana" w:hAnsi="Verdana"/>
          <w:sz w:val="14"/>
          <w:szCs w:val="14"/>
        </w:rPr>
        <w:footnoteRef/>
      </w:r>
      <w:r w:rsidRPr="00D101E9">
        <w:rPr>
          <w:rFonts w:ascii="Verdana" w:hAnsi="Verdana"/>
          <w:sz w:val="14"/>
          <w:szCs w:val="14"/>
        </w:rPr>
        <w:t xml:space="preserve"> Kamerstuk 27625, nr. 740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3F94C" w14:textId="77777777" w:rsidR="009B7572" w:rsidRDefault="009B7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B679B" w14:textId="77777777" w:rsidR="0064247D" w:rsidRDefault="006822DB">
    <w:r>
      <w:rPr>
        <w:noProof/>
        <w:lang w:val="en-GB" w:eastAsia="en-GB"/>
      </w:rPr>
      <mc:AlternateContent>
        <mc:Choice Requires="wps">
          <w:drawing>
            <wp:anchor distT="0" distB="0" distL="0" distR="0" simplePos="0" relativeHeight="251651584" behindDoc="0" locked="1" layoutInCell="1" allowOverlap="1" wp14:anchorId="296D8100" wp14:editId="68FAB138">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33F244DB" w14:textId="77777777" w:rsidR="0064247D" w:rsidRDefault="006822DB">
                          <w:pPr>
                            <w:pStyle w:val="AfzendgegevensKop0"/>
                          </w:pPr>
                          <w:r>
                            <w:t>Ministerie van Infrastructuur en Waterstaat</w:t>
                          </w:r>
                        </w:p>
                        <w:p w14:paraId="551C8970" w14:textId="77777777" w:rsidR="00990C20" w:rsidRDefault="00990C20" w:rsidP="00990C20"/>
                        <w:p w14:paraId="30A0E86C" w14:textId="55935C77" w:rsidR="00990C20" w:rsidRPr="006E6308" w:rsidRDefault="00990C20" w:rsidP="00990C20">
                          <w:pPr>
                            <w:spacing w:line="240" w:lineRule="auto"/>
                            <w:rPr>
                              <w:b/>
                              <w:bCs/>
                              <w:sz w:val="13"/>
                              <w:szCs w:val="13"/>
                            </w:rPr>
                          </w:pPr>
                          <w:r w:rsidRPr="006E6308">
                            <w:rPr>
                              <w:b/>
                              <w:bCs/>
                              <w:sz w:val="13"/>
                              <w:szCs w:val="13"/>
                            </w:rPr>
                            <w:t xml:space="preserve">Ons </w:t>
                          </w:r>
                          <w:r>
                            <w:rPr>
                              <w:b/>
                              <w:bCs/>
                              <w:sz w:val="13"/>
                              <w:szCs w:val="13"/>
                            </w:rPr>
                            <w:t>k</w:t>
                          </w:r>
                          <w:r w:rsidRPr="006E6308">
                            <w:rPr>
                              <w:b/>
                              <w:bCs/>
                              <w:sz w:val="13"/>
                              <w:szCs w:val="13"/>
                            </w:rPr>
                            <w:t>enmerk</w:t>
                          </w:r>
                        </w:p>
                        <w:p w14:paraId="28013534" w14:textId="77777777" w:rsidR="00990C20" w:rsidRDefault="00990C20" w:rsidP="00990C20">
                          <w:pPr>
                            <w:spacing w:line="240" w:lineRule="auto"/>
                            <w:rPr>
                              <w:sz w:val="13"/>
                              <w:szCs w:val="13"/>
                            </w:rPr>
                          </w:pPr>
                          <w:r w:rsidRPr="006E6308">
                            <w:rPr>
                              <w:sz w:val="13"/>
                              <w:szCs w:val="13"/>
                            </w:rPr>
                            <w:t>IENW/BSK-2026/168288</w:t>
                          </w:r>
                        </w:p>
                        <w:p w14:paraId="77271015" w14:textId="77777777" w:rsidR="00990C20" w:rsidRPr="00990C20" w:rsidRDefault="00990C20" w:rsidP="00990C20"/>
                      </w:txbxContent>
                    </wps:txbx>
                    <wps:bodyPr vert="horz" wrap="square" lIns="0" tIns="0" rIns="0" bIns="0" anchor="t" anchorCtr="0"/>
                  </wps:wsp>
                </a:graphicData>
              </a:graphic>
            </wp:anchor>
          </w:drawing>
        </mc:Choice>
        <mc:Fallback>
          <w:pict>
            <v:shapetype w14:anchorId="296D8100"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33F244DB" w14:textId="77777777" w:rsidR="0064247D" w:rsidRDefault="006822DB">
                    <w:pPr>
                      <w:pStyle w:val="AfzendgegevensKop0"/>
                    </w:pPr>
                    <w:r>
                      <w:t>Ministerie van Infrastructuur en Waterstaat</w:t>
                    </w:r>
                  </w:p>
                  <w:p w14:paraId="551C8970" w14:textId="77777777" w:rsidR="00990C20" w:rsidRDefault="00990C20" w:rsidP="00990C20"/>
                  <w:p w14:paraId="30A0E86C" w14:textId="55935C77" w:rsidR="00990C20" w:rsidRPr="006E6308" w:rsidRDefault="00990C20" w:rsidP="00990C20">
                    <w:pPr>
                      <w:spacing w:line="240" w:lineRule="auto"/>
                      <w:rPr>
                        <w:b/>
                        <w:bCs/>
                        <w:sz w:val="13"/>
                        <w:szCs w:val="13"/>
                      </w:rPr>
                    </w:pPr>
                    <w:r w:rsidRPr="006E6308">
                      <w:rPr>
                        <w:b/>
                        <w:bCs/>
                        <w:sz w:val="13"/>
                        <w:szCs w:val="13"/>
                      </w:rPr>
                      <w:t xml:space="preserve">Ons </w:t>
                    </w:r>
                    <w:r>
                      <w:rPr>
                        <w:b/>
                        <w:bCs/>
                        <w:sz w:val="13"/>
                        <w:szCs w:val="13"/>
                      </w:rPr>
                      <w:t>k</w:t>
                    </w:r>
                    <w:r w:rsidRPr="006E6308">
                      <w:rPr>
                        <w:b/>
                        <w:bCs/>
                        <w:sz w:val="13"/>
                        <w:szCs w:val="13"/>
                      </w:rPr>
                      <w:t>enmerk</w:t>
                    </w:r>
                  </w:p>
                  <w:p w14:paraId="28013534" w14:textId="77777777" w:rsidR="00990C20" w:rsidRDefault="00990C20" w:rsidP="00990C20">
                    <w:pPr>
                      <w:spacing w:line="240" w:lineRule="auto"/>
                      <w:rPr>
                        <w:sz w:val="13"/>
                        <w:szCs w:val="13"/>
                      </w:rPr>
                    </w:pPr>
                    <w:r w:rsidRPr="006E6308">
                      <w:rPr>
                        <w:sz w:val="13"/>
                        <w:szCs w:val="13"/>
                      </w:rPr>
                      <w:t>IENW/BSK-2026/168288</w:t>
                    </w:r>
                  </w:p>
                  <w:p w14:paraId="77271015" w14:textId="77777777" w:rsidR="00990C20" w:rsidRPr="00990C20" w:rsidRDefault="00990C20" w:rsidP="00990C20"/>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746D9179" wp14:editId="2A72D0E2">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40A9785" w14:textId="77777777" w:rsidR="0064247D" w:rsidRDefault="006822DB">
                          <w:pPr>
                            <w:pStyle w:val="Referentiegegevens"/>
                          </w:pPr>
                          <w:r>
                            <w:t xml:space="preserve">Page </w:t>
                          </w:r>
                          <w:r>
                            <w:fldChar w:fldCharType="begin"/>
                          </w:r>
                          <w:r>
                            <w:instrText>PAGE</w:instrText>
                          </w:r>
                          <w:r>
                            <w:fldChar w:fldCharType="separate"/>
                          </w:r>
                          <w:r w:rsidR="00A023DF">
                            <w:rPr>
                              <w:noProof/>
                            </w:rPr>
                            <w:t>1</w:t>
                          </w:r>
                          <w:r>
                            <w:fldChar w:fldCharType="end"/>
                          </w:r>
                          <w:r>
                            <w:t xml:space="preserve"> of </w:t>
                          </w:r>
                          <w:r>
                            <w:fldChar w:fldCharType="begin"/>
                          </w:r>
                          <w:r>
                            <w:instrText>NUMPAGES</w:instrText>
                          </w:r>
                          <w:r>
                            <w:fldChar w:fldCharType="separate"/>
                          </w:r>
                          <w:r w:rsidR="00A023DF">
                            <w:rPr>
                              <w:noProof/>
                            </w:rPr>
                            <w:t>1</w:t>
                          </w:r>
                          <w:r>
                            <w:fldChar w:fldCharType="end"/>
                          </w:r>
                        </w:p>
                      </w:txbxContent>
                    </wps:txbx>
                    <wps:bodyPr vert="horz" wrap="square" lIns="0" tIns="0" rIns="0" bIns="0" anchor="t" anchorCtr="0"/>
                  </wps:wsp>
                </a:graphicData>
              </a:graphic>
            </wp:anchor>
          </w:drawing>
        </mc:Choice>
        <mc:Fallback>
          <w:pict>
            <v:shape w14:anchorId="746D9179"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240A9785" w14:textId="77777777" w:rsidR="0064247D" w:rsidRDefault="006822DB">
                    <w:pPr>
                      <w:pStyle w:val="Referentiegegevens"/>
                    </w:pPr>
                    <w:r>
                      <w:t xml:space="preserve">Page </w:t>
                    </w:r>
                    <w:r>
                      <w:fldChar w:fldCharType="begin"/>
                    </w:r>
                    <w:r>
                      <w:instrText>PAGE</w:instrText>
                    </w:r>
                    <w:r>
                      <w:fldChar w:fldCharType="separate"/>
                    </w:r>
                    <w:r w:rsidR="00A023DF">
                      <w:rPr>
                        <w:noProof/>
                      </w:rPr>
                      <w:t>1</w:t>
                    </w:r>
                    <w:r>
                      <w:fldChar w:fldCharType="end"/>
                    </w:r>
                    <w:r>
                      <w:t xml:space="preserve"> of </w:t>
                    </w:r>
                    <w:r>
                      <w:fldChar w:fldCharType="begin"/>
                    </w:r>
                    <w:r>
                      <w:instrText>NUMPAGES</w:instrText>
                    </w:r>
                    <w:r>
                      <w:fldChar w:fldCharType="separate"/>
                    </w:r>
                    <w:r w:rsidR="00A023D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11C446BF" wp14:editId="31DABC4B">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9859212" w14:textId="77777777" w:rsidR="00E73BD2" w:rsidRDefault="00E73BD2"/>
                      </w:txbxContent>
                    </wps:txbx>
                    <wps:bodyPr vert="horz" wrap="square" lIns="0" tIns="0" rIns="0" bIns="0" anchor="t" anchorCtr="0"/>
                  </wps:wsp>
                </a:graphicData>
              </a:graphic>
            </wp:anchor>
          </w:drawing>
        </mc:Choice>
        <mc:Fallback>
          <w:pict>
            <v:shape w14:anchorId="11C446BF"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9859212" w14:textId="77777777" w:rsidR="00E73BD2" w:rsidRDefault="00E73BD2"/>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F7657D9" wp14:editId="6A14E810">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D845A59" w14:textId="77777777" w:rsidR="00E73BD2" w:rsidRDefault="00E73BD2"/>
                      </w:txbxContent>
                    </wps:txbx>
                    <wps:bodyPr vert="horz" wrap="square" lIns="0" tIns="0" rIns="0" bIns="0" anchor="t" anchorCtr="0"/>
                  </wps:wsp>
                </a:graphicData>
              </a:graphic>
            </wp:anchor>
          </w:drawing>
        </mc:Choice>
        <mc:Fallback>
          <w:pict>
            <v:shape w14:anchorId="2F7657D9"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4D845A59" w14:textId="77777777" w:rsidR="00E73BD2" w:rsidRDefault="00E73BD2"/>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01164" w14:textId="77777777" w:rsidR="0064247D" w:rsidRDefault="006822DB">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F178B8C" wp14:editId="05515C9E">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20D6CE6" w14:textId="77777777" w:rsidR="00E73BD2" w:rsidRDefault="00E73BD2"/>
                      </w:txbxContent>
                    </wps:txbx>
                    <wps:bodyPr vert="horz" wrap="square" lIns="0" tIns="0" rIns="0" bIns="0" anchor="t" anchorCtr="0"/>
                  </wps:wsp>
                </a:graphicData>
              </a:graphic>
            </wp:anchor>
          </w:drawing>
        </mc:Choice>
        <mc:Fallback>
          <w:pict>
            <v:shapetype w14:anchorId="3F178B8C"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120D6CE6" w14:textId="77777777" w:rsidR="00E73BD2" w:rsidRDefault="00E73BD2"/>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1D5ADC50" wp14:editId="41C2A468">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5512A26" w14:textId="2C370BDD" w:rsidR="0064247D" w:rsidRDefault="006822DB">
                          <w:pPr>
                            <w:pStyle w:val="Referentiegegevens"/>
                          </w:pPr>
                          <w:r>
                            <w:t xml:space="preserve">Page </w:t>
                          </w:r>
                          <w:r>
                            <w:fldChar w:fldCharType="begin"/>
                          </w:r>
                          <w:r>
                            <w:instrText>PAGE</w:instrText>
                          </w:r>
                          <w:r>
                            <w:fldChar w:fldCharType="separate"/>
                          </w:r>
                          <w:r w:rsidR="00075DA1">
                            <w:rPr>
                              <w:noProof/>
                            </w:rPr>
                            <w:t>1</w:t>
                          </w:r>
                          <w:r>
                            <w:fldChar w:fldCharType="end"/>
                          </w:r>
                          <w:r>
                            <w:t xml:space="preserve"> of </w:t>
                          </w:r>
                          <w:r>
                            <w:fldChar w:fldCharType="begin"/>
                          </w:r>
                          <w:r>
                            <w:instrText>NUMPAGES</w:instrText>
                          </w:r>
                          <w:r>
                            <w:fldChar w:fldCharType="separate"/>
                          </w:r>
                          <w:r w:rsidR="00075DA1">
                            <w:rPr>
                              <w:noProof/>
                            </w:rPr>
                            <w:t>1</w:t>
                          </w:r>
                          <w:r>
                            <w:fldChar w:fldCharType="end"/>
                          </w:r>
                        </w:p>
                      </w:txbxContent>
                    </wps:txbx>
                    <wps:bodyPr vert="horz" wrap="square" lIns="0" tIns="0" rIns="0" bIns="0" anchor="t" anchorCtr="0"/>
                  </wps:wsp>
                </a:graphicData>
              </a:graphic>
            </wp:anchor>
          </w:drawing>
        </mc:Choice>
        <mc:Fallback>
          <w:pict>
            <v:shape w14:anchorId="1D5ADC50"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5512A26" w14:textId="2C370BDD" w:rsidR="0064247D" w:rsidRDefault="006822DB">
                    <w:pPr>
                      <w:pStyle w:val="Referentiegegevens"/>
                    </w:pPr>
                    <w:r>
                      <w:t xml:space="preserve">Page </w:t>
                    </w:r>
                    <w:r>
                      <w:fldChar w:fldCharType="begin"/>
                    </w:r>
                    <w:r>
                      <w:instrText>PAGE</w:instrText>
                    </w:r>
                    <w:r>
                      <w:fldChar w:fldCharType="separate"/>
                    </w:r>
                    <w:r w:rsidR="00075DA1">
                      <w:rPr>
                        <w:noProof/>
                      </w:rPr>
                      <w:t>1</w:t>
                    </w:r>
                    <w:r>
                      <w:fldChar w:fldCharType="end"/>
                    </w:r>
                    <w:r>
                      <w:t xml:space="preserve"> of </w:t>
                    </w:r>
                    <w:r>
                      <w:fldChar w:fldCharType="begin"/>
                    </w:r>
                    <w:r>
                      <w:instrText>NUMPAGES</w:instrText>
                    </w:r>
                    <w:r>
                      <w:fldChar w:fldCharType="separate"/>
                    </w:r>
                    <w:r w:rsidR="00075DA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6329FE39" wp14:editId="5D0AC5BE">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D3DA746" w14:textId="77777777" w:rsidR="0064247D" w:rsidRDefault="006822DB">
                          <w:pPr>
                            <w:pStyle w:val="AfzendgegevensKop0"/>
                          </w:pPr>
                          <w:r>
                            <w:t>Ministerie van Infrastructuur en Waterstaat</w:t>
                          </w:r>
                        </w:p>
                        <w:p w14:paraId="0146F9BB" w14:textId="77777777" w:rsidR="0064247D" w:rsidRDefault="0064247D">
                          <w:pPr>
                            <w:pStyle w:val="WitregelW1"/>
                          </w:pPr>
                        </w:p>
                        <w:p w14:paraId="1AE7317C" w14:textId="77777777" w:rsidR="0064247D" w:rsidRDefault="006822DB">
                          <w:pPr>
                            <w:pStyle w:val="Afzendgegevens"/>
                          </w:pPr>
                          <w:r>
                            <w:t>Rijnstraat 8</w:t>
                          </w:r>
                        </w:p>
                        <w:p w14:paraId="32621E84" w14:textId="77777777" w:rsidR="0064247D" w:rsidRPr="00A023DF" w:rsidRDefault="006822DB">
                          <w:pPr>
                            <w:pStyle w:val="Afzendgegevens"/>
                            <w:rPr>
                              <w:lang w:val="de-DE"/>
                            </w:rPr>
                          </w:pPr>
                          <w:r w:rsidRPr="00A023DF">
                            <w:rPr>
                              <w:lang w:val="de-DE"/>
                            </w:rPr>
                            <w:t>2515 XP  Den Haag</w:t>
                          </w:r>
                        </w:p>
                        <w:p w14:paraId="79398355" w14:textId="77777777" w:rsidR="0064247D" w:rsidRPr="00A023DF" w:rsidRDefault="006822DB">
                          <w:pPr>
                            <w:pStyle w:val="Afzendgegevens"/>
                            <w:rPr>
                              <w:lang w:val="de-DE"/>
                            </w:rPr>
                          </w:pPr>
                          <w:r w:rsidRPr="00A023DF">
                            <w:rPr>
                              <w:lang w:val="de-DE"/>
                            </w:rPr>
                            <w:t>Postbus 20901</w:t>
                          </w:r>
                        </w:p>
                        <w:p w14:paraId="2E70401D" w14:textId="77777777" w:rsidR="0064247D" w:rsidRPr="00A023DF" w:rsidRDefault="006822DB">
                          <w:pPr>
                            <w:pStyle w:val="Afzendgegevens"/>
                            <w:rPr>
                              <w:lang w:val="de-DE"/>
                            </w:rPr>
                          </w:pPr>
                          <w:r w:rsidRPr="00A023DF">
                            <w:rPr>
                              <w:lang w:val="de-DE"/>
                            </w:rPr>
                            <w:t>2500 EX Den Haag</w:t>
                          </w:r>
                        </w:p>
                        <w:p w14:paraId="23586DE1" w14:textId="77777777" w:rsidR="0064247D" w:rsidRPr="00A023DF" w:rsidRDefault="0064247D">
                          <w:pPr>
                            <w:pStyle w:val="WitregelW1"/>
                            <w:rPr>
                              <w:lang w:val="de-DE"/>
                            </w:rPr>
                          </w:pPr>
                        </w:p>
                        <w:p w14:paraId="127C264F" w14:textId="77777777" w:rsidR="0064247D" w:rsidRPr="00A023DF" w:rsidRDefault="006822DB">
                          <w:pPr>
                            <w:pStyle w:val="Afzendgegevens"/>
                            <w:rPr>
                              <w:lang w:val="de-DE"/>
                            </w:rPr>
                          </w:pPr>
                          <w:r w:rsidRPr="00A023DF">
                            <w:rPr>
                              <w:lang w:val="de-DE"/>
                            </w:rPr>
                            <w:t>T   070-456 0000</w:t>
                          </w:r>
                        </w:p>
                        <w:p w14:paraId="3FD668CF" w14:textId="77777777" w:rsidR="0064247D" w:rsidRDefault="006822DB">
                          <w:pPr>
                            <w:pStyle w:val="Afzendgegevens"/>
                          </w:pPr>
                          <w:r>
                            <w:t>F   070-456 1111</w:t>
                          </w:r>
                        </w:p>
                        <w:p w14:paraId="7DDD0FE0" w14:textId="77777777" w:rsidR="006E6308" w:rsidRDefault="006E6308" w:rsidP="006E6308">
                          <w:pPr>
                            <w:spacing w:line="240" w:lineRule="auto"/>
                            <w:rPr>
                              <w:sz w:val="13"/>
                              <w:szCs w:val="13"/>
                            </w:rPr>
                          </w:pPr>
                        </w:p>
                        <w:p w14:paraId="493DB9BB" w14:textId="77777777" w:rsidR="006E6308" w:rsidRPr="006E6308" w:rsidRDefault="006E6308" w:rsidP="006E6308">
                          <w:pPr>
                            <w:spacing w:line="240" w:lineRule="auto"/>
                            <w:rPr>
                              <w:sz w:val="13"/>
                              <w:szCs w:val="13"/>
                            </w:rPr>
                          </w:pPr>
                        </w:p>
                        <w:p w14:paraId="1C4FE261" w14:textId="232D2EF2" w:rsidR="006E6308" w:rsidRPr="006E6308" w:rsidRDefault="006E6308" w:rsidP="006E6308">
                          <w:pPr>
                            <w:spacing w:line="240" w:lineRule="auto"/>
                            <w:rPr>
                              <w:b/>
                              <w:bCs/>
                              <w:sz w:val="13"/>
                              <w:szCs w:val="13"/>
                            </w:rPr>
                          </w:pPr>
                          <w:r w:rsidRPr="006E6308">
                            <w:rPr>
                              <w:b/>
                              <w:bCs/>
                              <w:sz w:val="13"/>
                              <w:szCs w:val="13"/>
                            </w:rPr>
                            <w:t xml:space="preserve">Ons </w:t>
                          </w:r>
                          <w:r w:rsidR="00990C20">
                            <w:rPr>
                              <w:b/>
                              <w:bCs/>
                              <w:sz w:val="13"/>
                              <w:szCs w:val="13"/>
                            </w:rPr>
                            <w:t>k</w:t>
                          </w:r>
                          <w:r w:rsidRPr="006E6308">
                            <w:rPr>
                              <w:b/>
                              <w:bCs/>
                              <w:sz w:val="13"/>
                              <w:szCs w:val="13"/>
                            </w:rPr>
                            <w:t>enmerk</w:t>
                          </w:r>
                        </w:p>
                        <w:p w14:paraId="0F07D3E8" w14:textId="22B1718A" w:rsidR="006E6308" w:rsidRDefault="006E6308" w:rsidP="006E6308">
                          <w:pPr>
                            <w:spacing w:line="240" w:lineRule="auto"/>
                            <w:rPr>
                              <w:sz w:val="13"/>
                              <w:szCs w:val="13"/>
                            </w:rPr>
                          </w:pPr>
                          <w:r w:rsidRPr="006E6308">
                            <w:rPr>
                              <w:sz w:val="13"/>
                              <w:szCs w:val="13"/>
                            </w:rPr>
                            <w:t>IENW/BSK-2026/168288</w:t>
                          </w:r>
                        </w:p>
                        <w:p w14:paraId="62B414B9" w14:textId="77777777" w:rsidR="006E6308" w:rsidRDefault="006E6308" w:rsidP="006E6308">
                          <w:pPr>
                            <w:spacing w:line="240" w:lineRule="auto"/>
                            <w:rPr>
                              <w:sz w:val="13"/>
                              <w:szCs w:val="13"/>
                            </w:rPr>
                          </w:pPr>
                        </w:p>
                        <w:p w14:paraId="5D5B324E" w14:textId="778F9094" w:rsidR="006E6308" w:rsidRPr="006E6308" w:rsidRDefault="006E6308" w:rsidP="006E6308">
                          <w:pPr>
                            <w:spacing w:line="240" w:lineRule="auto"/>
                            <w:rPr>
                              <w:b/>
                              <w:bCs/>
                              <w:sz w:val="13"/>
                              <w:szCs w:val="13"/>
                            </w:rPr>
                          </w:pPr>
                          <w:r w:rsidRPr="006E6308">
                            <w:rPr>
                              <w:b/>
                              <w:bCs/>
                              <w:sz w:val="13"/>
                              <w:szCs w:val="13"/>
                            </w:rPr>
                            <w:t>Bijlage(n)</w:t>
                          </w:r>
                        </w:p>
                        <w:p w14:paraId="7E1F5449" w14:textId="6E1F1380" w:rsidR="006E6308" w:rsidRPr="006E6308" w:rsidRDefault="00990C20" w:rsidP="006E6308">
                          <w:pPr>
                            <w:spacing w:line="240" w:lineRule="auto"/>
                            <w:rPr>
                              <w:sz w:val="13"/>
                              <w:szCs w:val="13"/>
                            </w:rPr>
                          </w:pPr>
                          <w:r>
                            <w:rPr>
                              <w:sz w:val="13"/>
                              <w:szCs w:val="13"/>
                            </w:rPr>
                            <w:t>3</w:t>
                          </w:r>
                        </w:p>
                      </w:txbxContent>
                    </wps:txbx>
                    <wps:bodyPr vert="horz" wrap="square" lIns="0" tIns="0" rIns="0" bIns="0" anchor="t" anchorCtr="0"/>
                  </wps:wsp>
                </a:graphicData>
              </a:graphic>
            </wp:anchor>
          </w:drawing>
        </mc:Choice>
        <mc:Fallback>
          <w:pict>
            <v:shape w14:anchorId="6329FE39"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3D3DA746" w14:textId="77777777" w:rsidR="0064247D" w:rsidRDefault="006822DB">
                    <w:pPr>
                      <w:pStyle w:val="AfzendgegevensKop0"/>
                    </w:pPr>
                    <w:r>
                      <w:t>Ministerie van Infrastructuur en Waterstaat</w:t>
                    </w:r>
                  </w:p>
                  <w:p w14:paraId="0146F9BB" w14:textId="77777777" w:rsidR="0064247D" w:rsidRDefault="0064247D">
                    <w:pPr>
                      <w:pStyle w:val="WitregelW1"/>
                    </w:pPr>
                  </w:p>
                  <w:p w14:paraId="1AE7317C" w14:textId="77777777" w:rsidR="0064247D" w:rsidRDefault="006822DB">
                    <w:pPr>
                      <w:pStyle w:val="Afzendgegevens"/>
                    </w:pPr>
                    <w:r>
                      <w:t>Rijnstraat 8</w:t>
                    </w:r>
                  </w:p>
                  <w:p w14:paraId="32621E84" w14:textId="77777777" w:rsidR="0064247D" w:rsidRPr="00A023DF" w:rsidRDefault="006822DB">
                    <w:pPr>
                      <w:pStyle w:val="Afzendgegevens"/>
                      <w:rPr>
                        <w:lang w:val="de-DE"/>
                      </w:rPr>
                    </w:pPr>
                    <w:r w:rsidRPr="00A023DF">
                      <w:rPr>
                        <w:lang w:val="de-DE"/>
                      </w:rPr>
                      <w:t>2515 XP  Den Haag</w:t>
                    </w:r>
                  </w:p>
                  <w:p w14:paraId="79398355" w14:textId="77777777" w:rsidR="0064247D" w:rsidRPr="00A023DF" w:rsidRDefault="006822DB">
                    <w:pPr>
                      <w:pStyle w:val="Afzendgegevens"/>
                      <w:rPr>
                        <w:lang w:val="de-DE"/>
                      </w:rPr>
                    </w:pPr>
                    <w:r w:rsidRPr="00A023DF">
                      <w:rPr>
                        <w:lang w:val="de-DE"/>
                      </w:rPr>
                      <w:t>Postbus 20901</w:t>
                    </w:r>
                  </w:p>
                  <w:p w14:paraId="2E70401D" w14:textId="77777777" w:rsidR="0064247D" w:rsidRPr="00A023DF" w:rsidRDefault="006822DB">
                    <w:pPr>
                      <w:pStyle w:val="Afzendgegevens"/>
                      <w:rPr>
                        <w:lang w:val="de-DE"/>
                      </w:rPr>
                    </w:pPr>
                    <w:r w:rsidRPr="00A023DF">
                      <w:rPr>
                        <w:lang w:val="de-DE"/>
                      </w:rPr>
                      <w:t>2500 EX Den Haag</w:t>
                    </w:r>
                  </w:p>
                  <w:p w14:paraId="23586DE1" w14:textId="77777777" w:rsidR="0064247D" w:rsidRPr="00A023DF" w:rsidRDefault="0064247D">
                    <w:pPr>
                      <w:pStyle w:val="WitregelW1"/>
                      <w:rPr>
                        <w:lang w:val="de-DE"/>
                      </w:rPr>
                    </w:pPr>
                  </w:p>
                  <w:p w14:paraId="127C264F" w14:textId="77777777" w:rsidR="0064247D" w:rsidRPr="00A023DF" w:rsidRDefault="006822DB">
                    <w:pPr>
                      <w:pStyle w:val="Afzendgegevens"/>
                      <w:rPr>
                        <w:lang w:val="de-DE"/>
                      </w:rPr>
                    </w:pPr>
                    <w:r w:rsidRPr="00A023DF">
                      <w:rPr>
                        <w:lang w:val="de-DE"/>
                      </w:rPr>
                      <w:t>T   070-456 0000</w:t>
                    </w:r>
                  </w:p>
                  <w:p w14:paraId="3FD668CF" w14:textId="77777777" w:rsidR="0064247D" w:rsidRDefault="006822DB">
                    <w:pPr>
                      <w:pStyle w:val="Afzendgegevens"/>
                    </w:pPr>
                    <w:r>
                      <w:t>F   070-456 1111</w:t>
                    </w:r>
                  </w:p>
                  <w:p w14:paraId="7DDD0FE0" w14:textId="77777777" w:rsidR="006E6308" w:rsidRDefault="006E6308" w:rsidP="006E6308">
                    <w:pPr>
                      <w:spacing w:line="240" w:lineRule="auto"/>
                      <w:rPr>
                        <w:sz w:val="13"/>
                        <w:szCs w:val="13"/>
                      </w:rPr>
                    </w:pPr>
                  </w:p>
                  <w:p w14:paraId="493DB9BB" w14:textId="77777777" w:rsidR="006E6308" w:rsidRPr="006E6308" w:rsidRDefault="006E6308" w:rsidP="006E6308">
                    <w:pPr>
                      <w:spacing w:line="240" w:lineRule="auto"/>
                      <w:rPr>
                        <w:sz w:val="13"/>
                        <w:szCs w:val="13"/>
                      </w:rPr>
                    </w:pPr>
                  </w:p>
                  <w:p w14:paraId="1C4FE261" w14:textId="232D2EF2" w:rsidR="006E6308" w:rsidRPr="006E6308" w:rsidRDefault="006E6308" w:rsidP="006E6308">
                    <w:pPr>
                      <w:spacing w:line="240" w:lineRule="auto"/>
                      <w:rPr>
                        <w:b/>
                        <w:bCs/>
                        <w:sz w:val="13"/>
                        <w:szCs w:val="13"/>
                      </w:rPr>
                    </w:pPr>
                    <w:r w:rsidRPr="006E6308">
                      <w:rPr>
                        <w:b/>
                        <w:bCs/>
                        <w:sz w:val="13"/>
                        <w:szCs w:val="13"/>
                      </w:rPr>
                      <w:t xml:space="preserve">Ons </w:t>
                    </w:r>
                    <w:r w:rsidR="00990C20">
                      <w:rPr>
                        <w:b/>
                        <w:bCs/>
                        <w:sz w:val="13"/>
                        <w:szCs w:val="13"/>
                      </w:rPr>
                      <w:t>k</w:t>
                    </w:r>
                    <w:r w:rsidRPr="006E6308">
                      <w:rPr>
                        <w:b/>
                        <w:bCs/>
                        <w:sz w:val="13"/>
                        <w:szCs w:val="13"/>
                      </w:rPr>
                      <w:t>enmerk</w:t>
                    </w:r>
                  </w:p>
                  <w:p w14:paraId="0F07D3E8" w14:textId="22B1718A" w:rsidR="006E6308" w:rsidRDefault="006E6308" w:rsidP="006E6308">
                    <w:pPr>
                      <w:spacing w:line="240" w:lineRule="auto"/>
                      <w:rPr>
                        <w:sz w:val="13"/>
                        <w:szCs w:val="13"/>
                      </w:rPr>
                    </w:pPr>
                    <w:r w:rsidRPr="006E6308">
                      <w:rPr>
                        <w:sz w:val="13"/>
                        <w:szCs w:val="13"/>
                      </w:rPr>
                      <w:t>IENW/BSK-2026/168288</w:t>
                    </w:r>
                  </w:p>
                  <w:p w14:paraId="62B414B9" w14:textId="77777777" w:rsidR="006E6308" w:rsidRDefault="006E6308" w:rsidP="006E6308">
                    <w:pPr>
                      <w:spacing w:line="240" w:lineRule="auto"/>
                      <w:rPr>
                        <w:sz w:val="13"/>
                        <w:szCs w:val="13"/>
                      </w:rPr>
                    </w:pPr>
                  </w:p>
                  <w:p w14:paraId="5D5B324E" w14:textId="778F9094" w:rsidR="006E6308" w:rsidRPr="006E6308" w:rsidRDefault="006E6308" w:rsidP="006E6308">
                    <w:pPr>
                      <w:spacing w:line="240" w:lineRule="auto"/>
                      <w:rPr>
                        <w:b/>
                        <w:bCs/>
                        <w:sz w:val="13"/>
                        <w:szCs w:val="13"/>
                      </w:rPr>
                    </w:pPr>
                    <w:r w:rsidRPr="006E6308">
                      <w:rPr>
                        <w:b/>
                        <w:bCs/>
                        <w:sz w:val="13"/>
                        <w:szCs w:val="13"/>
                      </w:rPr>
                      <w:t>Bijlage(n)</w:t>
                    </w:r>
                  </w:p>
                  <w:p w14:paraId="7E1F5449" w14:textId="6E1F1380" w:rsidR="006E6308" w:rsidRPr="006E6308" w:rsidRDefault="00990C20" w:rsidP="006E6308">
                    <w:pPr>
                      <w:spacing w:line="240" w:lineRule="auto"/>
                      <w:rPr>
                        <w:sz w:val="13"/>
                        <w:szCs w:val="13"/>
                      </w:rPr>
                    </w:pPr>
                    <w:r>
                      <w:rPr>
                        <w:sz w:val="13"/>
                        <w:szCs w:val="13"/>
                      </w:rPr>
                      <w:t>3</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0150FF97" wp14:editId="1B69F71C">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FDBD4EE" w14:textId="77777777" w:rsidR="0064247D" w:rsidRDefault="006822DB">
                          <w:pPr>
                            <w:spacing w:line="240" w:lineRule="auto"/>
                          </w:pPr>
                          <w:r>
                            <w:rPr>
                              <w:noProof/>
                              <w:lang w:val="en-GB" w:eastAsia="en-GB"/>
                            </w:rPr>
                            <w:drawing>
                              <wp:inline distT="0" distB="0" distL="0" distR="0" wp14:anchorId="3C0CEAF1" wp14:editId="569DE8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50FF97"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7FDBD4EE" w14:textId="77777777" w:rsidR="0064247D" w:rsidRDefault="006822DB">
                    <w:pPr>
                      <w:spacing w:line="240" w:lineRule="auto"/>
                    </w:pPr>
                    <w:r>
                      <w:rPr>
                        <w:noProof/>
                        <w:lang w:val="en-GB" w:eastAsia="en-GB"/>
                      </w:rPr>
                      <w:drawing>
                        <wp:inline distT="0" distB="0" distL="0" distR="0" wp14:anchorId="3C0CEAF1" wp14:editId="569DE8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4B39A9F1" wp14:editId="7E394D70">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F672A82" w14:textId="77777777" w:rsidR="0064247D" w:rsidRDefault="006822DB">
                          <w:pPr>
                            <w:spacing w:line="240" w:lineRule="auto"/>
                          </w:pPr>
                          <w:r>
                            <w:rPr>
                              <w:noProof/>
                              <w:lang w:val="en-GB" w:eastAsia="en-GB"/>
                            </w:rPr>
                            <w:drawing>
                              <wp:inline distT="0" distB="0" distL="0" distR="0" wp14:anchorId="02E5E07E" wp14:editId="47E1E151">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B39A9F1"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F672A82" w14:textId="77777777" w:rsidR="0064247D" w:rsidRDefault="006822DB">
                    <w:pPr>
                      <w:spacing w:line="240" w:lineRule="auto"/>
                    </w:pPr>
                    <w:r>
                      <w:rPr>
                        <w:noProof/>
                        <w:lang w:val="en-GB" w:eastAsia="en-GB"/>
                      </w:rPr>
                      <w:drawing>
                        <wp:inline distT="0" distB="0" distL="0" distR="0" wp14:anchorId="02E5E07E" wp14:editId="47E1E151">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75CC3C3" wp14:editId="3CCEF644">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352AAB6" w14:textId="77777777" w:rsidR="0064247D" w:rsidRDefault="006822DB">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75CC3C3"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352AAB6" w14:textId="77777777" w:rsidR="0064247D" w:rsidRDefault="006822DB">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ACA743B" wp14:editId="73D9D9FE">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6B42695" w14:textId="77777777" w:rsidR="0064247D" w:rsidRDefault="006822DB">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ACA743B"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6B42695" w14:textId="77777777" w:rsidR="0064247D" w:rsidRDefault="006822DB">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078CC81C" wp14:editId="3EE57DC3">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64247D" w14:paraId="0AE63C7B" w14:textId="77777777">
                            <w:trPr>
                              <w:trHeight w:val="200"/>
                            </w:trPr>
                            <w:tc>
                              <w:tcPr>
                                <w:tcW w:w="1140" w:type="dxa"/>
                              </w:tcPr>
                              <w:p w14:paraId="7BA8DBF6" w14:textId="77777777" w:rsidR="0064247D" w:rsidRDefault="0064247D"/>
                            </w:tc>
                            <w:tc>
                              <w:tcPr>
                                <w:tcW w:w="5400" w:type="dxa"/>
                              </w:tcPr>
                              <w:p w14:paraId="180B7723" w14:textId="77777777" w:rsidR="0064247D" w:rsidRDefault="0064247D"/>
                            </w:tc>
                          </w:tr>
                          <w:tr w:rsidR="0064247D" w14:paraId="0C2D4EED" w14:textId="77777777">
                            <w:trPr>
                              <w:trHeight w:val="240"/>
                            </w:trPr>
                            <w:tc>
                              <w:tcPr>
                                <w:tcW w:w="1140" w:type="dxa"/>
                              </w:tcPr>
                              <w:p w14:paraId="3DAAE817" w14:textId="77777777" w:rsidR="0064247D" w:rsidRDefault="006822DB">
                                <w:r>
                                  <w:t>Datum</w:t>
                                </w:r>
                              </w:p>
                            </w:tc>
                            <w:tc>
                              <w:tcPr>
                                <w:tcW w:w="5400" w:type="dxa"/>
                              </w:tcPr>
                              <w:p w14:paraId="6096970A" w14:textId="49151A13" w:rsidR="0064247D" w:rsidRDefault="009B7572">
                                <w:r>
                                  <w:t>7</w:t>
                                </w:r>
                                <w:r w:rsidR="00990C20">
                                  <w:t xml:space="preserve"> oktober 2026</w:t>
                                </w:r>
                              </w:p>
                            </w:tc>
                          </w:tr>
                          <w:tr w:rsidR="0064247D" w14:paraId="5C03618A" w14:textId="77777777">
                            <w:trPr>
                              <w:trHeight w:val="240"/>
                            </w:trPr>
                            <w:tc>
                              <w:tcPr>
                                <w:tcW w:w="1140" w:type="dxa"/>
                              </w:tcPr>
                              <w:p w14:paraId="413989FA" w14:textId="77777777" w:rsidR="0064247D" w:rsidRDefault="006822DB">
                                <w:r>
                                  <w:t>Betreft</w:t>
                                </w:r>
                              </w:p>
                            </w:tc>
                            <w:tc>
                              <w:tcPr>
                                <w:tcW w:w="5400" w:type="dxa"/>
                              </w:tcPr>
                              <w:p w14:paraId="576F1848" w14:textId="77777777" w:rsidR="0064247D" w:rsidRDefault="006822DB">
                                <w:r>
                                  <w:t>Moties en toezeggingen nav het CD Water 25 juni</w:t>
                                </w:r>
                              </w:p>
                            </w:tc>
                          </w:tr>
                          <w:tr w:rsidR="0064247D" w14:paraId="7D596E95" w14:textId="77777777">
                            <w:trPr>
                              <w:trHeight w:val="200"/>
                            </w:trPr>
                            <w:tc>
                              <w:tcPr>
                                <w:tcW w:w="1140" w:type="dxa"/>
                              </w:tcPr>
                              <w:p w14:paraId="08C1CDBE" w14:textId="77777777" w:rsidR="0064247D" w:rsidRDefault="0064247D"/>
                            </w:tc>
                            <w:tc>
                              <w:tcPr>
                                <w:tcW w:w="5400" w:type="dxa"/>
                              </w:tcPr>
                              <w:p w14:paraId="0DFEA700" w14:textId="77777777" w:rsidR="0064247D" w:rsidRDefault="0064247D"/>
                            </w:tc>
                          </w:tr>
                        </w:tbl>
                        <w:p w14:paraId="6AF4442F" w14:textId="77777777" w:rsidR="00E73BD2" w:rsidRDefault="00E73BD2"/>
                      </w:txbxContent>
                    </wps:txbx>
                    <wps:bodyPr vert="horz" wrap="square" lIns="0" tIns="0" rIns="0" bIns="0" anchor="t" anchorCtr="0"/>
                  </wps:wsp>
                </a:graphicData>
              </a:graphic>
            </wp:anchor>
          </w:drawing>
        </mc:Choice>
        <mc:Fallback>
          <w:pict>
            <v:shape w14:anchorId="078CC81C"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64247D" w14:paraId="0AE63C7B" w14:textId="77777777">
                      <w:trPr>
                        <w:trHeight w:val="200"/>
                      </w:trPr>
                      <w:tc>
                        <w:tcPr>
                          <w:tcW w:w="1140" w:type="dxa"/>
                        </w:tcPr>
                        <w:p w14:paraId="7BA8DBF6" w14:textId="77777777" w:rsidR="0064247D" w:rsidRDefault="0064247D"/>
                      </w:tc>
                      <w:tc>
                        <w:tcPr>
                          <w:tcW w:w="5400" w:type="dxa"/>
                        </w:tcPr>
                        <w:p w14:paraId="180B7723" w14:textId="77777777" w:rsidR="0064247D" w:rsidRDefault="0064247D"/>
                      </w:tc>
                    </w:tr>
                    <w:tr w:rsidR="0064247D" w14:paraId="0C2D4EED" w14:textId="77777777">
                      <w:trPr>
                        <w:trHeight w:val="240"/>
                      </w:trPr>
                      <w:tc>
                        <w:tcPr>
                          <w:tcW w:w="1140" w:type="dxa"/>
                        </w:tcPr>
                        <w:p w14:paraId="3DAAE817" w14:textId="77777777" w:rsidR="0064247D" w:rsidRDefault="006822DB">
                          <w:r>
                            <w:t>Datum</w:t>
                          </w:r>
                        </w:p>
                      </w:tc>
                      <w:tc>
                        <w:tcPr>
                          <w:tcW w:w="5400" w:type="dxa"/>
                        </w:tcPr>
                        <w:p w14:paraId="6096970A" w14:textId="49151A13" w:rsidR="0064247D" w:rsidRDefault="009B7572">
                          <w:r>
                            <w:t>7</w:t>
                          </w:r>
                          <w:r w:rsidR="00990C20">
                            <w:t xml:space="preserve"> oktober 2026</w:t>
                          </w:r>
                        </w:p>
                      </w:tc>
                    </w:tr>
                    <w:tr w:rsidR="0064247D" w14:paraId="5C03618A" w14:textId="77777777">
                      <w:trPr>
                        <w:trHeight w:val="240"/>
                      </w:trPr>
                      <w:tc>
                        <w:tcPr>
                          <w:tcW w:w="1140" w:type="dxa"/>
                        </w:tcPr>
                        <w:p w14:paraId="413989FA" w14:textId="77777777" w:rsidR="0064247D" w:rsidRDefault="006822DB">
                          <w:r>
                            <w:t>Betreft</w:t>
                          </w:r>
                        </w:p>
                      </w:tc>
                      <w:tc>
                        <w:tcPr>
                          <w:tcW w:w="5400" w:type="dxa"/>
                        </w:tcPr>
                        <w:p w14:paraId="576F1848" w14:textId="77777777" w:rsidR="0064247D" w:rsidRDefault="006822DB">
                          <w:r>
                            <w:t>Moties en toezeggingen nav het CD Water 25 juni</w:t>
                          </w:r>
                        </w:p>
                      </w:tc>
                    </w:tr>
                    <w:tr w:rsidR="0064247D" w14:paraId="7D596E95" w14:textId="77777777">
                      <w:trPr>
                        <w:trHeight w:val="200"/>
                      </w:trPr>
                      <w:tc>
                        <w:tcPr>
                          <w:tcW w:w="1140" w:type="dxa"/>
                        </w:tcPr>
                        <w:p w14:paraId="08C1CDBE" w14:textId="77777777" w:rsidR="0064247D" w:rsidRDefault="0064247D"/>
                      </w:tc>
                      <w:tc>
                        <w:tcPr>
                          <w:tcW w:w="5400" w:type="dxa"/>
                        </w:tcPr>
                        <w:p w14:paraId="0DFEA700" w14:textId="77777777" w:rsidR="0064247D" w:rsidRDefault="0064247D"/>
                      </w:tc>
                    </w:tr>
                  </w:tbl>
                  <w:p w14:paraId="6AF4442F" w14:textId="77777777" w:rsidR="00E73BD2" w:rsidRDefault="00E73BD2"/>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5168666" wp14:editId="4C2EA16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6639F85" w14:textId="77777777" w:rsidR="00E73BD2" w:rsidRDefault="00E73BD2"/>
                      </w:txbxContent>
                    </wps:txbx>
                    <wps:bodyPr vert="horz" wrap="square" lIns="0" tIns="0" rIns="0" bIns="0" anchor="t" anchorCtr="0"/>
                  </wps:wsp>
                </a:graphicData>
              </a:graphic>
            </wp:anchor>
          </w:drawing>
        </mc:Choice>
        <mc:Fallback>
          <w:pict>
            <v:shape w14:anchorId="05168666"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76639F85" w14:textId="77777777" w:rsidR="00E73BD2" w:rsidRDefault="00E73BD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DE00FD"/>
    <w:multiLevelType w:val="multilevel"/>
    <w:tmpl w:val="C1AC322E"/>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E131F84"/>
    <w:multiLevelType w:val="multilevel"/>
    <w:tmpl w:val="5A33FC6F"/>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1B6D4D6"/>
    <w:multiLevelType w:val="multilevel"/>
    <w:tmpl w:val="2A29D628"/>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C162AFD0"/>
    <w:multiLevelType w:val="multilevel"/>
    <w:tmpl w:val="42E0E33F"/>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C49E8EB"/>
    <w:multiLevelType w:val="multilevel"/>
    <w:tmpl w:val="75294EB2"/>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824BAAC"/>
    <w:multiLevelType w:val="multilevel"/>
    <w:tmpl w:val="4C433A1E"/>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0A6F88"/>
    <w:multiLevelType w:val="multilevel"/>
    <w:tmpl w:val="FF29D41A"/>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0C6349"/>
    <w:multiLevelType w:val="multilevel"/>
    <w:tmpl w:val="1024481B"/>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AF74F6"/>
    <w:multiLevelType w:val="multilevel"/>
    <w:tmpl w:val="C8441FE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12CFBAE2"/>
    <w:multiLevelType w:val="multilevel"/>
    <w:tmpl w:val="481E05A3"/>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9D39AD"/>
    <w:multiLevelType w:val="multilevel"/>
    <w:tmpl w:val="98A3F9CC"/>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A0F159"/>
    <w:multiLevelType w:val="multilevel"/>
    <w:tmpl w:val="E2594C28"/>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DFF440"/>
    <w:multiLevelType w:val="multilevel"/>
    <w:tmpl w:val="00BDB5E4"/>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186713"/>
    <w:multiLevelType w:val="hybridMultilevel"/>
    <w:tmpl w:val="6D60736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F8B5BA6"/>
    <w:multiLevelType w:val="multilevel"/>
    <w:tmpl w:val="B272B37F"/>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1D75B5"/>
    <w:multiLevelType w:val="multilevel"/>
    <w:tmpl w:val="03497DD0"/>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8424B6"/>
    <w:multiLevelType w:val="multilevel"/>
    <w:tmpl w:val="59F89168"/>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4A890B"/>
    <w:multiLevelType w:val="multilevel"/>
    <w:tmpl w:val="3674AF3A"/>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C40627"/>
    <w:multiLevelType w:val="multilevel"/>
    <w:tmpl w:val="54C79038"/>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CDF258"/>
    <w:multiLevelType w:val="multilevel"/>
    <w:tmpl w:val="A7C8C8DC"/>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67A2C5"/>
    <w:multiLevelType w:val="multilevel"/>
    <w:tmpl w:val="59FED20B"/>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5BB886F"/>
    <w:multiLevelType w:val="multilevel"/>
    <w:tmpl w:val="B4874399"/>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07E8A1"/>
    <w:multiLevelType w:val="multilevel"/>
    <w:tmpl w:val="65DD0EF1"/>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9C7281"/>
    <w:multiLevelType w:val="multilevel"/>
    <w:tmpl w:val="8E667A58"/>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390272B"/>
    <w:multiLevelType w:val="multilevel"/>
    <w:tmpl w:val="C460172E"/>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num w:numId="1">
    <w:abstractNumId w:val="3"/>
  </w:num>
  <w:num w:numId="2">
    <w:abstractNumId w:val="15"/>
  </w:num>
  <w:num w:numId="3">
    <w:abstractNumId w:val="23"/>
  </w:num>
  <w:num w:numId="4">
    <w:abstractNumId w:val="12"/>
  </w:num>
  <w:num w:numId="5">
    <w:abstractNumId w:val="2"/>
  </w:num>
  <w:num w:numId="6">
    <w:abstractNumId w:val="4"/>
  </w:num>
  <w:num w:numId="7">
    <w:abstractNumId w:val="1"/>
  </w:num>
  <w:num w:numId="8">
    <w:abstractNumId w:val="18"/>
  </w:num>
  <w:num w:numId="9">
    <w:abstractNumId w:val="5"/>
  </w:num>
  <w:num w:numId="10">
    <w:abstractNumId w:val="0"/>
  </w:num>
  <w:num w:numId="11">
    <w:abstractNumId w:val="21"/>
  </w:num>
  <w:num w:numId="12">
    <w:abstractNumId w:val="8"/>
  </w:num>
  <w:num w:numId="13">
    <w:abstractNumId w:val="17"/>
  </w:num>
  <w:num w:numId="14">
    <w:abstractNumId w:val="9"/>
  </w:num>
  <w:num w:numId="15">
    <w:abstractNumId w:val="14"/>
  </w:num>
  <w:num w:numId="16">
    <w:abstractNumId w:val="20"/>
  </w:num>
  <w:num w:numId="17">
    <w:abstractNumId w:val="11"/>
  </w:num>
  <w:num w:numId="18">
    <w:abstractNumId w:val="6"/>
  </w:num>
  <w:num w:numId="19">
    <w:abstractNumId w:val="19"/>
  </w:num>
  <w:num w:numId="20">
    <w:abstractNumId w:val="7"/>
  </w:num>
  <w:num w:numId="21">
    <w:abstractNumId w:val="10"/>
  </w:num>
  <w:num w:numId="22">
    <w:abstractNumId w:val="16"/>
  </w:num>
  <w:num w:numId="23">
    <w:abstractNumId w:val="22"/>
  </w:num>
  <w:num w:numId="24">
    <w:abstractNumId w:val="1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DF"/>
    <w:rsid w:val="000223B4"/>
    <w:rsid w:val="00040CA8"/>
    <w:rsid w:val="00067DC5"/>
    <w:rsid w:val="0007306F"/>
    <w:rsid w:val="00075DA1"/>
    <w:rsid w:val="00080D8D"/>
    <w:rsid w:val="000C557C"/>
    <w:rsid w:val="000E2890"/>
    <w:rsid w:val="000E485A"/>
    <w:rsid w:val="000F1674"/>
    <w:rsid w:val="000F2F37"/>
    <w:rsid w:val="000F4692"/>
    <w:rsid w:val="000F5580"/>
    <w:rsid w:val="0010502B"/>
    <w:rsid w:val="0010692E"/>
    <w:rsid w:val="001144F6"/>
    <w:rsid w:val="00114651"/>
    <w:rsid w:val="00137F4A"/>
    <w:rsid w:val="001405CE"/>
    <w:rsid w:val="0017387D"/>
    <w:rsid w:val="00175786"/>
    <w:rsid w:val="001810B9"/>
    <w:rsid w:val="001A0342"/>
    <w:rsid w:val="001D4C4D"/>
    <w:rsid w:val="001D799A"/>
    <w:rsid w:val="001F412C"/>
    <w:rsid w:val="002011BB"/>
    <w:rsid w:val="002163B1"/>
    <w:rsid w:val="00223355"/>
    <w:rsid w:val="002448DF"/>
    <w:rsid w:val="00254A5B"/>
    <w:rsid w:val="002750F0"/>
    <w:rsid w:val="00276879"/>
    <w:rsid w:val="002A6C6C"/>
    <w:rsid w:val="002B0118"/>
    <w:rsid w:val="002F6287"/>
    <w:rsid w:val="00377905"/>
    <w:rsid w:val="00377FD2"/>
    <w:rsid w:val="003E18F1"/>
    <w:rsid w:val="00427486"/>
    <w:rsid w:val="00430B66"/>
    <w:rsid w:val="0044100B"/>
    <w:rsid w:val="00455FA2"/>
    <w:rsid w:val="00460680"/>
    <w:rsid w:val="00500D6B"/>
    <w:rsid w:val="0050530C"/>
    <w:rsid w:val="005074BF"/>
    <w:rsid w:val="00544575"/>
    <w:rsid w:val="0058663F"/>
    <w:rsid w:val="00597E1A"/>
    <w:rsid w:val="005A2BDF"/>
    <w:rsid w:val="005B66ED"/>
    <w:rsid w:val="005C6B81"/>
    <w:rsid w:val="005E3F42"/>
    <w:rsid w:val="005F2F03"/>
    <w:rsid w:val="00616332"/>
    <w:rsid w:val="0064247D"/>
    <w:rsid w:val="006517F2"/>
    <w:rsid w:val="0065557B"/>
    <w:rsid w:val="006822DB"/>
    <w:rsid w:val="006A371A"/>
    <w:rsid w:val="006A5B3C"/>
    <w:rsid w:val="006A6B75"/>
    <w:rsid w:val="006C4997"/>
    <w:rsid w:val="006C5DE1"/>
    <w:rsid w:val="006E6308"/>
    <w:rsid w:val="00703724"/>
    <w:rsid w:val="00704559"/>
    <w:rsid w:val="00704F7E"/>
    <w:rsid w:val="00741C2A"/>
    <w:rsid w:val="00741E6D"/>
    <w:rsid w:val="00744EE6"/>
    <w:rsid w:val="00754841"/>
    <w:rsid w:val="00790FA8"/>
    <w:rsid w:val="007C281E"/>
    <w:rsid w:val="00815CFE"/>
    <w:rsid w:val="0082718D"/>
    <w:rsid w:val="00831E26"/>
    <w:rsid w:val="008775A0"/>
    <w:rsid w:val="008E7BD2"/>
    <w:rsid w:val="008F2754"/>
    <w:rsid w:val="009451DF"/>
    <w:rsid w:val="00946B5C"/>
    <w:rsid w:val="00951E38"/>
    <w:rsid w:val="009528FE"/>
    <w:rsid w:val="00953C0A"/>
    <w:rsid w:val="00990C20"/>
    <w:rsid w:val="009B35C2"/>
    <w:rsid w:val="009B587A"/>
    <w:rsid w:val="009B7572"/>
    <w:rsid w:val="009E7F12"/>
    <w:rsid w:val="009F4531"/>
    <w:rsid w:val="00A00E22"/>
    <w:rsid w:val="00A023DF"/>
    <w:rsid w:val="00A15DEB"/>
    <w:rsid w:val="00A17F93"/>
    <w:rsid w:val="00A35914"/>
    <w:rsid w:val="00A3742F"/>
    <w:rsid w:val="00A43A6D"/>
    <w:rsid w:val="00A43BDF"/>
    <w:rsid w:val="00A96ACD"/>
    <w:rsid w:val="00AA1B7A"/>
    <w:rsid w:val="00AC23B9"/>
    <w:rsid w:val="00AC2BF0"/>
    <w:rsid w:val="00AD71D0"/>
    <w:rsid w:val="00AF6185"/>
    <w:rsid w:val="00AF784C"/>
    <w:rsid w:val="00B43517"/>
    <w:rsid w:val="00B50769"/>
    <w:rsid w:val="00B96AA7"/>
    <w:rsid w:val="00BB26B0"/>
    <w:rsid w:val="00BC6D82"/>
    <w:rsid w:val="00BE6FCC"/>
    <w:rsid w:val="00C37411"/>
    <w:rsid w:val="00C90ED5"/>
    <w:rsid w:val="00CA488B"/>
    <w:rsid w:val="00CC5DEF"/>
    <w:rsid w:val="00CD52F1"/>
    <w:rsid w:val="00CD65FE"/>
    <w:rsid w:val="00CD7CA8"/>
    <w:rsid w:val="00CE171D"/>
    <w:rsid w:val="00CF225E"/>
    <w:rsid w:val="00CF41CD"/>
    <w:rsid w:val="00D0644C"/>
    <w:rsid w:val="00D41B98"/>
    <w:rsid w:val="00D55371"/>
    <w:rsid w:val="00D77737"/>
    <w:rsid w:val="00D9266B"/>
    <w:rsid w:val="00DA6E04"/>
    <w:rsid w:val="00DB0CA4"/>
    <w:rsid w:val="00DB7A45"/>
    <w:rsid w:val="00DC7642"/>
    <w:rsid w:val="00E4684A"/>
    <w:rsid w:val="00E60439"/>
    <w:rsid w:val="00E73BD2"/>
    <w:rsid w:val="00E77A1B"/>
    <w:rsid w:val="00E91EC0"/>
    <w:rsid w:val="00ED159C"/>
    <w:rsid w:val="00ED6ED5"/>
    <w:rsid w:val="00EE3288"/>
    <w:rsid w:val="00F0103B"/>
    <w:rsid w:val="00F22F14"/>
    <w:rsid w:val="00F316F7"/>
    <w:rsid w:val="00F31BB8"/>
    <w:rsid w:val="00F352A1"/>
    <w:rsid w:val="00F47D87"/>
    <w:rsid w:val="00F505DC"/>
    <w:rsid w:val="00F67DD8"/>
    <w:rsid w:val="00F967BC"/>
    <w:rsid w:val="00FA655C"/>
    <w:rsid w:val="00FB188D"/>
    <w:rsid w:val="00FD50C3"/>
    <w:rsid w:val="00FF1F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8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A023DF"/>
    <w:pPr>
      <w:tabs>
        <w:tab w:val="center" w:pos="4536"/>
        <w:tab w:val="right" w:pos="9072"/>
      </w:tabs>
      <w:spacing w:line="240" w:lineRule="auto"/>
    </w:pPr>
  </w:style>
  <w:style w:type="character" w:customStyle="1" w:styleId="HeaderChar">
    <w:name w:val="Header Char"/>
    <w:basedOn w:val="DefaultParagraphFont"/>
    <w:link w:val="Header"/>
    <w:uiPriority w:val="99"/>
    <w:rsid w:val="00A023DF"/>
    <w:rPr>
      <w:rFonts w:ascii="Verdana" w:hAnsi="Verdana"/>
      <w:color w:val="000000"/>
      <w:sz w:val="18"/>
      <w:szCs w:val="18"/>
    </w:rPr>
  </w:style>
  <w:style w:type="paragraph" w:styleId="Footer">
    <w:name w:val="footer"/>
    <w:basedOn w:val="Normal"/>
    <w:link w:val="FooterChar"/>
    <w:uiPriority w:val="99"/>
    <w:unhideWhenUsed/>
    <w:rsid w:val="00A023DF"/>
    <w:pPr>
      <w:tabs>
        <w:tab w:val="center" w:pos="4536"/>
        <w:tab w:val="right" w:pos="9072"/>
      </w:tabs>
      <w:spacing w:line="240" w:lineRule="auto"/>
    </w:pPr>
  </w:style>
  <w:style w:type="character" w:customStyle="1" w:styleId="FooterChar">
    <w:name w:val="Footer Char"/>
    <w:basedOn w:val="DefaultParagraphFont"/>
    <w:link w:val="Footer"/>
    <w:uiPriority w:val="99"/>
    <w:rsid w:val="00A023DF"/>
    <w:rPr>
      <w:rFonts w:ascii="Verdana" w:hAnsi="Verdana"/>
      <w:color w:val="000000"/>
      <w:sz w:val="18"/>
      <w:szCs w:val="18"/>
    </w:rPr>
  </w:style>
  <w:style w:type="paragraph" w:customStyle="1" w:styleId="Opsomming">
    <w:name w:val="Opsomming"/>
    <w:basedOn w:val="Normal"/>
    <w:uiPriority w:val="3"/>
    <w:qFormat/>
    <w:rsid w:val="00A023DF"/>
    <w:pPr>
      <w:ind w:left="720" w:hanging="360"/>
    </w:pPr>
  </w:style>
  <w:style w:type="paragraph" w:styleId="ListParagraph">
    <w:name w:val="List Paragraph"/>
    <w:basedOn w:val="Normal"/>
    <w:uiPriority w:val="34"/>
    <w:semiHidden/>
    <w:rsid w:val="00A023DF"/>
    <w:pPr>
      <w:ind w:left="720"/>
      <w:contextualSpacing/>
    </w:pPr>
  </w:style>
  <w:style w:type="paragraph" w:styleId="FootnoteText">
    <w:name w:val="footnote text"/>
    <w:aliases w:val="Char, Char"/>
    <w:basedOn w:val="Normal"/>
    <w:link w:val="FootnoteTextChar"/>
    <w:uiPriority w:val="99"/>
    <w:unhideWhenUsed/>
    <w:rsid w:val="00A023DF"/>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aliases w:val="Char Char, Char Char"/>
    <w:basedOn w:val="DefaultParagraphFont"/>
    <w:link w:val="FootnoteText"/>
    <w:uiPriority w:val="99"/>
    <w:rsid w:val="00A023DF"/>
    <w:rPr>
      <w:rFonts w:asciiTheme="minorHAnsi" w:eastAsiaTheme="minorHAnsi" w:hAnsiTheme="minorHAnsi" w:cstheme="minorBidi"/>
      <w:kern w:val="2"/>
      <w:lang w:eastAsia="en-US"/>
      <w14:ligatures w14:val="standardContextual"/>
    </w:rPr>
  </w:style>
  <w:style w:type="character" w:styleId="FootnoteReference">
    <w:name w:val="footnote reference"/>
    <w:aliases w:val="Voetnootmarkering boek STT,Footnotemark,Footnotemark1,FR,Footnotemark2,FR1,Footnotemark3,FR2,Footnotemark4,FR3,Footnotemark5,FR4,Footnotemark6,Footnotemark7,Footnotemark8,FR5,Footnotemark11,Footnotemark21,FR11,Footnotemark31,FR21,FR31"/>
    <w:basedOn w:val="DefaultParagraphFont"/>
    <w:uiPriority w:val="99"/>
    <w:unhideWhenUsed/>
    <w:rsid w:val="00A023DF"/>
    <w:rPr>
      <w:vertAlign w:val="superscript"/>
    </w:rPr>
  </w:style>
  <w:style w:type="paragraph" w:customStyle="1" w:styleId="footnotedescription">
    <w:name w:val="footnote description"/>
    <w:next w:val="Normal"/>
    <w:link w:val="footnotedescriptionChar"/>
    <w:hidden/>
    <w:rsid w:val="00A023DF"/>
    <w:pPr>
      <w:autoSpaceDN/>
      <w:spacing w:after="65" w:line="259" w:lineRule="auto"/>
      <w:textAlignment w:val="auto"/>
    </w:pPr>
    <w:rPr>
      <w:rFonts w:ascii="Verdana" w:eastAsia="Verdana" w:hAnsi="Verdana" w:cs="Verdana"/>
      <w:color w:val="154273"/>
      <w:kern w:val="2"/>
      <w:sz w:val="14"/>
      <w:szCs w:val="24"/>
      <w:u w:val="single" w:color="154273"/>
      <w14:ligatures w14:val="standardContextual"/>
    </w:rPr>
  </w:style>
  <w:style w:type="character" w:customStyle="1" w:styleId="footnotedescriptionChar">
    <w:name w:val="footnote description Char"/>
    <w:link w:val="footnotedescription"/>
    <w:rsid w:val="00A023DF"/>
    <w:rPr>
      <w:rFonts w:ascii="Verdana" w:eastAsia="Verdana" w:hAnsi="Verdana" w:cs="Verdana"/>
      <w:color w:val="154273"/>
      <w:kern w:val="2"/>
      <w:sz w:val="14"/>
      <w:szCs w:val="24"/>
      <w:u w:val="single" w:color="154273"/>
      <w14:ligatures w14:val="standardContextual"/>
    </w:rPr>
  </w:style>
  <w:style w:type="character" w:customStyle="1" w:styleId="footnotemark">
    <w:name w:val="footnote mark"/>
    <w:hidden/>
    <w:rsid w:val="00A023DF"/>
    <w:rPr>
      <w:rFonts w:ascii="Verdana" w:eastAsia="Verdana" w:hAnsi="Verdana" w:cs="Verdana"/>
      <w:color w:val="000000"/>
      <w:sz w:val="14"/>
      <w:vertAlign w:val="superscript"/>
    </w:rPr>
  </w:style>
  <w:style w:type="character" w:styleId="CommentReference">
    <w:name w:val="annotation reference"/>
    <w:basedOn w:val="DefaultParagraphFont"/>
    <w:uiPriority w:val="99"/>
    <w:semiHidden/>
    <w:unhideWhenUsed/>
    <w:rsid w:val="00A023DF"/>
    <w:rPr>
      <w:sz w:val="16"/>
      <w:szCs w:val="16"/>
    </w:rPr>
  </w:style>
  <w:style w:type="paragraph" w:styleId="CommentText">
    <w:name w:val="annotation text"/>
    <w:basedOn w:val="Normal"/>
    <w:link w:val="CommentTextChar"/>
    <w:uiPriority w:val="99"/>
    <w:unhideWhenUsed/>
    <w:rsid w:val="00A023DF"/>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A023DF"/>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FF1FBD"/>
    <w:pPr>
      <w:autoSpaceDN w:val="0"/>
      <w:spacing w:after="0"/>
      <w:textAlignment w:val="baseline"/>
    </w:pPr>
    <w:rPr>
      <w:rFonts w:ascii="Verdana" w:eastAsia="DejaVu Sans" w:hAnsi="Verdana" w:cs="Lohit Hindi"/>
      <w:b/>
      <w:bCs/>
      <w:color w:val="000000"/>
      <w:lang w:eastAsia="nl-NL"/>
    </w:rPr>
  </w:style>
  <w:style w:type="character" w:customStyle="1" w:styleId="CommentSubjectChar">
    <w:name w:val="Comment Subject Char"/>
    <w:basedOn w:val="CommentTextChar"/>
    <w:link w:val="CommentSubject"/>
    <w:uiPriority w:val="99"/>
    <w:semiHidden/>
    <w:rsid w:val="00FF1FBD"/>
    <w:rPr>
      <w:rFonts w:ascii="Verdana" w:eastAsiaTheme="minorHAnsi" w:hAnsi="Verdana" w:cstheme="minorBidi"/>
      <w:b/>
      <w:bCs/>
      <w:color w:val="000000"/>
      <w:lang w:eastAsia="en-US"/>
    </w:rPr>
  </w:style>
  <w:style w:type="paragraph" w:styleId="Revision">
    <w:name w:val="Revision"/>
    <w:hidden/>
    <w:uiPriority w:val="99"/>
    <w:semiHidden/>
    <w:rsid w:val="006A6B75"/>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CA488B"/>
    <w:rPr>
      <w:color w:val="605E5C"/>
      <w:shd w:val="clear" w:color="auto" w:fill="E1DFDD"/>
    </w:rPr>
  </w:style>
  <w:style w:type="character" w:styleId="FollowedHyperlink">
    <w:name w:val="FollowedHyperlink"/>
    <w:basedOn w:val="DefaultParagraphFont"/>
    <w:uiPriority w:val="99"/>
    <w:semiHidden/>
    <w:unhideWhenUsed/>
    <w:rsid w:val="00CA48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internetconsultatie.nl/richtlijn_stedelijk_afvalwater/b1" TargetMode="External"/><Relationship Id="rId7" Type="http://schemas.openxmlformats.org/officeDocument/2006/relationships/hyperlink" Target="https://ec.europa.eu/info/law/better-regulation/have-your-say/initiatives/17034-EU-water-policy-targeted-revision-of-the-Water-Framework-Directive/F33391943_en" TargetMode="External"/><Relationship Id="rId2" Type="http://schemas.openxmlformats.org/officeDocument/2006/relationships/hyperlink" Target="https://www.rijksoverheid.nl/documenten/kamerstukken/2024/11/08/verkenning-beprijzen-watergebruik" TargetMode="External"/><Relationship Id="rId1" Type="http://schemas.openxmlformats.org/officeDocument/2006/relationships/hyperlink" Target="https://www.rli.nl/publicaties/2026/advies/zorg-voor-water?adview=inleiding" TargetMode="External"/><Relationship Id="rId6" Type="http://schemas.openxmlformats.org/officeDocument/2006/relationships/hyperlink" Target="https://ec.europa.eu/commission/presscorner/detail/en/ip_25_2997" TargetMode="External"/><Relationship Id="rId5" Type="http://schemas.openxmlformats.org/officeDocument/2006/relationships/hyperlink" Target="https://ec.europa.eu/commission/presscorner/detail/en/ip_26_1594" TargetMode="External"/><Relationship Id="rId4" Type="http://schemas.openxmlformats.org/officeDocument/2006/relationships/hyperlink" Target="https://zoek.officielebekendmakingen.nl/kst-125162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3874</ap:Words>
  <ap:Characters>22082</ap:Characters>
  <ap:DocSecurity>0</ap:DocSecurity>
  <ap:Lines>184</ap:Lines>
  <ap:Paragraphs>51</ap:Paragraphs>
  <ap:ScaleCrop>false</ap:ScaleCrop>
  <ap:HeadingPairs>
    <vt:vector baseType="variant" size="2">
      <vt:variant>
        <vt:lpstr>Titel</vt:lpstr>
      </vt:variant>
      <vt:variant>
        <vt:i4>1</vt:i4>
      </vt:variant>
    </vt:vector>
  </ap:HeadingPairs>
  <ap:TitlesOfParts>
    <vt:vector baseType="lpstr" size="1">
      <vt:lpstr>Brief aan Parlement - Moties en toezeggingen nav het CD Water 25 juni</vt:lpstr>
    </vt:vector>
  </ap:TitlesOfParts>
  <ap:LinksUpToDate>false</ap:LinksUpToDate>
  <ap:CharactersWithSpaces>25905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2026-10-06T15:00:00.0000000Z</dcterms:created>
  <dcterms:modified xsi:type="dcterms:W3CDTF">2026-10-06T15:00:00.0000000Z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Moties en toezeggingen nav het CD Water 25 juni</vt:lpwstr>
  </property>
  <property fmtid="{D5CDD505-2E9C-101B-9397-08002B2CF9AE}" pid="5" name="Publicatiedatum">
    <vt:lpwstr/>
  </property>
  <property fmtid="{D5CDD505-2E9C-101B-9397-08002B2CF9AE}" pid="6" name="Verantwoordelijke organisatie">
    <vt:lpwstr>Dir.Waterkwaliteit en Grote Wateren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I.A.M.H.C. de Bok</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