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6ECD6B4" w14:textId="77777777">
        <w:tc>
          <w:tcPr>
            <w:tcW w:w="6379" w:type="dxa"/>
            <w:gridSpan w:val="2"/>
            <w:tcBorders>
              <w:top w:val="nil"/>
              <w:left w:val="nil"/>
              <w:bottom w:val="nil"/>
              <w:right w:val="nil"/>
            </w:tcBorders>
            <w:vAlign w:val="center"/>
          </w:tcPr>
          <w:p w:rsidR="004330ED" w:rsidP="00EA1CE4" w:rsidRDefault="004330ED" w14:paraId="3BE827F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453338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62397F7D" w14:textId="77777777">
        <w:trPr>
          <w:cantSplit/>
        </w:trPr>
        <w:tc>
          <w:tcPr>
            <w:tcW w:w="10348" w:type="dxa"/>
            <w:gridSpan w:val="3"/>
            <w:tcBorders>
              <w:top w:val="single" w:color="auto" w:sz="4" w:space="0"/>
              <w:left w:val="nil"/>
              <w:bottom w:val="nil"/>
              <w:right w:val="nil"/>
            </w:tcBorders>
          </w:tcPr>
          <w:p w:rsidR="004330ED" w:rsidP="004A1E29" w:rsidRDefault="004330ED" w14:paraId="16F57941"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7AABE8DD" w14:textId="77777777">
        <w:trPr>
          <w:cantSplit/>
        </w:trPr>
        <w:tc>
          <w:tcPr>
            <w:tcW w:w="10348" w:type="dxa"/>
            <w:gridSpan w:val="3"/>
            <w:tcBorders>
              <w:top w:val="nil"/>
              <w:left w:val="nil"/>
              <w:bottom w:val="nil"/>
              <w:right w:val="nil"/>
            </w:tcBorders>
          </w:tcPr>
          <w:p w:rsidR="004330ED" w:rsidP="00BF623B" w:rsidRDefault="004330ED" w14:paraId="52DCC62F" w14:textId="77777777">
            <w:pPr>
              <w:pStyle w:val="Amendement"/>
              <w:tabs>
                <w:tab w:val="clear" w:pos="3310"/>
                <w:tab w:val="clear" w:pos="3600"/>
              </w:tabs>
              <w:rPr>
                <w:rFonts w:ascii="Times New Roman" w:hAnsi="Times New Roman"/>
                <w:b w:val="0"/>
              </w:rPr>
            </w:pPr>
          </w:p>
        </w:tc>
      </w:tr>
      <w:tr w:rsidR="004330ED" w:rsidTr="00EA1CE4" w14:paraId="26A11AA4" w14:textId="77777777">
        <w:trPr>
          <w:cantSplit/>
        </w:trPr>
        <w:tc>
          <w:tcPr>
            <w:tcW w:w="10348" w:type="dxa"/>
            <w:gridSpan w:val="3"/>
            <w:tcBorders>
              <w:top w:val="nil"/>
              <w:left w:val="nil"/>
              <w:bottom w:val="single" w:color="auto" w:sz="4" w:space="0"/>
              <w:right w:val="nil"/>
            </w:tcBorders>
          </w:tcPr>
          <w:p w:rsidR="004330ED" w:rsidP="00BF623B" w:rsidRDefault="004330ED" w14:paraId="301166CA" w14:textId="77777777">
            <w:pPr>
              <w:pStyle w:val="Amendement"/>
              <w:tabs>
                <w:tab w:val="clear" w:pos="3310"/>
                <w:tab w:val="clear" w:pos="3600"/>
              </w:tabs>
              <w:rPr>
                <w:rFonts w:ascii="Times New Roman" w:hAnsi="Times New Roman"/>
              </w:rPr>
            </w:pPr>
          </w:p>
        </w:tc>
      </w:tr>
      <w:tr w:rsidR="004330ED" w:rsidTr="00EA1CE4" w14:paraId="42B4F3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D87D575"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F148EBF" w14:textId="77777777">
            <w:pPr>
              <w:suppressAutoHyphens/>
              <w:ind w:left="-70"/>
              <w:rPr>
                <w:b/>
              </w:rPr>
            </w:pPr>
          </w:p>
        </w:tc>
      </w:tr>
      <w:tr w:rsidR="003C21AC" w:rsidTr="00EA1CE4" w14:paraId="14D19C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33EA9" w14:paraId="32EB85B9" w14:textId="5B508875">
            <w:pPr>
              <w:pStyle w:val="Amendement"/>
              <w:tabs>
                <w:tab w:val="clear" w:pos="3310"/>
                <w:tab w:val="clear" w:pos="3600"/>
              </w:tabs>
              <w:rPr>
                <w:rFonts w:ascii="Times New Roman" w:hAnsi="Times New Roman"/>
              </w:rPr>
            </w:pPr>
            <w:r>
              <w:rPr>
                <w:rFonts w:ascii="Times New Roman" w:hAnsi="Times New Roman"/>
              </w:rPr>
              <w:t>36 947</w:t>
            </w:r>
          </w:p>
        </w:tc>
        <w:tc>
          <w:tcPr>
            <w:tcW w:w="7371" w:type="dxa"/>
            <w:gridSpan w:val="2"/>
          </w:tcPr>
          <w:p w:rsidRPr="00333EA9" w:rsidR="003C21AC" w:rsidP="00333EA9" w:rsidRDefault="00333EA9" w14:paraId="1075DDFB" w14:textId="54D906CF">
            <w:pPr>
              <w:rPr>
                <w:b/>
                <w:bCs/>
              </w:rPr>
            </w:pPr>
            <w:r w:rsidRPr="00333EA9">
              <w:rPr>
                <w:b/>
                <w:bCs/>
              </w:rPr>
              <w:t>Wijziging van de Wet milieubeheer en de Wet op de economische delicten in verband met het verhogen van het aandeel van gas uit hernieuwbare bronnen in de totale leveringen van gas aan afnemers (Wet bijmengverplichting groen gas)</w:t>
            </w:r>
          </w:p>
        </w:tc>
      </w:tr>
      <w:tr w:rsidR="003C21AC" w:rsidTr="00EA1CE4" w14:paraId="0DF02B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86DF527"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D62AF69" w14:textId="77777777">
            <w:pPr>
              <w:pStyle w:val="Amendement"/>
              <w:tabs>
                <w:tab w:val="clear" w:pos="3310"/>
                <w:tab w:val="clear" w:pos="3600"/>
              </w:tabs>
              <w:ind w:left="-70"/>
              <w:rPr>
                <w:rFonts w:ascii="Times New Roman" w:hAnsi="Times New Roman"/>
              </w:rPr>
            </w:pPr>
          </w:p>
        </w:tc>
      </w:tr>
      <w:tr w:rsidR="003C21AC" w:rsidTr="00EA1CE4" w14:paraId="4705DF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1C5B8B1"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94B40E8" w14:textId="77777777">
            <w:pPr>
              <w:pStyle w:val="Amendement"/>
              <w:tabs>
                <w:tab w:val="clear" w:pos="3310"/>
                <w:tab w:val="clear" w:pos="3600"/>
              </w:tabs>
              <w:ind w:left="-70"/>
              <w:rPr>
                <w:rFonts w:ascii="Times New Roman" w:hAnsi="Times New Roman"/>
              </w:rPr>
            </w:pPr>
          </w:p>
        </w:tc>
      </w:tr>
      <w:tr w:rsidR="003C21AC" w:rsidTr="00EA1CE4" w14:paraId="18560E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47609A59" w14:textId="06C75651">
            <w:pPr>
              <w:pStyle w:val="Amendement"/>
              <w:tabs>
                <w:tab w:val="clear" w:pos="3310"/>
                <w:tab w:val="clear" w:pos="3600"/>
              </w:tabs>
              <w:rPr>
                <w:rFonts w:ascii="Times New Roman" w:hAnsi="Times New Roman"/>
              </w:rPr>
            </w:pPr>
            <w:r w:rsidRPr="00C035D4">
              <w:rPr>
                <w:rFonts w:ascii="Times New Roman" w:hAnsi="Times New Roman"/>
              </w:rPr>
              <w:t xml:space="preserve">Nr. </w:t>
            </w:r>
            <w:r w:rsidR="000E09B5">
              <w:rPr>
                <w:rFonts w:ascii="Times New Roman" w:hAnsi="Times New Roman"/>
                <w:caps/>
              </w:rPr>
              <w:t>4</w:t>
            </w:r>
            <w:r w:rsidR="00C87704">
              <w:rPr>
                <w:rFonts w:ascii="Times New Roman" w:hAnsi="Times New Roman"/>
                <w:caps/>
              </w:rPr>
              <w:t>8</w:t>
            </w:r>
          </w:p>
        </w:tc>
        <w:tc>
          <w:tcPr>
            <w:tcW w:w="7371" w:type="dxa"/>
            <w:gridSpan w:val="2"/>
          </w:tcPr>
          <w:p w:rsidRPr="00C035D4" w:rsidR="003C21AC" w:rsidP="006E0971" w:rsidRDefault="003C21AC" w14:paraId="600E1C06" w14:textId="197A949D">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DA2CA8">
              <w:rPr>
                <w:rFonts w:ascii="Times New Roman" w:hAnsi="Times New Roman"/>
                <w:caps/>
              </w:rPr>
              <w:t>teunissen</w:t>
            </w:r>
          </w:p>
        </w:tc>
      </w:tr>
      <w:tr w:rsidR="003C21AC" w:rsidTr="00EA1CE4" w14:paraId="1798EC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86DF263"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CF895D5" w14:textId="29CEBB12">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0E09B5">
              <w:rPr>
                <w:rFonts w:ascii="Times New Roman" w:hAnsi="Times New Roman"/>
                <w:b w:val="0"/>
              </w:rPr>
              <w:t>5 oktober 2026</w:t>
            </w:r>
          </w:p>
        </w:tc>
      </w:tr>
      <w:tr w:rsidR="00B01BA6" w:rsidTr="00EA1CE4" w14:paraId="1CE5953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0B0797C"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71BF" w14:textId="77777777">
            <w:pPr>
              <w:pStyle w:val="Amendement"/>
              <w:tabs>
                <w:tab w:val="clear" w:pos="3310"/>
                <w:tab w:val="clear" w:pos="3600"/>
              </w:tabs>
              <w:ind w:left="-70"/>
              <w:rPr>
                <w:rFonts w:ascii="Times New Roman" w:hAnsi="Times New Roman"/>
                <w:b w:val="0"/>
              </w:rPr>
            </w:pPr>
          </w:p>
        </w:tc>
      </w:tr>
      <w:tr w:rsidRPr="00EA69AC" w:rsidR="00B01BA6" w:rsidTr="00EA1CE4" w14:paraId="686F5C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2E9A16F4" w14:textId="77777777">
            <w:pPr>
              <w:ind w:firstLine="284"/>
            </w:pPr>
            <w:r w:rsidRPr="00EA69AC">
              <w:t>De ondergetekende stelt het volgende amendement voor:</w:t>
            </w:r>
          </w:p>
        </w:tc>
      </w:tr>
    </w:tbl>
    <w:p w:rsidR="00333EA9" w:rsidP="00333EA9" w:rsidRDefault="00333EA9" w14:paraId="1C9C5EF8" w14:textId="77777777">
      <w:pPr>
        <w:ind w:firstLine="284"/>
      </w:pPr>
    </w:p>
    <w:p w:rsidR="00333EA9" w:rsidP="00333EA9" w:rsidRDefault="00333EA9" w14:paraId="35F413E8" w14:textId="77777777">
      <w:pPr>
        <w:ind w:firstLine="284"/>
      </w:pPr>
      <w:r>
        <w:t>In artikel I, onderdeel B, wordt in artikel 9.9.4.1, onder vernummering van het tweede en derde lid tot het derde en vierde lid, een lid ingevoegd, luidende:</w:t>
      </w:r>
    </w:p>
    <w:p w:rsidR="00EA1CE4" w:rsidP="00333EA9" w:rsidRDefault="00333EA9" w14:paraId="1383EEF1" w14:textId="395FF361">
      <w:pPr>
        <w:ind w:firstLine="284"/>
      </w:pPr>
      <w:r>
        <w:t>2. Van het inboeken in het GGE-register is uitgesloten gas uit hernieuwbare bronnen dat is geproduceerd met dierlijke mest als grondstof.</w:t>
      </w:r>
    </w:p>
    <w:p w:rsidR="00333EA9" w:rsidP="00333EA9" w:rsidRDefault="00333EA9" w14:paraId="32C82614" w14:textId="77777777">
      <w:pPr>
        <w:ind w:firstLine="284"/>
      </w:pPr>
    </w:p>
    <w:p w:rsidRPr="00EA69AC" w:rsidR="003C21AC" w:rsidP="00EA1CE4" w:rsidRDefault="003C21AC" w14:paraId="47725364" w14:textId="77777777">
      <w:pPr>
        <w:rPr>
          <w:b/>
        </w:rPr>
      </w:pPr>
      <w:r w:rsidRPr="00EA69AC">
        <w:rPr>
          <w:b/>
        </w:rPr>
        <w:t>Toelichting</w:t>
      </w:r>
    </w:p>
    <w:p w:rsidRPr="00EA69AC" w:rsidR="003C21AC" w:rsidP="00BF623B" w:rsidRDefault="003C21AC" w14:paraId="07F5F3E1" w14:textId="77777777"/>
    <w:p w:rsidR="00AD04AD" w:rsidP="00AD04AD" w:rsidRDefault="00AD04AD" w14:paraId="6EF9B605" w14:textId="60AB7BB8">
      <w:r>
        <w:t>Dit amendement beoogt te voorkomen dat de bijmengverplichting groen gas leidt tot een structurele lock-in van de intensieve veehouderij. Daarmee wordt uitvoering gegeven aan de intentie van de (verworpen) motie-Van Oosterhout (Kamerstuk 36947-34), waarvan de minister heeft toegezegd de strekking alsnog te zullen uitvoeren. Omdat een toezegging geen wettelijke borging is, is het noodzakelijk het uitgangspunt – namelijk het afdwingen dat deze wet niet leidt tot lock-in van de intensieve veehouderij – in de wet te verankeren op het moment dat de wet voorligt.</w:t>
      </w:r>
    </w:p>
    <w:p w:rsidR="00AD04AD" w:rsidP="00AD04AD" w:rsidRDefault="00AD04AD" w14:paraId="541D33A6" w14:textId="77777777"/>
    <w:p w:rsidR="00AD04AD" w:rsidP="00AD04AD" w:rsidRDefault="00AD04AD" w14:paraId="3E6AD50D" w14:textId="79640D39">
      <w:r>
        <w:t xml:space="preserve">Het risico op lock-in van de intensieve veehouderij zit in de volgende dynamiek. Zolang mest als ‘hernieuwbare energiebron’ wordt aangemerkt binnen de bijmengverplichting, ontstaat er </w:t>
      </w:r>
      <w:r w:rsidDel="007430F3">
        <w:t xml:space="preserve">een </w:t>
      </w:r>
      <w:r>
        <w:t xml:space="preserve">financiële prikkel bij het in stand houden </w:t>
      </w:r>
      <w:r w:rsidDel="006B3418">
        <w:t xml:space="preserve">van de </w:t>
      </w:r>
      <w:r>
        <w:t>intensieve veehouderij. Om een mestvergister rendabel te maken of te houden, is een bepaalde schaalgrootte nodig: een continue en voorspelbare aanvoer van voldoende mest.</w:t>
      </w:r>
      <w:r w:rsidR="00FE7954">
        <w:t xml:space="preserve"> </w:t>
      </w:r>
      <w:r>
        <w:t>Dat geeft boeren een prikkel tot schaalvergroting. Zo zeggen banken nu al tegen boeren met vierhonderd koeien dat dat echt te weinig is om te investeren in een mestvergister, omdat het pas vanaf vijfhonderd koeien goed gaat renderen.</w:t>
      </w:r>
      <w:r w:rsidRPr="7399CAC9">
        <w:rPr>
          <w:rStyle w:val="Voetnootmarkering"/>
        </w:rPr>
        <w:footnoteReference w:id="1"/>
      </w:r>
      <w:r>
        <w:t xml:space="preserve"> Een ander gevolg hiervan is dat koeien minder de wei in mogen, omdat de mest buiten niet kan worden opgevangen voor de mestvergister. Weidegang neemt al jaren af en </w:t>
      </w:r>
      <w:r w:rsidDel="001C1704">
        <w:t>o</w:t>
      </w:r>
      <w:r>
        <w:t>ngeveer 1 op de 3 koeien staat tegenwoordig permanent op stal. Om een mestvergister goed te laten renderen, loont het om koeien nog vaker binnen te houden. Dit is volgens de indiener een onwenselijke ontwikkeling. Niet voor niets spreken natuurinclusieve boeren en boeren die kringlooplandbouw bedrijven, zoals de Caring Farmers, zich duidelijk uit tegen het stimuleren van mestvergisting via dit wetsvoorstel.</w:t>
      </w:r>
    </w:p>
    <w:p w:rsidR="008779CB" w:rsidP="00AD04AD" w:rsidRDefault="008779CB" w14:paraId="7B3FD6FF" w14:textId="77777777"/>
    <w:p w:rsidRPr="008467D7" w:rsidR="00E6619B" w:rsidP="00EA1CE4" w:rsidRDefault="00AD04AD" w14:paraId="0199BC55" w14:textId="23FF1535">
      <w:r>
        <w:t>De manier om een lock-in van de intensieve veehouderij te voorkomen, is om mest niet langer te classificeren als ‘hernieuwbare energiebron’ in de Bijmengverplichting groen gas, zodat mest in de praktijk wordt uitgesloten als bron voor groen gas.</w:t>
      </w:r>
    </w:p>
    <w:p w:rsidRPr="00EA69AC" w:rsidR="005B1DCC" w:rsidP="00BF623B" w:rsidRDefault="005B1DCC" w14:paraId="01DAC833" w14:textId="77777777"/>
    <w:p w:rsidRPr="00EA69AC" w:rsidR="00B4708A" w:rsidP="00EA1CE4" w:rsidRDefault="00DA2CA8" w14:paraId="413EEC4C" w14:textId="758F33A8">
      <w:r>
        <w:t>Teunissen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2AD86" w14:textId="77777777" w:rsidR="00C64600" w:rsidRDefault="00C64600">
      <w:pPr>
        <w:spacing w:line="20" w:lineRule="exact"/>
      </w:pPr>
    </w:p>
  </w:endnote>
  <w:endnote w:type="continuationSeparator" w:id="0">
    <w:p w14:paraId="70B41758" w14:textId="77777777" w:rsidR="00C64600" w:rsidRDefault="00C64600">
      <w:pPr>
        <w:pStyle w:val="Amendement"/>
      </w:pPr>
      <w:r>
        <w:rPr>
          <w:b w:val="0"/>
        </w:rPr>
        <w:t xml:space="preserve"> </w:t>
      </w:r>
    </w:p>
  </w:endnote>
  <w:endnote w:type="continuationNotice" w:id="1">
    <w:p w14:paraId="712393CC" w14:textId="77777777" w:rsidR="00C64600" w:rsidRDefault="00C6460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BC273" w14:textId="77777777" w:rsidR="00C64600" w:rsidRDefault="00C64600">
      <w:pPr>
        <w:pStyle w:val="Amendement"/>
      </w:pPr>
      <w:r>
        <w:rPr>
          <w:b w:val="0"/>
        </w:rPr>
        <w:separator/>
      </w:r>
    </w:p>
  </w:footnote>
  <w:footnote w:type="continuationSeparator" w:id="0">
    <w:p w14:paraId="6FCCA2B2" w14:textId="77777777" w:rsidR="00C64600" w:rsidRDefault="00C64600">
      <w:r>
        <w:continuationSeparator/>
      </w:r>
    </w:p>
  </w:footnote>
  <w:footnote w:id="1">
    <w:p w14:paraId="6BFE553A" w14:textId="77F6C7C9" w:rsidR="00AD04AD" w:rsidRPr="00AD04AD" w:rsidRDefault="00AD04AD" w:rsidP="00AD04AD">
      <w:pPr>
        <w:rPr>
          <w:sz w:val="20"/>
        </w:rPr>
      </w:pPr>
      <w:r w:rsidRPr="00AD04AD">
        <w:rPr>
          <w:rStyle w:val="Voetnootmarkering"/>
          <w:sz w:val="20"/>
        </w:rPr>
        <w:footnoteRef/>
      </w:r>
      <w:r w:rsidRPr="00AD04AD">
        <w:rPr>
          <w:sz w:val="20"/>
        </w:rPr>
        <w:t xml:space="preserve"> </w:t>
      </w:r>
      <w:hyperlink r:id="rId1" w:history="1">
        <w:r w:rsidRPr="00AD04AD">
          <w:rPr>
            <w:rStyle w:val="Hyperlink"/>
            <w:sz w:val="20"/>
          </w:rPr>
          <w:t>https://www.nieuweoogst.nl/nieuws/2026/06/20/financiering-mestvergister-blijft-nog-te-vaak-buiten-bereik-boer</w:t>
        </w:r>
      </w:hyperlink>
      <w:r w:rsidRPr="00AD04AD">
        <w:rPr>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EA9"/>
    <w:rsid w:val="000062BC"/>
    <w:rsid w:val="00052244"/>
    <w:rsid w:val="0007471A"/>
    <w:rsid w:val="000D17BF"/>
    <w:rsid w:val="000E09B5"/>
    <w:rsid w:val="00157CAF"/>
    <w:rsid w:val="001656EE"/>
    <w:rsid w:val="0016653D"/>
    <w:rsid w:val="001D56AF"/>
    <w:rsid w:val="001E0E21"/>
    <w:rsid w:val="00212E0A"/>
    <w:rsid w:val="002153B0"/>
    <w:rsid w:val="0021777F"/>
    <w:rsid w:val="00241DD0"/>
    <w:rsid w:val="002A0713"/>
    <w:rsid w:val="002B35F5"/>
    <w:rsid w:val="00333EA9"/>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55434"/>
    <w:rsid w:val="005703C9"/>
    <w:rsid w:val="00597703"/>
    <w:rsid w:val="005A6097"/>
    <w:rsid w:val="005B1DCC"/>
    <w:rsid w:val="005B7323"/>
    <w:rsid w:val="005C25B9"/>
    <w:rsid w:val="005E1599"/>
    <w:rsid w:val="006267E6"/>
    <w:rsid w:val="006313FF"/>
    <w:rsid w:val="006558D2"/>
    <w:rsid w:val="00672D25"/>
    <w:rsid w:val="006738BC"/>
    <w:rsid w:val="006D3E69"/>
    <w:rsid w:val="006E0971"/>
    <w:rsid w:val="007709F6"/>
    <w:rsid w:val="00783215"/>
    <w:rsid w:val="007965FC"/>
    <w:rsid w:val="007C627E"/>
    <w:rsid w:val="007D2608"/>
    <w:rsid w:val="008164E5"/>
    <w:rsid w:val="00830081"/>
    <w:rsid w:val="008467D7"/>
    <w:rsid w:val="00852541"/>
    <w:rsid w:val="00865D47"/>
    <w:rsid w:val="008779CB"/>
    <w:rsid w:val="0088452C"/>
    <w:rsid w:val="008D7DCB"/>
    <w:rsid w:val="009055DB"/>
    <w:rsid w:val="00905ECB"/>
    <w:rsid w:val="0096165D"/>
    <w:rsid w:val="00993E91"/>
    <w:rsid w:val="009A409F"/>
    <w:rsid w:val="009B5845"/>
    <w:rsid w:val="009C0C1F"/>
    <w:rsid w:val="00A10505"/>
    <w:rsid w:val="00A1288B"/>
    <w:rsid w:val="00A53203"/>
    <w:rsid w:val="00A772EB"/>
    <w:rsid w:val="00AD04AD"/>
    <w:rsid w:val="00B01BA6"/>
    <w:rsid w:val="00B4708A"/>
    <w:rsid w:val="00BD255E"/>
    <w:rsid w:val="00BF623B"/>
    <w:rsid w:val="00C035D4"/>
    <w:rsid w:val="00C64600"/>
    <w:rsid w:val="00C679BF"/>
    <w:rsid w:val="00C81BBD"/>
    <w:rsid w:val="00C87704"/>
    <w:rsid w:val="00CD3132"/>
    <w:rsid w:val="00CE27CD"/>
    <w:rsid w:val="00D134F3"/>
    <w:rsid w:val="00D47D01"/>
    <w:rsid w:val="00D774B3"/>
    <w:rsid w:val="00DA2CA8"/>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26341"/>
    <w:rsid w:val="00FA3A35"/>
    <w:rsid w:val="00FA5BBE"/>
    <w:rsid w:val="00FE7954"/>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68C25"/>
  <w15:docId w15:val="{C8DD07AF-1993-4FA3-9B51-F83002AC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iPriority w:val="99"/>
    <w:unhideWhenUsed/>
    <w:rsid w:val="00AD04AD"/>
    <w:rPr>
      <w:color w:val="0000FF" w:themeColor="hyperlink"/>
      <w:u w:val="single"/>
    </w:rPr>
  </w:style>
  <w:style w:type="character" w:styleId="Voetnootmarkering">
    <w:name w:val="footnote reference"/>
    <w:basedOn w:val="Standaardalinea-lettertype"/>
    <w:uiPriority w:val="99"/>
    <w:semiHidden/>
    <w:unhideWhenUsed/>
    <w:rsid w:val="00AD04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nieuweoogst.nl/nieuws/2026/06/20/financiering-mestvergister-blijft-nog-te-vaak-buiten-bereik-bo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429</ap:Words>
  <ap:Characters>2361</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2785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2026-10-05T15:35:00.0000000Z</dcterms:created>
  <dcterms:modified xsi:type="dcterms:W3CDTF">2026-10-05T15:37:00.0000000Z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